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A1A1A"/>
          <w:sz w:val="48"/>
          <w:szCs w:val="48"/>
        </w:rPr>
        <w:t xml:space="preserve">CALCCRYPTO.COM</w:t>
      </w:r>
    </w:p>
    <w:p>
      <w:pPr>
        <w:spacing w:after="200" w:before="0"/>
        <w:jc w:val="center"/>
      </w:pPr>
      <w:r>
        <w:rPr>
          <w:rFonts w:ascii="Arial" w:cs="Arial" w:eastAsia="Arial" w:hAnsi="Arial"/>
          <w:color w:val="888888"/>
          <w:sz w:val="32"/>
          <w:szCs w:val="32"/>
        </w:rPr>
        <w:t xml:space="preserve">CrypCal Pro — Product &amp; Monetisation Roadmap</w:t>
      </w:r>
    </w:p>
    <w:p>
      <w:pPr>
        <w:spacing w:after="80" w:before="0"/>
        <w:jc w:val="center"/>
      </w:pPr>
      <w:r>
        <w:rPr>
          <w:rFonts w:ascii="Arial" w:cs="Arial" w:eastAsia="Arial" w:hAnsi="Arial"/>
          <w:color w:val="888888"/>
          <w:sz w:val="22"/>
          <w:szCs w:val="22"/>
        </w:rPr>
        <w:t xml:space="preserve">Synthesised from 3 research reports · May 2026</w:t>
      </w:r>
    </w:p>
    <w:p>
      <w:pPr>
        <w:spacing w:after="240" w:before="0"/>
      </w:pPr>
      <w:r>
        <w:t xml:space="preserve"/>
      </w:r>
    </w:p>
    <w:p>
      <w:pPr>
        <w:pBdr>
          <w:bottom w:val="single" w:color="F6C90E" w:sz="6" w:space="1"/>
        </w:pBdr>
        <w:jc w:val="center"/>
      </w:pPr>
      <w:r>
        <w:t xml:space="preserve"/>
      </w:r>
    </w:p>
    <w:p>
      <w:pPr>
        <w:spacing w:after="960" w:before="0"/>
      </w:pPr>
      <w:r>
        <w:t xml:space="preserve"/>
      </w:r>
    </w:p>
    <w:p>
      <w:r>
        <w:br w:type="page"/>
      </w:r>
    </w:p>
    <w:p>
      <w:pPr>
        <w:pStyle w:val="Heading1"/>
        <w:spacing w:after="160" w:before="400"/>
      </w:pPr>
      <w:r>
        <w:rPr>
          <w:rFonts w:ascii="Arial" w:cs="Arial" w:eastAsia="Arial" w:hAnsi="Arial"/>
          <w:b/>
          <w:bCs/>
          <w:color w:val="1A1A1A"/>
          <w:sz w:val="36"/>
          <w:szCs w:val="36"/>
        </w:rPr>
        <w:t xml:space="preserve">1. Executive Summary</w:t>
      </w:r>
    </w:p>
    <w:p>
      <w:pPr>
        <w:spacing w:after="100" w:before="60"/>
      </w:pPr>
      <w:r>
        <w:rPr>
          <w:rFonts w:ascii="Arial" w:cs="Arial" w:eastAsia="Arial" w:hAnsi="Arial"/>
          <w:color w:val="444444"/>
          <w:sz w:val="22"/>
          <w:szCs w:val="22"/>
        </w:rPr>
        <w:t xml:space="preserve">CrypCal sits at a rare intersection: a live, privacy-first utility site with growing organic traffic, zero signup friction, and a target audience being pushed toward compliance tools by HMRC's 2026 mandate. This roadmap synthesises three research reports into a single actionable build and monetisation plan.</w:t>
      </w:r>
    </w:p>
    <w:p>
      <w:pPr>
        <w:spacing w:after="120" w:before="0"/>
      </w:pPr>
      <w:r>
        <w:t xml:space="preserve"/>
      </w:r>
    </w:p>
    <w:p>
      <w:pPr>
        <w:spacing w:after="80" w:before="240"/>
      </w:pPr>
      <w:r>
        <w:rPr>
          <w:rFonts w:ascii="Arial" w:cs="Arial" w:eastAsia="Arial" w:hAnsi="Arial"/>
          <w:b/>
          <w:bCs/>
          <w:color w:val="1A1A1A"/>
          <w:sz w:val="24"/>
          <w:szCs w:val="24"/>
        </w:rPr>
        <w:t xml:space="preserve">Core Thesis</w:t>
      </w:r>
    </w:p>
    <w:p>
      <w:pPr>
        <w:pStyle w:val="ListParagraph"/>
        <w:numPr>
          <w:ilvl w:val="0"/>
          <w:numId w:val="2"/>
        </w:numPr>
        <w:spacing w:after="60" w:before="40"/>
      </w:pPr>
      <w:r>
        <w:rPr>
          <w:rFonts w:ascii="Arial" w:cs="Arial" w:eastAsia="Arial" w:hAnsi="Arial"/>
          <w:b w:val="false"/>
          <w:bCs w:val="false"/>
          <w:color w:val="444444"/>
          <w:sz w:val="22"/>
          <w:szCs w:val="22"/>
        </w:rPr>
        <w:t xml:space="preserve">The free tier stays free and generous — this is both a distribution mechanic and regulatory positioning</w:t>
      </w:r>
    </w:p>
    <w:p>
      <w:pPr>
        <w:pStyle w:val="ListParagraph"/>
        <w:numPr>
          <w:ilvl w:val="0"/>
          <w:numId w:val="2"/>
        </w:numPr>
        <w:spacing w:after="60" w:before="40"/>
      </w:pPr>
      <w:r>
        <w:rPr>
          <w:rFonts w:ascii="Arial" w:cs="Arial" w:eastAsia="Arial" w:hAnsi="Arial"/>
          <w:b w:val="false"/>
          <w:bCs w:val="false"/>
          <w:color w:val="444444"/>
          <w:sz w:val="22"/>
          <w:szCs w:val="22"/>
        </w:rPr>
        <w:t xml:space="preserve">Pro is positioned as compliance infrastructure, not a premium calculator</w:t>
      </w:r>
    </w:p>
    <w:p>
      <w:pPr>
        <w:pStyle w:val="ListParagraph"/>
        <w:numPr>
          <w:ilvl w:val="0"/>
          <w:numId w:val="2"/>
        </w:numPr>
        <w:spacing w:after="60" w:before="40"/>
      </w:pPr>
      <w:r>
        <w:rPr>
          <w:rFonts w:ascii="Arial" w:cs="Arial" w:eastAsia="Arial" w:hAnsi="Arial"/>
          <w:b w:val="false"/>
          <w:bCs w:val="false"/>
          <w:color w:val="444444"/>
          <w:sz w:val="22"/>
          <w:szCs w:val="22"/>
        </w:rPr>
        <w:t xml:space="preserve">Lifetime deal is the primary monetisation vehicle for this audience — not recurring subscription</w:t>
      </w:r>
    </w:p>
    <w:p>
      <w:pPr>
        <w:pStyle w:val="ListParagraph"/>
        <w:numPr>
          <w:ilvl w:val="0"/>
          <w:numId w:val="2"/>
        </w:numPr>
        <w:spacing w:after="60" w:before="40"/>
      </w:pPr>
      <w:r>
        <w:rPr>
          <w:rFonts w:ascii="Arial" w:cs="Arial" w:eastAsia="Arial" w:hAnsi="Arial"/>
          <w:b w:val="false"/>
          <w:bCs w:val="false"/>
          <w:color w:val="444444"/>
          <w:sz w:val="22"/>
          <w:szCs w:val="22"/>
        </w:rPr>
        <w:t xml:space="preserve">The tax tool is the conversion engine, timed to an annual regulatory deadline</w:t>
      </w:r>
    </w:p>
    <w:p>
      <w:pPr>
        <w:pStyle w:val="ListParagraph"/>
        <w:numPr>
          <w:ilvl w:val="0"/>
          <w:numId w:val="2"/>
        </w:numPr>
        <w:spacing w:after="60" w:before="40"/>
      </w:pPr>
      <w:r>
        <w:rPr>
          <w:rFonts w:ascii="Arial" w:cs="Arial" w:eastAsia="Arial" w:hAnsi="Arial"/>
          <w:b w:val="false"/>
          <w:bCs w:val="false"/>
          <w:color w:val="444444"/>
          <w:sz w:val="22"/>
          <w:szCs w:val="22"/>
        </w:rPr>
        <w:t xml:space="preserve">All features remain local/client-side — this is a privacy choice AND a regulatory shield against FCA authorisation requirements</w:t>
      </w:r>
    </w:p>
    <w:p>
      <w:pPr>
        <w:spacing w:after="120" w:before="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1A"/>
          <w:sz w:val="36"/>
          <w:szCs w:val="36"/>
        </w:rPr>
        <w:t xml:space="preserve">2. Market Opportunity</w:t>
      </w:r>
    </w:p>
    <w:p>
      <w:pPr>
        <w:pStyle w:val="Heading2"/>
        <w:spacing w:after="120" w:before="320"/>
      </w:pPr>
      <w:r>
        <w:rPr>
          <w:rFonts w:ascii="Arial" w:cs="Arial" w:eastAsia="Arial" w:hAnsi="Arial"/>
          <w:b/>
          <w:bCs/>
          <w:color w:val="1A1A1A"/>
          <w:sz w:val="28"/>
          <w:szCs w:val="28"/>
        </w:rPr>
        <w:t xml:space="preserve">2.1 Competitor Failures</w:t>
      </w:r>
    </w:p>
    <w:p>
      <w:pPr>
        <w:spacing w:after="100" w:before="60"/>
      </w:pPr>
      <w:r>
        <w:rPr>
          <w:rFonts w:ascii="Arial" w:cs="Arial" w:eastAsia="Arial" w:hAnsi="Arial"/>
          <w:color w:val="444444"/>
          <w:sz w:val="22"/>
          <w:szCs w:val="22"/>
        </w:rPr>
        <w:t xml:space="preserve">The dominant players — Delta, CoinStats, Kubera, Koinly — all share the same structural weakness: they require API access or wallet connections, creating a privacy paradox for crypto-native users. This is CrypCal's moat.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Price</w:t>
            </w:r>
          </w:p>
        </w:tc>
        <w:tc>
          <w:tcPr>
            <w:tcW w:type="dxa" w:w="43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Core Weakness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Delta by eToro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£6.99–£299 lifetime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Free tier cut to 10 assets; requires API connections</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CoinStats</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~$13.99/mo</w:t>
            </w:r>
          </w:p>
        </w:tc>
        <w:tc>
          <w:tcPr>
            <w:tcW w:type="dxa" w:w="4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Transaction limits; API-dependent; privacy concerns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Kubera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$15/mo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No free tier; extensive permissions required</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Koinly</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£49–£179/tax yr</w:t>
            </w:r>
          </w:p>
        </w:tc>
        <w:tc>
          <w:tcPr>
            <w:tcW w:type="dxa" w:w="4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DeFi reconciliation broken; one user spent 20 days fixing CSV imports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CryptoTaxCalc</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Up to £499/yr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Transaction-based pricing punishes active DeFi users</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2.2 The Blockfolio Orphan</w:t>
      </w:r>
    </w:p>
    <w:p>
      <w:pPr>
        <w:spacing w:after="100" w:before="60"/>
      </w:pPr>
      <w:r>
        <w:rPr>
          <w:rFonts w:ascii="Arial" w:cs="Arial" w:eastAsia="Arial" w:hAnsi="Arial"/>
          <w:color w:val="444444"/>
          <w:sz w:val="22"/>
          <w:szCs w:val="22"/>
        </w:rPr>
        <w:t xml:space="preserve">Blockfolio (150M acquisition by FTX) collapsed in November 2022. Its users wanted: manual entry, no custody, no signup, no wallet connections. They migrated to Delta and CoinStats but remain unsatisfied. CrypCal's existing UX is the closest match to what they lost.</w:t>
      </w:r>
    </w:p>
    <w:p>
      <w:pPr>
        <w:spacing w:after="120" w:before="0"/>
      </w:pPr>
      <w:r>
        <w:t xml:space="preserve"/>
      </w:r>
    </w:p>
    <w:p>
      <w:pPr>
        <w:pStyle w:val="Heading2"/>
        <w:spacing w:after="120" w:before="320"/>
      </w:pPr>
      <w:r>
        <w:rPr>
          <w:rFonts w:ascii="Arial" w:cs="Arial" w:eastAsia="Arial" w:hAnsi="Arial"/>
          <w:b/>
          <w:bCs/>
          <w:color w:val="1A1A1A"/>
          <w:sz w:val="28"/>
          <w:szCs w:val="28"/>
        </w:rPr>
        <w:t xml:space="preserve">2.3 The CARF Catalyst</w:t>
      </w:r>
    </w:p>
    <w:p>
      <w:pPr>
        <w:spacing w:after="100" w:before="60"/>
      </w:pPr>
      <w:r>
        <w:rPr>
          <w:rFonts w:ascii="Arial" w:cs="Arial" w:eastAsia="Arial" w:hAnsi="Arial"/>
          <w:color w:val="444444"/>
          <w:sz w:val="22"/>
          <w:szCs w:val="22"/>
        </w:rPr>
        <w:t xml:space="preserve">From January 2026, UK exchanges are required to report all transaction data to HMRC automatically. This has created acute demand for independent tax estimation tools. Users who previously ignored their crypto tax liability can no longer do so — and they need a tool that calculates their exposure without handing over their data to another third party.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Regulatory Event</w:t>
            </w:r>
          </w:p>
        </w:tc>
        <w:tc>
          <w:tcPr>
            <w:tcW w:type="dxa" w:w="49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 for CrypCal</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Jan 2026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CARF reporting begins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Acute demand spike for tax reconciliation tools</w:t>
            </w:r>
          </w:p>
        </w:tc>
      </w:tr>
      <w:tr>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Jan 31, 2026</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Self Assessment deadline</w:t>
            </w:r>
          </w:p>
        </w:tc>
        <w:tc>
          <w:tcPr>
            <w:tcW w:type="dxa" w:w="4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Peak conversion window — annual recurring urgency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Apr 2026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MTD for Income Tax</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Digital reporting now mandatory for &gt;£50k sole traders</w:t>
            </w:r>
          </w:p>
        </w:tc>
      </w:tr>
      <w:tr>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Jul 2026</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FCA PASS service opens</w:t>
            </w:r>
          </w:p>
        </w:tc>
        <w:tc>
          <w:tcPr>
            <w:tcW w:type="dxa" w:w="4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Verify Pro features don't require authorisation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Sep 30, 2026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FCA authorisation gateway opens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Firms doing 'regulated activities' must register</w:t>
            </w:r>
          </w:p>
        </w:tc>
      </w:tr>
      <w:tr>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Oct 2027</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Full FSMA regime live</w:t>
            </w:r>
          </w:p>
        </w:tc>
        <w:tc>
          <w:tcPr>
            <w:tcW w:type="dxa" w:w="4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Final compliance deadline for all UK crypto fintech</w:t>
            </w:r>
          </w:p>
        </w:tc>
      </w:tr>
    </w:tbl>
    <w:p>
      <w:pPr>
        <w:spacing w:after="120" w:before="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1A"/>
          <w:sz w:val="36"/>
          <w:szCs w:val="36"/>
        </w:rPr>
        <w:t xml:space="preserve">3. Monetisation Model</w:t>
      </w:r>
    </w:p>
    <w:p>
      <w:pPr>
        <w:pStyle w:val="Heading2"/>
        <w:spacing w:after="120" w:before="320"/>
      </w:pPr>
      <w:r>
        <w:rPr>
          <w:rFonts w:ascii="Arial" w:cs="Arial" w:eastAsia="Arial" w:hAnsi="Arial"/>
          <w:b/>
          <w:bCs/>
          <w:color w:val="1A1A1A"/>
          <w:sz w:val="28"/>
          <w:szCs w:val="28"/>
        </w:rPr>
        <w:t xml:space="preserve">3.1 Primary Recommendation: Lifetime + Annual</w:t>
      </w:r>
    </w:p>
    <w:p>
      <w:pPr>
        <w:spacing w:after="100" w:before="60"/>
      </w:pPr>
      <w:r>
        <w:rPr>
          <w:rFonts w:ascii="Arial" w:cs="Arial" w:eastAsia="Arial" w:hAnsi="Arial"/>
          <w:color w:val="444444"/>
          <w:sz w:val="22"/>
          <w:szCs w:val="22"/>
        </w:rPr>
        <w:t xml:space="preserve">The research is unambiguous: crypto-native users treat recurring subscriptions as a paper trail — a persistent financial data point linkable to their identity. Monthly SaaS models perform worse with this audience than any other fintech segment.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rPr>
          <w:tblHeader/>
        </w:trP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Price</w:t>
            </w:r>
          </w:p>
        </w:tc>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Privacy Sentiment</w:t>
            </w:r>
          </w:p>
        </w:tc>
        <w:tc>
          <w:tcPr>
            <w:tcW w:type="dxa" w:w="27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Recommendation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444444"/>
                <w:sz w:val="20"/>
                <w:szCs w:val="20"/>
              </w:rPr>
              <w:t xml:space="preserve">Lifetime (one-time)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444444"/>
                <w:sz w:val="20"/>
                <w:szCs w:val="20"/>
              </w:rPr>
              <w:t xml:space="preserve">£49–£79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High trust — zero ongoing bank link</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6B3A"/>
                <w:sz w:val="20"/>
                <w:szCs w:val="20"/>
              </w:rPr>
              <w:t xml:space="preserve">PRIMARY OFFER</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Annual pass</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£39–£59/yr</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Moderate — reduced frequency</w:t>
            </w:r>
          </w:p>
        </w:tc>
        <w:tc>
          <w:tcPr>
            <w:tcW w:type="dxa" w:w="2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Secondary offer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Monthly subscription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£4.99–£8.99/mo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Suspicious — perceived as tracking beacon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Available but not promoted</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Crypto native payment</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£49 equiv (BTC/ETH/USDC)</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Absolute trust — zero bank link</w:t>
            </w:r>
          </w:p>
        </w:tc>
        <w:tc>
          <w:tcPr>
            <w:tcW w:type="dxa" w:w="2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10% discount incentive</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3.2 The Reverse Trial — Core Conversion Mechanic</w:t>
      </w:r>
    </w:p>
    <w:p>
      <w:pPr>
        <w:spacing w:after="100" w:before="60"/>
      </w:pPr>
      <w:r>
        <w:rPr>
          <w:rFonts w:ascii="Arial" w:cs="Arial" w:eastAsia="Arial" w:hAnsi="Arial"/>
          <w:color w:val="444444"/>
          <w:sz w:val="22"/>
          <w:szCs w:val="22"/>
        </w:rPr>
        <w:t xml:space="preserve">Do NOT put features behind a paywall upfront. Let users complete the entire workflow for free, then gate the export.</w:t>
      </w:r>
    </w:p>
    <w:p>
      <w:pPr>
        <w:spacing w:after="120" w:before="0"/>
      </w:pPr>
      <w:r>
        <w:t xml:space="preserve"/>
      </w:r>
    </w:p>
    <w:p>
      <w:pPr>
        <w:pStyle w:val="ListParagraph"/>
        <w:numPr>
          <w:ilvl w:val="0"/>
          <w:numId w:val="2"/>
        </w:numPr>
        <w:spacing w:after="60" w:before="40"/>
      </w:pPr>
      <w:r>
        <w:rPr>
          <w:rFonts w:ascii="Arial" w:cs="Arial" w:eastAsia="Arial" w:hAnsi="Arial"/>
          <w:b w:val="false"/>
          <w:bCs w:val="false"/>
          <w:color w:val="444444"/>
          <w:sz w:val="22"/>
          <w:szCs w:val="22"/>
        </w:rPr>
        <w:t xml:space="preserve">User uploads their transaction CSV</w:t>
      </w:r>
    </w:p>
    <w:p>
      <w:pPr>
        <w:pStyle w:val="ListParagraph"/>
        <w:numPr>
          <w:ilvl w:val="0"/>
          <w:numId w:val="2"/>
        </w:numPr>
        <w:spacing w:after="60" w:before="40"/>
      </w:pPr>
      <w:r>
        <w:rPr>
          <w:rFonts w:ascii="Arial" w:cs="Arial" w:eastAsia="Arial" w:hAnsi="Arial"/>
          <w:b w:val="false"/>
          <w:bCs w:val="false"/>
          <w:color w:val="444444"/>
          <w:sz w:val="22"/>
          <w:szCs w:val="22"/>
        </w:rPr>
        <w:t xml:space="preserve">Tax tool runs all calculations locally — full output visible</w:t>
      </w:r>
    </w:p>
    <w:p>
      <w:pPr>
        <w:pStyle w:val="ListParagraph"/>
        <w:numPr>
          <w:ilvl w:val="0"/>
          <w:numId w:val="2"/>
        </w:numPr>
        <w:spacing w:after="60" w:before="40"/>
      </w:pPr>
      <w:r>
        <w:rPr>
          <w:rFonts w:ascii="Arial" w:cs="Arial" w:eastAsia="Arial" w:hAnsi="Arial"/>
          <w:b w:val="false"/>
          <w:bCs w:val="false"/>
          <w:color w:val="444444"/>
          <w:sz w:val="22"/>
          <w:szCs w:val="22"/>
        </w:rPr>
        <w:t xml:space="preserve">At export/download: paywall appears</w:t>
      </w:r>
    </w:p>
    <w:p>
      <w:pPr>
        <w:pStyle w:val="ListParagraph"/>
        <w:numPr>
          <w:ilvl w:val="0"/>
          <w:numId w:val="2"/>
        </w:numPr>
        <w:spacing w:after="60" w:before="40"/>
      </w:pPr>
      <w:r>
        <w:rPr>
          <w:rFonts w:ascii="Arial" w:cs="Arial" w:eastAsia="Arial" w:hAnsi="Arial"/>
          <w:b w:val="false"/>
          <w:bCs w:val="false"/>
          <w:color w:val="444444"/>
          <w:sz w:val="22"/>
          <w:szCs w:val="22"/>
        </w:rPr>
        <w:t xml:space="preserve">User has already done the work. They've seen their number. They pay to keep it.</w:t>
      </w:r>
    </w:p>
    <w:p>
      <w:pPr>
        <w:spacing w:after="100" w:before="60"/>
      </w:pPr>
      <w:r>
        <w:rPr>
          <w:rFonts w:ascii="Arial" w:cs="Arial" w:eastAsia="Arial" w:hAnsi="Arial"/>
          <w:i/>
          <w:iCs/>
          <w:color w:val="444444"/>
          <w:sz w:val="22"/>
          <w:szCs w:val="22"/>
        </w:rPr>
        <w:t xml:space="preserve">This is 5x more effective than gating the tool itself. The user is paying for a completed report, not a hypothetical feature.</w:t>
      </w:r>
    </w:p>
    <w:p>
      <w:pPr>
        <w:spacing w:after="120" w:before="0"/>
      </w:pPr>
      <w:r>
        <w:t xml:space="preserve"/>
      </w:r>
    </w:p>
    <w:p>
      <w:pPr>
        <w:pStyle w:val="Heading2"/>
        <w:spacing w:after="120" w:before="320"/>
      </w:pPr>
      <w:r>
        <w:rPr>
          <w:rFonts w:ascii="Arial" w:cs="Arial" w:eastAsia="Arial" w:hAnsi="Arial"/>
          <w:b/>
          <w:bCs/>
          <w:color w:val="1A1A1A"/>
          <w:sz w:val="28"/>
          <w:szCs w:val="28"/>
        </w:rPr>
        <w:t xml:space="preserve">3.3 Crypto Payment</w:t>
      </w:r>
    </w:p>
    <w:p>
      <w:pPr>
        <w:spacing w:after="100" w:before="60"/>
      </w:pPr>
      <w:r>
        <w:rPr>
          <w:rFonts w:ascii="Arial" w:cs="Arial" w:eastAsia="Arial" w:hAnsi="Arial"/>
          <w:color w:val="444444"/>
          <w:sz w:val="22"/>
          <w:szCs w:val="22"/>
        </w:rPr>
        <w:t xml:space="preserve">Accept BTC, ETH, and USDC via Triple-A (regulated, GBP payout next day) or BTCPay Server (self-hosted, 0% fees, more technical overhead). Offer 10% discount for crypto payment. This validates the privacy-first brand at the transaction level.</w:t>
      </w:r>
    </w:p>
    <w:p>
      <w:pPr>
        <w:spacing w:after="100" w:before="60"/>
      </w:pPr>
      <w:r>
        <w:rPr>
          <w:rFonts w:ascii="Arial" w:cs="Arial" w:eastAsia="Arial" w:hAnsi="Arial"/>
          <w:color w:val="444444"/>
          <w:sz w:val="22"/>
          <w:szCs w:val="22"/>
        </w:rPr>
        <w:t xml:space="preserve">UK sole trader note: crypto received as payment is treated as trading income at GBP value on receipt date. Any subsequent gain on held crypto is subject to CGT. Log everything.</w:t>
      </w:r>
    </w:p>
    <w:p>
      <w:pPr>
        <w:spacing w:after="120" w:before="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1A"/>
          <w:sz w:val="36"/>
          <w:szCs w:val="36"/>
        </w:rPr>
        <w:t xml:space="preserve">4. Pro Feature Roadmap (Priority Order)</w:t>
      </w:r>
    </w:p>
    <w:p>
      <w:pPr>
        <w:spacing w:after="100" w:before="60"/>
      </w:pPr>
      <w:r>
        <w:rPr>
          <w:rFonts w:ascii="Arial" w:cs="Arial" w:eastAsia="Arial" w:hAnsi="Arial"/>
          <w:color w:val="444444"/>
          <w:sz w:val="22"/>
          <w:szCs w:val="22"/>
        </w:rPr>
        <w:t xml:space="preserve">All features must remain client-side/local-only. This is non-negotiable — both for the privacy brand and to stay outside FCA authorisation requirements.</w:t>
      </w:r>
    </w:p>
    <w:p>
      <w:pPr>
        <w:spacing w:after="120" w:before="0"/>
      </w:pPr>
      <w:r>
        <w:t xml:space="preserve"/>
      </w:r>
    </w:p>
    <w:p>
      <w:pPr>
        <w:pStyle w:val="Heading2"/>
        <w:spacing w:after="120" w:before="320"/>
      </w:pPr>
      <w:r>
        <w:rPr>
          <w:rFonts w:ascii="Arial" w:cs="Arial" w:eastAsia="Arial" w:hAnsi="Arial"/>
          <w:b/>
          <w:bCs/>
          <w:color w:val="1A1A1A"/>
          <w:sz w:val="28"/>
          <w:szCs w:val="28"/>
        </w:rPr>
        <w:t xml:space="preserve">Feature 1: UK Tax Strategist —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Conversion priority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Highest — deadline-driven urgency every January</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What it does</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Applies Same-Day, Bed &amp; Breakfast, Section 104 Pool rules to user-uploaded CSV</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Input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User uploads their own exchange CSV (Binance, Coinbase, Kraken formats)</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Output</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Estimated CGT liability — labelled 'reasonable care estimate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Gating mechanic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Reverse trial — full calculation free, export/download behind paywall</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Privacy model</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Excellent — all processing local, nothing sent to server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FCA compliance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Compliant — descriptive output only, no prescriptive advice</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Regulatory window</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January Self Assessment peak, annual recurring trigger</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Feature 2: Liquidation Stress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Conversion priority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High — near-liquidation events are acute emotional triggers</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What it does</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Simulates cascading liquidations across cross-margin positions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Input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Entry price, position size, leverage, collateral, funding rate</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Output</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Liquidation price, buffer %, cascade simulation for scenario drops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Key differentiator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Users distrust exchange-native tools — conflict of interest (exchanges profit from liquidations)</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Privacy model</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Excellent — client-side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Distribution angle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Target leveraged traders on r/WallStreetBets and crypto Discord servers</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Feature 3: Net Yield &amp; Impermanent Loss Modeler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Conversion priority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Medium-high — DeFi users consistently underestimate true costs</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What it does</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Calculates 'Profit vs HODL' for yield farming positions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Input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Token prices, entry/exit, gas costs, compounding frequency, LP share</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Output</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Net yield after gas, IL comparison against pure hold strategy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Privacy model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Good — primarily client-side, may use public gas feed</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Feature 4: Ghost Multi-Portfolio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Conversion priority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Medium — high loyalty once adopted</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What it does</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Up to 5 distinct portfolios (Long-term, Trading, Experimental etc.)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Local-only, optional encrypted cross-device sync via user-held keys — never central server</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Target user</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Privacy Minimalist and Blockfolio Orphan personas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Privacy model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Excellent — directly monetises the privacy-first brand proposition</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Feature 5: Rebalancing Blueprint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Conversion priority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Medium — high stickiness for DCA investors</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What it does</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Inputs current holdings + target allocation, outputs mathematical difference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FCA boundary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COMPLIANT — must say 'Your BTC is 10% above target', NEVER 'Sell X BTC'</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Privacy model</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Good — user-entered data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Note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Do NOT add one-click execution. This triggers FCA authorisation.</w:t>
            </w:r>
          </w:p>
        </w:tc>
      </w:tr>
    </w:tbl>
    <w:p>
      <w:pPr>
        <w:spacing w:after="120" w:before="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1A"/>
          <w:sz w:val="36"/>
          <w:szCs w:val="36"/>
        </w:rPr>
        <w:t xml:space="preserve">5. Chrome Extension — Financial HUD</w:t>
      </w:r>
    </w:p>
    <w:p>
      <w:pPr>
        <w:spacing w:after="100" w:before="60"/>
      </w:pPr>
      <w:r>
        <w:rPr>
          <w:rFonts w:ascii="Arial" w:cs="Arial" w:eastAsia="Arial" w:hAnsi="Arial"/>
          <w:color w:val="444444"/>
          <w:sz w:val="22"/>
          <w:szCs w:val="22"/>
        </w:rPr>
        <w:t xml:space="preserve">The extension shifts CrypCal from 'a tab I open' to 'a tool that's always there'. This is the stickiness multiplier.</w:t>
      </w:r>
    </w:p>
    <w:p>
      <w:pPr>
        <w:spacing w:after="120" w:before="0"/>
      </w:pPr>
      <w:r>
        <w:t xml:space="preserve"/>
      </w:r>
    </w:p>
    <w:p>
      <w:pPr>
        <w:pStyle w:val="Heading2"/>
        <w:spacing w:after="120" w:before="320"/>
      </w:pPr>
      <w:r>
        <w:rPr>
          <w:rFonts w:ascii="Arial" w:cs="Arial" w:eastAsia="Arial" w:hAnsi="Arial"/>
          <w:b/>
          <w:bCs/>
          <w:color w:val="1A1A1A"/>
          <w:sz w:val="28"/>
          <w:szCs w:val="28"/>
        </w:rPr>
        <w:t xml:space="preserve">Target Pages &amp;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 Type</w:t>
            </w:r>
          </w:p>
        </w:tc>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User Need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Binance / Kraken / Coinbase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Sidebar liquidation buffer score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Real-time risk without tab-switching</w:t>
            </w:r>
          </w:p>
        </w:tc>
      </w:tr>
      <w:tr>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CoinGecko / CoinMarketCap</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'What if I put £500 here?' button</w:t>
            </w:r>
          </w:p>
        </w:tc>
        <w:tc>
          <w:tcPr>
            <w:tcW w:type="dxa" w:w="4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Instant DCA simulation on data pages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Any crypto page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Cost-basis sticky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User's purchase price follows them, auto P&amp;L everywhere</w:t>
            </w:r>
          </w:p>
        </w:tc>
      </w:tr>
      <w:tr>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DeFi pages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Gas-adjusted profit overlay</w:t>
            </w:r>
          </w:p>
        </w:tc>
        <w:tc>
          <w:tcPr>
            <w:tcW w:type="dxa" w:w="4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Real profit after current gas — strips away misleading APY</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Distribution Plan</w:t>
      </w:r>
    </w:p>
    <w:p>
      <w:pPr>
        <w:pStyle w:val="ListParagraph"/>
        <w:numPr>
          <w:ilvl w:val="0"/>
          <w:numId w:val="2"/>
        </w:numPr>
        <w:spacing w:after="60" w:before="40"/>
      </w:pPr>
      <w:r>
        <w:rPr>
          <w:rFonts w:ascii="Arial" w:cs="Arial" w:eastAsia="Arial" w:hAnsi="Arial"/>
          <w:b w:val="false"/>
          <w:bCs w:val="false"/>
          <w:color w:val="444444"/>
          <w:sz w:val="22"/>
          <w:szCs w:val="22"/>
        </w:rPr>
        <w:t xml:space="preserve">Free extension: direct download from calccrypto.com (no Chrome Web Store initially)</w:t>
      </w:r>
    </w:p>
    <w:p>
      <w:pPr>
        <w:pStyle w:val="ListParagraph"/>
        <w:numPr>
          <w:ilvl w:val="0"/>
          <w:numId w:val="2"/>
        </w:numPr>
        <w:spacing w:after="60" w:before="40"/>
      </w:pPr>
      <w:r>
        <w:rPr>
          <w:rFonts w:ascii="Arial" w:cs="Arial" w:eastAsia="Arial" w:hAnsi="Arial"/>
          <w:b w:val="false"/>
          <w:bCs w:val="false"/>
          <w:color w:val="444444"/>
          <w:sz w:val="22"/>
          <w:szCs w:val="22"/>
        </w:rPr>
        <w:t xml:space="preserve">Install method: unpacked zip, developer mode — same approach as your other extensions</w:t>
      </w:r>
    </w:p>
    <w:p>
      <w:pPr>
        <w:pStyle w:val="ListParagraph"/>
        <w:numPr>
          <w:ilvl w:val="0"/>
          <w:numId w:val="2"/>
        </w:numPr>
        <w:spacing w:after="60" w:before="40"/>
      </w:pPr>
      <w:r>
        <w:rPr>
          <w:rFonts w:ascii="Arial" w:cs="Arial" w:eastAsia="Arial" w:hAnsi="Arial"/>
          <w:b w:val="false"/>
          <w:bCs w:val="false"/>
          <w:color w:val="444444"/>
          <w:sz w:val="22"/>
          <w:szCs w:val="22"/>
        </w:rPr>
        <w:t xml:space="preserve">Pro extension features: unlocked via license key from Gumroad/Stripe purchase</w:t>
      </w:r>
    </w:p>
    <w:p>
      <w:pPr>
        <w:pStyle w:val="ListParagraph"/>
        <w:numPr>
          <w:ilvl w:val="0"/>
          <w:numId w:val="2"/>
        </w:numPr>
        <w:spacing w:after="60" w:before="40"/>
      </w:pPr>
      <w:r>
        <w:rPr>
          <w:rFonts w:ascii="Arial" w:cs="Arial" w:eastAsia="Arial" w:hAnsi="Arial"/>
          <w:b w:val="false"/>
          <w:bCs w:val="false"/>
          <w:color w:val="444444"/>
          <w:sz w:val="22"/>
          <w:szCs w:val="22"/>
        </w:rPr>
        <w:t xml:space="preserve">Build: Vanilla JS + CSS, Shadow DOM for isolation, no framework, no build step</w:t>
      </w:r>
    </w:p>
    <w:p>
      <w:pPr>
        <w:spacing w:after="120" w:before="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1A"/>
          <w:sz w:val="36"/>
          <w:szCs w:val="36"/>
        </w:rPr>
        <w:t xml:space="preserve">6. Distribution Strategy</w:t>
      </w:r>
    </w:p>
    <w:p>
      <w:pPr>
        <w:pStyle w:val="Heading2"/>
        <w:spacing w:after="120" w:before="320"/>
      </w:pPr>
      <w:r>
        <w:rPr>
          <w:rFonts w:ascii="Arial" w:cs="Arial" w:eastAsia="Arial" w:hAnsi="Arial"/>
          <w:b/>
          <w:bCs/>
          <w:color w:val="1A1A1A"/>
          <w:sz w:val="28"/>
          <w:szCs w:val="28"/>
        </w:rPr>
        <w:t xml:space="preserve">6.1 Primary Channels</w:t>
      </w:r>
    </w:p>
    <w:p>
      <w:pPr>
        <w:spacing w:after="100" w:before="60"/>
      </w:pPr>
      <w:r>
        <w:rPr>
          <w:rFonts w:ascii="Arial" w:cs="Arial" w:eastAsia="Arial" w:hAnsi="Arial"/>
          <w:color w:val="444444"/>
          <w:sz w:val="22"/>
          <w:szCs w:val="22"/>
        </w:rPr>
        <w:t xml:space="preserve">This audience does not live in ad-supported ecosystems. Paid ads will underperform. The viral coefficient for a useful free crypto tool with no signup is estimated at 0.8–1.2 (every 10 users bring 8–12 more). No-signup = 4x more likely to be shared because there's no perceived referral incentive.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Channel</w:t>
            </w:r>
          </w:p>
        </w:tc>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Format</w:t>
            </w:r>
          </w:p>
        </w:tc>
        <w:tc>
          <w:tcPr>
            <w:tcW w:type="dxa" w:w="43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r/UKPersonalFinance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'I built this' post + tax tool demo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Best for HMRC/CGT angle — high-intent audience</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r/CryptoCurrency</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Tool launch post + viral calculator demo</w:t>
            </w:r>
          </w:p>
        </w:tc>
        <w:tc>
          <w:tcPr>
            <w:tcW w:type="dxa" w:w="4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Largest reach, shareable result screenshots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r/WallStreetBets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Stress tester demo post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High leverage users — acute liquidation risk interest</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Crypto Discord servers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Partner with Jacob Crypto Bury, Cryptohub</w:t>
            </w:r>
          </w:p>
        </w:tc>
        <w:tc>
          <w:tcPr>
            <w:tcW w:type="dxa" w:w="4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Offer stress tester as core utility for traders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X/Twitter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HMRC-cycle content (Oct–Jan)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Regulatory scare events drive spikes — be ready</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6.2 Content That Works</w:t>
      </w:r>
    </w:p>
    <w:p>
      <w:pPr>
        <w:pStyle w:val="ListParagraph"/>
        <w:numPr>
          <w:ilvl w:val="0"/>
          <w:numId w:val="2"/>
        </w:numPr>
        <w:spacing w:after="60" w:before="40"/>
      </w:pPr>
      <w:r>
        <w:rPr>
          <w:rFonts w:ascii="Arial" w:cs="Arial" w:eastAsia="Arial" w:hAnsi="Arial"/>
          <w:b w:val="false"/>
          <w:bCs w:val="false"/>
          <w:color w:val="444444"/>
          <w:sz w:val="22"/>
          <w:szCs w:val="22"/>
        </w:rPr>
        <w:t xml:space="preserve">'I built this' organic post — humanises the tool, builds trust, no ad bias</w:t>
      </w:r>
    </w:p>
    <w:p>
      <w:pPr>
        <w:pStyle w:val="ListParagraph"/>
        <w:numPr>
          <w:ilvl w:val="0"/>
          <w:numId w:val="2"/>
        </w:numPr>
        <w:spacing w:after="60" w:before="40"/>
      </w:pPr>
      <w:r>
        <w:rPr>
          <w:rFonts w:ascii="Arial" w:cs="Arial" w:eastAsia="Arial" w:hAnsi="Arial"/>
          <w:b w:val="false"/>
          <w:bCs w:val="false"/>
          <w:color w:val="444444"/>
          <w:sz w:val="22"/>
          <w:szCs w:val="22"/>
        </w:rPr>
        <w:t xml:space="preserve">HMRC nudge letter response guides — publish October–January, drives tax tool sign-ups</w:t>
      </w:r>
    </w:p>
    <w:p>
      <w:pPr>
        <w:pStyle w:val="ListParagraph"/>
        <w:numPr>
          <w:ilvl w:val="0"/>
          <w:numId w:val="2"/>
        </w:numPr>
        <w:spacing w:after="60" w:before="40"/>
      </w:pPr>
      <w:r>
        <w:rPr>
          <w:rFonts w:ascii="Arial" w:cs="Arial" w:eastAsia="Arial" w:hAnsi="Arial"/>
          <w:b w:val="false"/>
          <w:bCs w:val="false"/>
          <w:color w:val="444444"/>
          <w:sz w:val="22"/>
          <w:szCs w:val="22"/>
        </w:rPr>
        <w:t xml:space="preserve">Viral calculator demo — shareable screenshots of DCA results or liquidation simulations</w:t>
      </w:r>
    </w:p>
    <w:p>
      <w:pPr>
        <w:pStyle w:val="ListParagraph"/>
        <w:numPr>
          <w:ilvl w:val="0"/>
          <w:numId w:val="2"/>
        </w:numPr>
        <w:spacing w:after="60" w:before="40"/>
      </w:pPr>
      <w:r>
        <w:rPr>
          <w:rFonts w:ascii="Arial" w:cs="Arial" w:eastAsia="Arial" w:hAnsi="Arial"/>
          <w:b w:val="false"/>
          <w:bCs w:val="false"/>
          <w:color w:val="444444"/>
          <w:sz w:val="22"/>
          <w:szCs w:val="22"/>
        </w:rPr>
        <w:t xml:space="preserve">Comparison articles — 'CrypCal vs Koinly' SEO content targeting competitor brand searches</w:t>
      </w:r>
    </w:p>
    <w:p>
      <w:pPr>
        <w:spacing w:after="120" w:before="0"/>
      </w:pPr>
      <w:r>
        <w:t xml:space="preserve"/>
      </w:r>
    </w:p>
    <w:p>
      <w:pPr>
        <w:pStyle w:val="Heading2"/>
        <w:spacing w:after="120" w:before="320"/>
      </w:pPr>
      <w:r>
        <w:rPr>
          <w:rFonts w:ascii="Arial" w:cs="Arial" w:eastAsia="Arial" w:hAnsi="Arial"/>
          <w:b/>
          <w:bCs/>
          <w:color w:val="1A1A1A"/>
          <w:sz w:val="28"/>
          <w:szCs w:val="28"/>
        </w:rPr>
        <w:t xml:space="preserve">6.3 CalcCrypto ↔ Alerts Subdomain Upsell</w:t>
      </w:r>
    </w:p>
    <w:p>
      <w:pPr>
        <w:spacing w:after="100" w:before="60"/>
      </w:pPr>
      <w:r>
        <w:rPr>
          <w:rFonts w:ascii="Arial" w:cs="Arial" w:eastAsia="Arial" w:hAnsi="Arial"/>
          <w:color w:val="444444"/>
          <w:sz w:val="22"/>
          <w:szCs w:val="22"/>
        </w:rPr>
        <w:t xml:space="preserve">On any calculator result page, add: 'Get notified when BTC hits your target price → alerts.calccrypto.com'. Pre-fill the coin and price. One click. This is free top-of-funnel for the alerts product and adds perceived value to the main site.</w:t>
      </w:r>
    </w:p>
    <w:p>
      <w:pPr>
        <w:spacing w:after="120" w:before="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1A"/>
          <w:sz w:val="36"/>
          <w:szCs w:val="36"/>
        </w:rPr>
        <w:t xml:space="preserve">7. Regulatory Boundaries (UK)</w:t>
      </w:r>
    </w:p>
    <w:p>
      <w:pPr>
        <w:spacing w:after="100" w:before="60"/>
      </w:pPr>
      <w:r>
        <w:rPr>
          <w:rFonts w:ascii="Arial" w:cs="Arial" w:eastAsia="Arial" w:hAnsi="Arial"/>
          <w:color w:val="444444"/>
          <w:sz w:val="22"/>
          <w:szCs w:val="22"/>
        </w:rPr>
        <w:t xml:space="preserve">The single most important rule: CrypCal is an information provider, not a financial advisor. The line is defined by whether an output contains a 'recommendation'.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Compliant Version</w:t>
            </w:r>
          </w:p>
        </w:tc>
        <w:tc>
          <w:tcPr>
            <w:tcW w:type="dxa" w:w="39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Non-Compliant Version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Tax tool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'Your estimated CGT liability is £X based on your inputs'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'You should sell Asset Y before April 5 to reduce your bill'</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Rebalancing</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'Your BTC is 10% above target. The difference is +0.5 BTC'</w:t>
            </w:r>
          </w:p>
        </w:tc>
        <w:tc>
          <w:tcPr>
            <w:tcW w:type="dxa" w:w="3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'Sell 0.5 BTC to rebalance your portfolio'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Stress tester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'At -15% price, your liquidation buffer is £X'</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'You should reduce leverage to avoid liquidation'</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Portfolio manager</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Display holdings, P&amp;L, allocation %</w:t>
            </w:r>
          </w:p>
        </w:tc>
        <w:tc>
          <w:tcPr>
            <w:tcW w:type="dxa" w:w="3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Suggest which assets to buy/sell based on performance</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Safe Harbour Rules (apply to every Pro feature)</w:t>
      </w:r>
    </w:p>
    <w:p>
      <w:pPr>
        <w:pStyle w:val="ListParagraph"/>
        <w:numPr>
          <w:ilvl w:val="0"/>
          <w:numId w:val="2"/>
        </w:numPr>
        <w:spacing w:after="60" w:before="40"/>
      </w:pPr>
      <w:r>
        <w:rPr>
          <w:rFonts w:ascii="Arial" w:cs="Arial" w:eastAsia="Arial" w:hAnsi="Arial"/>
          <w:b w:val="false"/>
          <w:bCs w:val="false"/>
          <w:color w:val="444444"/>
          <w:sz w:val="22"/>
          <w:szCs w:val="22"/>
        </w:rPr>
        <w:t xml:space="preserve">All data must be user-inputted — never assumed or fetched from linked accounts</w:t>
      </w:r>
    </w:p>
    <w:p>
      <w:pPr>
        <w:pStyle w:val="ListParagraph"/>
        <w:numPr>
          <w:ilvl w:val="0"/>
          <w:numId w:val="2"/>
        </w:numPr>
        <w:spacing w:after="60" w:before="40"/>
      </w:pPr>
      <w:r>
        <w:rPr>
          <w:rFonts w:ascii="Arial" w:cs="Arial" w:eastAsia="Arial" w:hAnsi="Arial"/>
          <w:b w:val="false"/>
          <w:bCs w:val="false"/>
          <w:color w:val="444444"/>
          <w:sz w:val="22"/>
          <w:szCs w:val="22"/>
        </w:rPr>
        <w:t xml:space="preserve">Output must be descriptive, never prescriptive</w:t>
      </w:r>
    </w:p>
    <w:p>
      <w:pPr>
        <w:pStyle w:val="ListParagraph"/>
        <w:numPr>
          <w:ilvl w:val="0"/>
          <w:numId w:val="2"/>
        </w:numPr>
        <w:spacing w:after="60" w:before="40"/>
      </w:pPr>
      <w:r>
        <w:rPr>
          <w:rFonts w:ascii="Arial" w:cs="Arial" w:eastAsia="Arial" w:hAnsi="Arial"/>
          <w:b w:val="false"/>
          <w:bCs w:val="false"/>
          <w:color w:val="444444"/>
          <w:sz w:val="22"/>
          <w:szCs w:val="22"/>
        </w:rPr>
        <w:t xml:space="preserve">Prominent disclaimer on every feature: 'This is not financial, tax, or investment advice'</w:t>
      </w:r>
    </w:p>
    <w:p>
      <w:pPr>
        <w:pStyle w:val="ListParagraph"/>
        <w:numPr>
          <w:ilvl w:val="0"/>
          <w:numId w:val="2"/>
        </w:numPr>
        <w:spacing w:after="60" w:before="40"/>
      </w:pPr>
      <w:r>
        <w:rPr>
          <w:rFonts w:ascii="Arial" w:cs="Arial" w:eastAsia="Arial" w:hAnsi="Arial"/>
          <w:b w:val="false"/>
          <w:bCs w:val="false"/>
          <w:color w:val="444444"/>
          <w:sz w:val="22"/>
          <w:szCs w:val="22"/>
        </w:rPr>
        <w:t xml:space="preserve">Never add merit-based judgements on specific assets</w:t>
      </w:r>
    </w:p>
    <w:p>
      <w:pPr>
        <w:pStyle w:val="ListParagraph"/>
        <w:numPr>
          <w:ilvl w:val="0"/>
          <w:numId w:val="2"/>
        </w:numPr>
        <w:spacing w:after="60" w:before="40"/>
      </w:pPr>
      <w:r>
        <w:rPr>
          <w:rFonts w:ascii="Arial" w:cs="Arial" w:eastAsia="Arial" w:hAnsi="Arial"/>
          <w:b w:val="false"/>
          <w:bCs w:val="false"/>
          <w:color w:val="444444"/>
          <w:sz w:val="22"/>
          <w:szCs w:val="22"/>
        </w:rPr>
        <w:t xml:space="preserve">Never add one-click trade execution — this triggers FCA authorisation requirement</w:t>
      </w:r>
    </w:p>
    <w:p>
      <w:pPr>
        <w:pStyle w:val="ListParagraph"/>
        <w:numPr>
          <w:ilvl w:val="0"/>
          <w:numId w:val="2"/>
        </w:numPr>
        <w:spacing w:after="60" w:before="40"/>
      </w:pPr>
      <w:r>
        <w:rPr>
          <w:rFonts w:ascii="Arial" w:cs="Arial" w:eastAsia="Arial" w:hAnsi="Arial"/>
          <w:b w:val="false"/>
          <w:bCs w:val="false"/>
          <w:color w:val="444444"/>
          <w:sz w:val="22"/>
          <w:szCs w:val="22"/>
        </w:rPr>
        <w:t xml:space="preserve">Local-only architecture is both the privacy promise AND the regulatory shield — do not compromise it</w:t>
      </w:r>
    </w:p>
    <w:p>
      <w:pPr>
        <w:spacing w:after="120" w:before="0"/>
      </w:pPr>
      <w:r>
        <w:t xml:space="preserve"/>
      </w:r>
    </w:p>
    <w:p>
      <w:pPr>
        <w:spacing w:after="100" w:before="60"/>
      </w:pPr>
      <w:r>
        <w:rPr>
          <w:rFonts w:ascii="Arial" w:cs="Arial" w:eastAsia="Arial" w:hAnsi="Arial"/>
          <w:color w:val="444444"/>
          <w:sz w:val="22"/>
          <w:szCs w:val="22"/>
        </w:rPr>
        <w:t xml:space="preserve">FCA PASS Service opens July 2026. Use it to verify the rebalancing and stress tester features before launch if in doubt.</w:t>
      </w:r>
    </w:p>
    <w:p>
      <w:pPr>
        <w:spacing w:after="120" w:before="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1A"/>
          <w:sz w:val="36"/>
          <w:szCs w:val="36"/>
        </w:rPr>
        <w:t xml:space="preserve">8. Build Order</w:t>
      </w:r>
    </w:p>
    <w:p>
      <w:pPr>
        <w:spacing w:after="100" w:before="60"/>
      </w:pPr>
      <w:r>
        <w:rPr>
          <w:rFonts w:ascii="Arial" w:cs="Arial" w:eastAsia="Arial" w:hAnsi="Arial"/>
          <w:color w:val="444444"/>
          <w:sz w:val="22"/>
          <w:szCs w:val="22"/>
        </w:rPr>
        <w:t xml:space="preserve">Optimised for fastest path to first paid conversion. Each phase is independently shippable.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000"/>
        <w:gridCol w:w="2560"/>
      </w:tblGrid>
      <w:tr>
        <w:trPr>
          <w:tblHeader/>
        </w:trPr>
        <w:tc>
          <w:tcPr>
            <w:tcW w:type="dxa" w:w="14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34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to Build</w:t>
            </w:r>
          </w:p>
        </w:tc>
        <w:tc>
          <w:tcPr>
            <w:tcW w:type="dxa" w:w="20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25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Revenue Trigger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444444"/>
                <w:sz w:val="20"/>
                <w:szCs w:val="20"/>
              </w:rPr>
              <w:t xml:space="preserve">Phase 1</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UK Tax Strategist (reverse trial) + Stripe/crypto payment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Jan 2027 Self Assessment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First paid conversion</w:t>
            </w:r>
          </w:p>
        </w:tc>
      </w:tr>
      <w:tr>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bCs/>
                <w:color w:val="444444"/>
                <w:sz w:val="20"/>
                <w:szCs w:val="20"/>
              </w:rPr>
              <w:t xml:space="preserve">Phase 2</w:t>
            </w:r>
          </w:p>
        </w:tc>
        <w:tc>
          <w:tcPr>
            <w:tcW w:type="dxa" w:w="3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Liquidation Stress Tester + Chrome extension sidebar</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Active traders</w:t>
            </w:r>
          </w:p>
        </w:tc>
        <w:tc>
          <w:tcPr>
            <w:tcW w:type="dxa" w:w="2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Pro tier upsell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444444"/>
                <w:sz w:val="20"/>
                <w:szCs w:val="20"/>
              </w:rPr>
              <w:t xml:space="preserve">Phase 3</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Net Yield &amp; IL Modeler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DeFi users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Expand Pro value</w:t>
            </w:r>
          </w:p>
        </w:tc>
      </w:tr>
      <w:tr>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bCs/>
                <w:color w:val="444444"/>
                <w:sz w:val="20"/>
                <w:szCs w:val="20"/>
              </w:rPr>
              <w:t xml:space="preserve">Phase 4</w:t>
            </w:r>
          </w:p>
        </w:tc>
        <w:tc>
          <w:tcPr>
            <w:tcW w:type="dxa" w:w="3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Ghost Multi-Portfolio Manager</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Blockfolio orphans</w:t>
            </w:r>
          </w:p>
        </w:tc>
        <w:tc>
          <w:tcPr>
            <w:tcW w:type="dxa" w:w="2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Retention + loyalty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444444"/>
                <w:sz w:val="20"/>
                <w:szCs w:val="20"/>
              </w:rPr>
              <w:t xml:space="preserve">Phase 5</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Rebalancing Blueprint Generator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DCA investors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Stickiness feature</w:t>
            </w:r>
          </w:p>
        </w:tc>
      </w:tr>
      <w:tr>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bCs/>
                <w:color w:val="444444"/>
                <w:sz w:val="20"/>
                <w:szCs w:val="20"/>
              </w:rPr>
              <w:t xml:space="preserve">Parallel</w:t>
            </w:r>
          </w:p>
        </w:tc>
        <w:tc>
          <w:tcPr>
            <w:tcW w:type="dxa" w:w="3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alerts.calccrypto.com subdomain</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All users</w:t>
            </w:r>
          </w:p>
        </w:tc>
        <w:tc>
          <w:tcPr>
            <w:tcW w:type="dxa" w:w="2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Separate revenue stream</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Pricing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160"/>
      </w:tblGrid>
      <w:tr>
        <w:trPr>
          <w:tblHeader/>
        </w:trPr>
        <w:tc>
          <w:tcPr>
            <w:tcW w:type="dxa" w:w="20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Price</w:t>
            </w:r>
          </w:p>
        </w:tc>
        <w:tc>
          <w:tcPr>
            <w:tcW w:type="dxa" w:w="32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Includes</w:t>
            </w:r>
          </w:p>
        </w:tc>
        <w:tc>
          <w:tcPr>
            <w:tcW w:type="dxa" w:w="21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Persona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£0</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Profit/Loss, DCA, Staking calculators — no signup</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Everyone — top of funnel</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bCs/>
                <w:color w:val="444444"/>
                <w:sz w:val="20"/>
                <w:szCs w:val="20"/>
              </w:rPr>
              <w:t xml:space="preserve">Pro Lifetime</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bCs/>
                <w:color w:val="444444"/>
                <w:sz w:val="20"/>
                <w:szCs w:val="20"/>
              </w:rPr>
              <w:t xml:space="preserve">£49–£79 one-time</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All Pro features, all future updates, crypto payment accepted</w:t>
            </w:r>
          </w:p>
        </w:tc>
        <w:tc>
          <w:tcPr>
            <w:tcW w:type="dxa" w:w="2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Privacy Minimalist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Annual Pass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£39–£59/yr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All Pro features for one year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Hobbyist / seasonal tax user</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Monthly</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£4.99–£8.99/mo</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All Pro features</w:t>
            </w:r>
          </w:p>
        </w:tc>
        <w:tc>
          <w:tcPr>
            <w:tcW w:type="dxa" w:w="2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Available, not promoted</w:t>
            </w:r>
          </w:p>
        </w:tc>
      </w:tr>
    </w:tbl>
    <w:p>
      <w:pPr>
        <w:spacing w:after="120" w:before="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1A"/>
          <w:sz w:val="36"/>
          <w:szCs w:val="36"/>
        </w:rPr>
        <w:t xml:space="preserve">9. Open Research Questions</w:t>
      </w:r>
    </w:p>
    <w:p>
      <w:pPr>
        <w:spacing w:after="100" w:before="60"/>
      </w:pPr>
      <w:r>
        <w:rPr>
          <w:rFonts w:ascii="Arial" w:cs="Arial" w:eastAsia="Arial" w:hAnsi="Arial"/>
          <w:color w:val="444444"/>
          <w:sz w:val="22"/>
          <w:szCs w:val="22"/>
        </w:rPr>
        <w:t xml:space="preserve">These remain unresolved and should be validated before or during Phase 1 build.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Question</w:t>
            </w:r>
          </w:p>
        </w:tc>
        <w:tc>
          <w:tcPr>
            <w:tcW w:type="dxa" w:w="24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Why It Matters</w:t>
            </w:r>
          </w:p>
        </w:tc>
        <w:tc>
          <w:tcPr>
            <w:tcW w:type="dxa" w:w="41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How to Validate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Does lifetime pricing convert better than monthly for this audience?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Core pricing model depends on this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A/B test at launch — offer both, measure conversion rate</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Where did Blockfolio users go — are they reachable in 2026?</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High-value acquisition if yes</w:t>
            </w:r>
          </w:p>
        </w:tc>
        <w:tc>
          <w:tcPr>
            <w:tcW w:type="dxa" w:w="4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Reddit threads + Discord searches for 'Blockfolio alternative'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What free trial length converts best: 7 or 14 days?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Affects reverse trial mechanic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Research suggests 7 days — aligns with tax urgency window</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Do crypto payment options measurably increase conversion?</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Determines payment stack priority</w:t>
            </w:r>
          </w:p>
        </w:tc>
        <w:tc>
          <w:tcPr>
            <w:tcW w:type="dxa" w:w="4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Launch with both options, track split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What search volume exists for 'liquidation calculator UK'?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Informs Phase 2 SEO priority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Ahrefs / Google Search Console post-launch</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Does accepting crypto payments trigger FCA obligations?</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Legal risk for UK sole trader</w:t>
            </w:r>
          </w:p>
        </w:tc>
        <w:tc>
          <w:tcPr>
            <w:tcW w:type="dxa" w:w="4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FCA PASS service (opens July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What are HMRC tax implications of crypto income as sole trader?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Affects pricing and accounting workflow</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Check HMRC cryptoassets guidance + accountant</w:t>
            </w:r>
          </w:p>
        </w:tc>
      </w:tr>
    </w:tbl>
    <w:p>
      <w:pPr>
        <w:spacing w:after="120" w:before="0"/>
      </w:pPr>
      <w:r>
        <w:t xml:space="preserve"/>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1A1A1A"/>
          <w:sz w:val="36"/>
          <w:szCs w:val="36"/>
        </w:rP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11111"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FCA perimeter breach on rebalancing feature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Output descriptive only — never prescriptive. Use FCA PASS in July 2026.</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Lifetime deals create indefinite support burden</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Medium</w:t>
            </w:r>
          </w:p>
        </w:tc>
        <w:tc>
          <w:tcPr>
            <w:tcW w:type="dxa" w:w="5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Scope lifetime deal to current tool version / specific tax years. Review annually.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Data accuracy failure destroys trust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Privacy users are unforgiving. Manual QA on tax calculations before launch. Clear 'estimate only' labelling.</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Churn spike in bear market (monthly plan)</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Medium</w:t>
            </w:r>
          </w:p>
        </w:tc>
        <w:tc>
          <w:tcPr>
            <w:tcW w:type="dxa" w:w="5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Deprioritise monthly. Lifetime and annual plans insulate revenue from market cycles.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Chrome extension rejection / install friction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Low-Medium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Developer mode install works fine for early adopters. Chrome Web Store application when volume justifies it.</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HMRC rules change mid-build</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Medium</w:t>
            </w:r>
          </w:p>
        </w:tc>
        <w:tc>
          <w:tcPr>
            <w:tcW w:type="dxa" w:w="5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r>
              <w:rPr>
                <w:rFonts w:ascii="Arial" w:cs="Arial" w:eastAsia="Arial" w:hAnsi="Arial"/>
                <w:b w:val="false"/>
                <w:bCs w:val="false"/>
                <w:color w:val="444444"/>
                <w:sz w:val="20"/>
                <w:szCs w:val="20"/>
              </w:rPr>
              <w:t xml:space="preserve">Build tax tool with configurable rule parameters, not hardcoded logic. Section 104 / B&amp;B rules as updatable modules.</w:t>
            </w:r>
          </w:p>
        </w:tc>
      </w:tr>
    </w:tbl>
    <w:p>
      <w:pPr>
        <w:spacing w:after="12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outlineLvl w:val="0"/>
    </w:pPr>
    <w:rPr>
      <w:rFonts w:ascii="Arial" w:cs="Arial" w:eastAsia="Arial" w:hAnsi="Arial"/>
      <w:b/>
      <w:bCs/>
      <w:color w:val="1A1A1A"/>
      <w:sz w:val="36"/>
      <w:szCs w:val="36"/>
    </w:rPr>
  </w:style>
  <w:style w:type="paragraph" w:styleId="Heading2">
    <w:name w:val="Heading 2"/>
    <w:basedOn w:val="Normal"/>
    <w:next w:val="Normal"/>
    <w:pPr>
      <w:spacing w:after="120" w:before="32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2026-05-10T22:48:47.985Z</dcterms:created>
  <dcterms:modified xsi:type="dcterms:W3CDTF">2026-05-10T22:48:47.986Z</dcterms:modified>
</cp:coreProperties>
</file>

<file path=docProps/custom.xml><?xml version="1.0" encoding="utf-8"?>
<Properties xmlns="http://schemas.openxmlformats.org/officeDocument/2006/custom-properties" xmlns:vt="http://schemas.openxmlformats.org/officeDocument/2006/docPropsVTypes"/>
</file>