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52EC8F4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2</w:t>
      </w:r>
      <w:r w:rsidR="008727D6">
        <w:rPr>
          <w:rFonts w:ascii="微软雅黑" w:hAnsi="微软雅黑"/>
          <w:szCs w:val="21"/>
        </w:rPr>
        <w:t>.</w:t>
      </w:r>
      <w:r w:rsidR="002F46CF">
        <w:rPr>
          <w:rFonts w:ascii="微软雅黑" w:hAnsi="微软雅黑"/>
          <w:szCs w:val="21"/>
        </w:rPr>
        <w:t>0.</w:t>
      </w:r>
      <w:r w:rsidR="008727D6"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  <w:tr w:rsidR="000C2117" w14:paraId="1F1D0B2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8A91BB0" w14:textId="1598181B" w:rsidR="000C2117" w:rsidRDefault="000C211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F961EE">
              <w:rPr>
                <w:rFonts w:ascii="微软雅黑" w:hAnsi="微软雅黑"/>
                <w:szCs w:val="21"/>
              </w:rPr>
              <w:t>6/</w:t>
            </w:r>
            <w:r w:rsidR="00D26D29">
              <w:rPr>
                <w:rFonts w:ascii="微软雅黑" w:hAnsi="微软雅黑"/>
                <w:szCs w:val="21"/>
              </w:rPr>
              <w:t>23</w:t>
            </w:r>
          </w:p>
        </w:tc>
        <w:tc>
          <w:tcPr>
            <w:tcW w:w="1247" w:type="dxa"/>
          </w:tcPr>
          <w:p w14:paraId="5A97F572" w14:textId="5D2B46E2" w:rsidR="000C2117" w:rsidRDefault="00D26D2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</w:t>
            </w:r>
          </w:p>
        </w:tc>
        <w:tc>
          <w:tcPr>
            <w:tcW w:w="2258" w:type="dxa"/>
            <w:gridSpan w:val="2"/>
          </w:tcPr>
          <w:p w14:paraId="12AFED55" w14:textId="4030342C" w:rsidR="000C2117" w:rsidRDefault="00EE12D8" w:rsidP="00431D00">
            <w:pPr>
              <w:widowControl/>
              <w:jc w:val="left"/>
            </w:pPr>
            <w:r>
              <w:rPr>
                <w:rFonts w:hint="eastAsia"/>
              </w:rPr>
              <w:t>优化了前后端交互的内容说明</w:t>
            </w:r>
          </w:p>
        </w:tc>
        <w:tc>
          <w:tcPr>
            <w:tcW w:w="2770" w:type="dxa"/>
            <w:gridSpan w:val="2"/>
          </w:tcPr>
          <w:p w14:paraId="0230A455" w14:textId="77777777" w:rsidR="000C2117" w:rsidRDefault="000C2117" w:rsidP="00431D00">
            <w:pPr>
              <w:widowControl/>
              <w:jc w:val="left"/>
            </w:pPr>
          </w:p>
        </w:tc>
      </w:tr>
      <w:tr w:rsidR="00E66CBE" w14:paraId="3B2805BF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D430FD9" w14:textId="7FB3F02A" w:rsidR="00E66CBE" w:rsidRDefault="00E66CBE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3704C9">
              <w:rPr>
                <w:rFonts w:ascii="微软雅黑" w:hAnsi="微软雅黑"/>
                <w:szCs w:val="21"/>
              </w:rPr>
              <w:t>10/16</w:t>
            </w:r>
          </w:p>
        </w:tc>
        <w:tc>
          <w:tcPr>
            <w:tcW w:w="1247" w:type="dxa"/>
          </w:tcPr>
          <w:p w14:paraId="30C3C682" w14:textId="7927C8E5" w:rsidR="00E66CBE" w:rsidRDefault="003704C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2.0.1</w:t>
            </w:r>
          </w:p>
        </w:tc>
        <w:tc>
          <w:tcPr>
            <w:tcW w:w="2258" w:type="dxa"/>
            <w:gridSpan w:val="2"/>
          </w:tcPr>
          <w:p w14:paraId="61A3386D" w14:textId="5C639683" w:rsidR="00E66CBE" w:rsidRDefault="003704C9" w:rsidP="00431D0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针对第1</w:t>
            </w:r>
            <w:r>
              <w:t>1</w:t>
            </w:r>
            <w:r>
              <w:rPr>
                <w:rFonts w:hint="eastAsia"/>
              </w:rPr>
              <w:t>回投票</w:t>
            </w:r>
            <w:r w:rsidR="009E1FAA">
              <w:rPr>
                <w:rFonts w:hint="eastAsia"/>
              </w:rPr>
              <w:t>关于时间内容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2770" w:type="dxa"/>
            <w:gridSpan w:val="2"/>
          </w:tcPr>
          <w:p w14:paraId="4DB88736" w14:textId="77777777" w:rsidR="00E66CBE" w:rsidRDefault="00E66CBE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2F46CF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2F46CF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2F46CF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2F46CF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575637">
        <w:rPr>
          <w:strike/>
          <w:color w:val="7F7F7F" w:themeColor="text1" w:themeTint="80"/>
        </w:rPr>
        <w:t>THBWiki</w:t>
      </w:r>
      <w:proofErr w:type="spellEnd"/>
      <w:r w:rsidRPr="00575637">
        <w:rPr>
          <w:strike/>
          <w:color w:val="7F7F7F" w:themeColor="text1" w:themeTint="80"/>
        </w:rPr>
        <w:t>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05254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105254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05254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05254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2F46CF">
        <w:fldChar w:fldCharType="begin"/>
      </w:r>
      <w:r w:rsidR="002F46CF">
        <w:instrText>HYPERLINK "https://d.docs.live.net/85124500856dd230/</w:instrText>
      </w:r>
      <w:r w:rsidR="002F46CF">
        <w:instrText>文档</w:instrText>
      </w:r>
      <w:r w:rsidR="002F46CF">
        <w:instrText>/</w:instrText>
      </w:r>
      <w:r w:rsidR="002F46CF">
        <w:instrText>帕琪站</w:instrText>
      </w:r>
      <w:r w:rsidR="002F46CF">
        <w:instrText>-</w:instrText>
      </w:r>
      <w:r w:rsidR="002F46CF">
        <w:instrText>人气投票项目大纲（新）</w:instrText>
      </w:r>
      <w:r w:rsidR="002F46CF">
        <w:instrText>.docx"</w:instrText>
      </w:r>
      <w:r w:rsidR="002F46CF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2F46CF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0525461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0525461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72F3F789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0525461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0525461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6A9E98BC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5A50EF" w:rsidRPr="00C50363">
        <w:rPr>
          <w:rFonts w:hint="eastAsia"/>
          <w:b/>
          <w:bCs/>
          <w:color w:val="FF0000"/>
        </w:rPr>
        <w:t>（TODO）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</w:t>
      </w:r>
      <w:proofErr w:type="spellStart"/>
      <w:r w:rsidR="00292619">
        <w:rPr>
          <w:rFonts w:hint="eastAsia"/>
        </w:rPr>
        <w:t>mls</w:t>
      </w:r>
      <w:proofErr w:type="spellEnd"/>
      <w:r w:rsidR="00292619">
        <w:rPr>
          <w:rFonts w:hint="eastAsia"/>
        </w:rPr>
        <w:t>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45598019" w14:textId="556C9AB3" w:rsidR="005E6EAE" w:rsidRPr="00CE672A" w:rsidRDefault="005E6EAE" w:rsidP="00C50363">
      <w:pPr>
        <w:pStyle w:val="a3"/>
        <w:numPr>
          <w:ilvl w:val="0"/>
          <w:numId w:val="18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A257C5">
        <w:rPr>
          <w:rFonts w:hint="eastAsia"/>
        </w:rPr>
        <w:t>角色的中文名可能会进行修改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0525461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1083C74B" w14:textId="7565E041" w:rsidR="00A257C5" w:rsidRPr="00CE672A" w:rsidRDefault="00A257C5" w:rsidP="00A257C5">
      <w:pPr>
        <w:pStyle w:val="a3"/>
        <w:numPr>
          <w:ilvl w:val="0"/>
          <w:numId w:val="20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6A539C">
        <w:rPr>
          <w:rFonts w:hint="eastAsia"/>
        </w:rPr>
        <w:t>曲目</w:t>
      </w:r>
      <w:r>
        <w:rPr>
          <w:rFonts w:hint="eastAsia"/>
        </w:rPr>
        <w:t>的中文名可能会进行修改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10525462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25630582" w14:textId="161EC120" w:rsidR="00436E8D" w:rsidRDefault="00436E8D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可同时允许相同角色两人</w:t>
      </w:r>
      <w:r w:rsidR="004A385B">
        <w:rPr>
          <w:rFonts w:hint="eastAsia"/>
        </w:rPr>
        <w:t>作为CP组合</w:t>
      </w:r>
    </w:p>
    <w:p w14:paraId="1ED395FC" w14:textId="216BF23A" w:rsidR="004A385B" w:rsidRDefault="004A385B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可选取相同角色两人+另外一人作为CP组合</w:t>
      </w:r>
    </w:p>
    <w:p w14:paraId="10744FB4" w14:textId="2199AE19" w:rsidR="004A385B" w:rsidRDefault="004A385B" w:rsidP="00436E8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不允许相同角色三人作为CP组合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193E485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</w:t>
      </w:r>
      <w:r w:rsidR="00F86FE7">
        <w:rPr>
          <w:rFonts w:hint="eastAsia"/>
        </w:rPr>
        <w:t>给定时间范围内</w:t>
      </w:r>
      <w:r w:rsidR="008F1FAD">
        <w:rPr>
          <w:rFonts w:hint="eastAsia"/>
        </w:rPr>
        <w:t>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0525462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121BFD67" w:rsidR="00FF379A" w:rsidRDefault="00DD2A3A" w:rsidP="00FF379A">
      <w:pPr>
        <w:ind w:left="420"/>
      </w:pPr>
      <w:r>
        <w:rPr>
          <w:rFonts w:hint="eastAsia"/>
        </w:rPr>
        <w:t>作品</w:t>
      </w:r>
      <w:r w:rsidR="009E0DE0">
        <w:rPr>
          <w:rFonts w:hint="eastAsia"/>
        </w:rPr>
        <w:t>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0525462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10525462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0525462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</w:t>
      </w:r>
      <w:proofErr w:type="spellStart"/>
      <w:r w:rsidRPr="00485240">
        <w:rPr>
          <w:rFonts w:hint="eastAsia"/>
          <w:strike/>
          <w:color w:val="7F7F7F" w:themeColor="text1" w:themeTint="80"/>
        </w:rPr>
        <w:t>ps</w:t>
      </w:r>
      <w:proofErr w:type="spellEnd"/>
      <w:r w:rsidRPr="00485240">
        <w:rPr>
          <w:rFonts w:hint="eastAsia"/>
          <w:strike/>
          <w:color w:val="7F7F7F" w:themeColor="text1" w:themeTint="80"/>
        </w:rPr>
        <w:t>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105254626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05254627"/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105254630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105254632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105254633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</w:t>
      </w:r>
      <w:r w:rsidR="00333E46">
        <w:rPr>
          <w:rFonts w:hint="eastAsia"/>
        </w:rPr>
        <w:lastRenderedPageBreak/>
        <w:t>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A4E" w14:textId="77777777" w:rsidR="00393A68" w:rsidRDefault="00393A68" w:rsidP="006A4D25">
      <w:r>
        <w:separator/>
      </w:r>
    </w:p>
  </w:endnote>
  <w:endnote w:type="continuationSeparator" w:id="0">
    <w:p w14:paraId="162192CD" w14:textId="77777777" w:rsidR="00393A68" w:rsidRDefault="00393A68" w:rsidP="006A4D25">
      <w:r>
        <w:continuationSeparator/>
      </w:r>
    </w:p>
  </w:endnote>
  <w:endnote w:type="continuationNotice" w:id="1">
    <w:p w14:paraId="0366384C" w14:textId="77777777" w:rsidR="00393A68" w:rsidRDefault="00393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CD7" w14:textId="77777777" w:rsidR="00393A68" w:rsidRDefault="00393A68" w:rsidP="006A4D25">
      <w:r>
        <w:separator/>
      </w:r>
    </w:p>
  </w:footnote>
  <w:footnote w:type="continuationSeparator" w:id="0">
    <w:p w14:paraId="559C1EC5" w14:textId="77777777" w:rsidR="00393A68" w:rsidRDefault="00393A68" w:rsidP="006A4D25">
      <w:r>
        <w:continuationSeparator/>
      </w:r>
    </w:p>
  </w:footnote>
  <w:footnote w:type="continuationNotice" w:id="1">
    <w:p w14:paraId="22905EAC" w14:textId="77777777" w:rsidR="00393A68" w:rsidRDefault="00393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4"/>
  </w:num>
  <w:num w:numId="2" w16cid:durableId="1726638456">
    <w:abstractNumId w:val="5"/>
  </w:num>
  <w:num w:numId="3" w16cid:durableId="899945403">
    <w:abstractNumId w:val="0"/>
  </w:num>
  <w:num w:numId="4" w16cid:durableId="918908677">
    <w:abstractNumId w:val="14"/>
  </w:num>
  <w:num w:numId="5" w16cid:durableId="1048334605">
    <w:abstractNumId w:val="21"/>
  </w:num>
  <w:num w:numId="6" w16cid:durableId="766655419">
    <w:abstractNumId w:val="17"/>
  </w:num>
  <w:num w:numId="7" w16cid:durableId="1301685777">
    <w:abstractNumId w:val="22"/>
  </w:num>
  <w:num w:numId="8" w16cid:durableId="1651210284">
    <w:abstractNumId w:val="7"/>
  </w:num>
  <w:num w:numId="9" w16cid:durableId="1859004945">
    <w:abstractNumId w:val="1"/>
  </w:num>
  <w:num w:numId="10" w16cid:durableId="514198197">
    <w:abstractNumId w:val="20"/>
  </w:num>
  <w:num w:numId="11" w16cid:durableId="2044789983">
    <w:abstractNumId w:val="23"/>
  </w:num>
  <w:num w:numId="12" w16cid:durableId="659577518">
    <w:abstractNumId w:val="8"/>
  </w:num>
  <w:num w:numId="13" w16cid:durableId="1109086624">
    <w:abstractNumId w:val="10"/>
  </w:num>
  <w:num w:numId="14" w16cid:durableId="1906135911">
    <w:abstractNumId w:val="15"/>
  </w:num>
  <w:num w:numId="15" w16cid:durableId="539754836">
    <w:abstractNumId w:val="3"/>
  </w:num>
  <w:num w:numId="16" w16cid:durableId="1193687217">
    <w:abstractNumId w:val="6"/>
  </w:num>
  <w:num w:numId="17" w16cid:durableId="731268930">
    <w:abstractNumId w:val="12"/>
  </w:num>
  <w:num w:numId="18" w16cid:durableId="1221482488">
    <w:abstractNumId w:val="2"/>
  </w:num>
  <w:num w:numId="19" w16cid:durableId="1876232520">
    <w:abstractNumId w:val="16"/>
  </w:num>
  <w:num w:numId="20" w16cid:durableId="352073269">
    <w:abstractNumId w:val="11"/>
  </w:num>
  <w:num w:numId="21" w16cid:durableId="208299580">
    <w:abstractNumId w:val="18"/>
  </w:num>
  <w:num w:numId="22" w16cid:durableId="980036771">
    <w:abstractNumId w:val="13"/>
  </w:num>
  <w:num w:numId="23" w16cid:durableId="1298532830">
    <w:abstractNumId w:val="19"/>
  </w:num>
  <w:num w:numId="24" w16cid:durableId="151677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B67DA"/>
    <w:rsid w:val="000C2117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46E6E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87969"/>
    <w:rsid w:val="00292619"/>
    <w:rsid w:val="002932FB"/>
    <w:rsid w:val="002934E9"/>
    <w:rsid w:val="00296501"/>
    <w:rsid w:val="002A0A90"/>
    <w:rsid w:val="002A0BA9"/>
    <w:rsid w:val="002B2530"/>
    <w:rsid w:val="002C180B"/>
    <w:rsid w:val="002C5314"/>
    <w:rsid w:val="002F46CF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652F0"/>
    <w:rsid w:val="003704C9"/>
    <w:rsid w:val="0037074B"/>
    <w:rsid w:val="00372851"/>
    <w:rsid w:val="00385A88"/>
    <w:rsid w:val="00393A68"/>
    <w:rsid w:val="003959B2"/>
    <w:rsid w:val="003B204D"/>
    <w:rsid w:val="003B2836"/>
    <w:rsid w:val="003C4506"/>
    <w:rsid w:val="003F6DE3"/>
    <w:rsid w:val="00401C0F"/>
    <w:rsid w:val="00406E3F"/>
    <w:rsid w:val="0041154C"/>
    <w:rsid w:val="00415F76"/>
    <w:rsid w:val="00431D00"/>
    <w:rsid w:val="00436E8D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A385B"/>
    <w:rsid w:val="004B3F24"/>
    <w:rsid w:val="004B7437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C291A"/>
    <w:rsid w:val="005C4D05"/>
    <w:rsid w:val="005C7551"/>
    <w:rsid w:val="005D4F96"/>
    <w:rsid w:val="005E6EAE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A539C"/>
    <w:rsid w:val="006B1539"/>
    <w:rsid w:val="006B39CC"/>
    <w:rsid w:val="006B498B"/>
    <w:rsid w:val="006C3987"/>
    <w:rsid w:val="006C601C"/>
    <w:rsid w:val="006D2763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C2DE6"/>
    <w:rsid w:val="007D5E93"/>
    <w:rsid w:val="007E6A66"/>
    <w:rsid w:val="007E71D0"/>
    <w:rsid w:val="007F15B2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E1FAA"/>
    <w:rsid w:val="009F00ED"/>
    <w:rsid w:val="009F47FB"/>
    <w:rsid w:val="00A005F3"/>
    <w:rsid w:val="00A00EF4"/>
    <w:rsid w:val="00A043A5"/>
    <w:rsid w:val="00A21060"/>
    <w:rsid w:val="00A257C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0363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D29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837C9"/>
    <w:rsid w:val="00D84A02"/>
    <w:rsid w:val="00D901A8"/>
    <w:rsid w:val="00D93B36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2A3A"/>
    <w:rsid w:val="00DD4B41"/>
    <w:rsid w:val="00DE3B9A"/>
    <w:rsid w:val="00DE635C"/>
    <w:rsid w:val="00DE767E"/>
    <w:rsid w:val="00E0787C"/>
    <w:rsid w:val="00E13C13"/>
    <w:rsid w:val="00E1729E"/>
    <w:rsid w:val="00E20494"/>
    <w:rsid w:val="00E30E54"/>
    <w:rsid w:val="00E63EF3"/>
    <w:rsid w:val="00E66CBE"/>
    <w:rsid w:val="00E67F88"/>
    <w:rsid w:val="00E73A41"/>
    <w:rsid w:val="00E82767"/>
    <w:rsid w:val="00E8742B"/>
    <w:rsid w:val="00E8754F"/>
    <w:rsid w:val="00EA512F"/>
    <w:rsid w:val="00EC23A5"/>
    <w:rsid w:val="00EC4AE6"/>
    <w:rsid w:val="00EC7932"/>
    <w:rsid w:val="00ED0F21"/>
    <w:rsid w:val="00ED4D15"/>
    <w:rsid w:val="00ED54EE"/>
    <w:rsid w:val="00ED72B0"/>
    <w:rsid w:val="00EE12D8"/>
    <w:rsid w:val="00EE268D"/>
    <w:rsid w:val="00EE26E5"/>
    <w:rsid w:val="00EF0AC3"/>
    <w:rsid w:val="00F072EB"/>
    <w:rsid w:val="00F10986"/>
    <w:rsid w:val="00F20E00"/>
    <w:rsid w:val="00F26315"/>
    <w:rsid w:val="00F2737D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86FE7"/>
    <w:rsid w:val="00F922CC"/>
    <w:rsid w:val="00F961EE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9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WRZ RMZX</cp:lastModifiedBy>
  <cp:revision>449</cp:revision>
  <dcterms:created xsi:type="dcterms:W3CDTF">2021-06-15T14:51:00Z</dcterms:created>
  <dcterms:modified xsi:type="dcterms:W3CDTF">2023-10-16T12:38:00Z</dcterms:modified>
</cp:coreProperties>
</file>