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before="0"/>
      </w:pPr>
    </w:p>
    <w:p>
      <w:pPr>
        <w:spacing w:after="40" w:before="0" w:line="276" w:lineRule="auto"/>
        <w:jc w:val="center"/>
      </w:pPr>
      <w:r>
        <w:rPr>
          <w:rFonts w:ascii="Times New Roman" w:hAnsi="Times New Roman"/>
          <w:b/>
          <w:i w:val="0"/>
          <w:sz w:val="32"/>
        </w:rPr>
        <w:t>INDIAN INSTITUTE OF INFORMATION TECHNOLOGY</w:t>
      </w:r>
    </w:p>
    <w:p>
      <w:pPr>
        <w:spacing w:after="120" w:before="0" w:line="276" w:lineRule="auto"/>
        <w:jc w:val="center"/>
      </w:pPr>
      <w:r>
        <w:rPr>
          <w:rFonts w:ascii="Times New Roman" w:hAnsi="Times New Roman"/>
          <w:b/>
          <w:i w:val="0"/>
          <w:sz w:val="28"/>
        </w:rPr>
        <w:t>BHOPAL (M.P.)</w:t>
      </w:r>
    </w:p>
    <w:p>
      <w:pPr>
        <w:spacing w:after="80" w:before="0" w:line="276" w:lineRule="auto"/>
        <w:jc w:val="center"/>
      </w:pPr>
      <w:r>
        <w:rPr>
          <w:rFonts w:ascii="Times New Roman" w:hAnsi="Times New Roman"/>
          <w:b/>
          <w:i w:val="0"/>
          <w:sz w:val="26"/>
        </w:rPr>
        <w:t>Department of Computer Science and Engineering</w:t>
      </w:r>
    </w:p>
    <w:p>
      <w:pPr>
        <w:spacing w:before="80" w:after="80"/>
        <w:pBdr>
          <w:bottom w:val="single" w:sz="6" w:space="1" w:color="999999"/>
        </w:pBdr>
      </w:pPr>
    </w:p>
    <w:p>
      <w:pPr>
        <w:spacing w:after="480" w:before="0"/>
      </w:pPr>
    </w:p>
    <w:p>
      <w:pPr>
        <w:spacing w:after="80" w:before="0" w:line="276" w:lineRule="auto"/>
        <w:jc w:val="center"/>
      </w:pPr>
      <w:r>
        <w:rPr>
          <w:rFonts w:ascii="Times New Roman" w:hAnsi="Times New Roman"/>
          <w:b/>
          <w:i w:val="0"/>
          <w:sz w:val="28"/>
        </w:rPr>
        <w:t>B.Tech Major Project Report</w:t>
      </w:r>
    </w:p>
    <w:p>
      <w:pPr>
        <w:spacing w:after="400" w:before="0" w:line="276" w:lineRule="auto"/>
        <w:jc w:val="center"/>
      </w:pPr>
      <w:r>
        <w:rPr>
          <w:rFonts w:ascii="Times New Roman" w:hAnsi="Times New Roman"/>
          <w:b/>
          <w:i w:val="0"/>
          <w:sz w:val="26"/>
        </w:rPr>
        <w:t>(Phase – II)</w:t>
      </w:r>
    </w:p>
    <w:p>
      <w:pPr>
        <w:spacing w:after="480" w:before="0" w:line="312" w:lineRule="auto"/>
        <w:jc w:val="center"/>
      </w:pPr>
      <w:r>
        <w:rPr>
          <w:rFonts w:ascii="Times New Roman" w:hAnsi="Times New Roman"/>
          <w:b/>
          <w:i w:val="0"/>
          <w:sz w:val="34"/>
        </w:rPr>
        <w:t>FEDERATED MULTIMODAL GRAPH LEARNING</w:t>
        <w:br/>
        <w:t>FRAMEWORK FOR IN-HOSPITAL MORTALITY</w:t>
        <w:br/>
        <w:t>AND SEPSIS PREDICTION</w:t>
      </w:r>
    </w:p>
    <w:p>
      <w:pPr>
        <w:spacing w:before="80" w:after="80"/>
        <w:pBdr>
          <w:bottom w:val="single" w:sz="6" w:space="1" w:color="999999"/>
        </w:pBdr>
      </w:pPr>
    </w:p>
    <w:p>
      <w:pPr>
        <w:spacing w:after="160" w:before="0"/>
      </w:pPr>
    </w:p>
    <w:p>
      <w:pPr>
        <w:spacing w:after="80" w:before="0" w:line="276" w:lineRule="auto"/>
        <w:jc w:val="center"/>
      </w:pPr>
      <w:r>
        <w:rPr>
          <w:rFonts w:ascii="Times New Roman" w:hAnsi="Times New Roman"/>
          <w:b w:val="0"/>
          <w:i/>
          <w:sz w:val="24"/>
        </w:rPr>
        <w:t>Submitted in partial fulfillment for the award of the degree of</w:t>
      </w:r>
    </w:p>
    <w:p>
      <w:pPr>
        <w:spacing w:after="80" w:before="0" w:line="276" w:lineRule="auto"/>
        <w:jc w:val="center"/>
      </w:pPr>
      <w:r>
        <w:rPr>
          <w:rFonts w:ascii="Times New Roman" w:hAnsi="Times New Roman"/>
          <w:b/>
          <w:i w:val="0"/>
          <w:sz w:val="30"/>
        </w:rPr>
        <w:t>BACHELOR OF TECHNOLOGY</w:t>
      </w:r>
    </w:p>
    <w:p>
      <w:pPr>
        <w:spacing w:after="480" w:before="0" w:line="276" w:lineRule="auto"/>
        <w:jc w:val="center"/>
      </w:pPr>
      <w:r>
        <w:rPr>
          <w:rFonts w:ascii="Times New Roman" w:hAnsi="Times New Roman"/>
          <w:b w:val="0"/>
          <w:i/>
          <w:sz w:val="24"/>
        </w:rPr>
        <w:t>in Computer Science and Engineering</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pPr>
              <w:spacing w:line="276" w:lineRule="auto"/>
            </w:pPr>
            <w:r>
              <w:rPr>
                <w:rFonts w:ascii="Times New Roman" w:hAnsi="Times New Roman"/>
                <w:b/>
                <w:sz w:val="24"/>
                <w:u w:val="single"/>
              </w:rPr>
              <w:t>Submitted by:</w:t>
            </w:r>
          </w:p>
        </w:tc>
        <w:tc>
          <w:tcPr>
            <w:tcW w:type="dxa" w:w="4680"/>
            <w:tcMar>
              <w:top w:w="60" w:type="dxa"/>
              <w:bottom w:w="60" w:type="dxa"/>
              <w:left w:w="80" w:type="dxa"/>
              <w:right w:w="80" w:type="dxa"/>
            </w:tcMar>
          </w:tcPr>
          <w:p>
            <w:pPr>
              <w:spacing w:line="276" w:lineRule="auto"/>
            </w:pPr>
            <w:r>
              <w:rPr>
                <w:rFonts w:ascii="Times New Roman" w:hAnsi="Times New Roman"/>
                <w:b/>
                <w:sz w:val="24"/>
                <w:u w:val="single"/>
              </w:rPr>
              <w:t>Under the Supervision of:</w:t>
            </w:r>
          </w:p>
        </w:tc>
      </w:tr>
      <w:tr>
        <w:tc>
          <w:tcPr>
            <w:tcW w:type="dxa" w:w="4680"/>
            <w:tcMar>
              <w:top w:w="60" w:type="dxa"/>
              <w:bottom w:w="60" w:type="dxa"/>
              <w:left w:w="80" w:type="dxa"/>
              <w:right w:w="80" w:type="dxa"/>
            </w:tcMar>
          </w:tcPr>
          <w:p>
            <w:pPr>
              <w:spacing w:line="276" w:lineRule="auto"/>
            </w:pPr>
            <w:r>
              <w:rPr>
                <w:rFonts w:ascii="Times New Roman" w:hAnsi="Times New Roman"/>
                <w:sz w:val="22"/>
              </w:rPr>
              <w:t>Dhruv Savaliya</w:t>
              <w:br/>
              <w:t>Scholar No: 21U02035</w:t>
            </w:r>
          </w:p>
        </w:tc>
        <w:tc>
          <w:tcPr>
            <w:tcW w:type="dxa" w:w="4680"/>
            <w:tcMar>
              <w:top w:w="60" w:type="dxa"/>
              <w:bottom w:w="60" w:type="dxa"/>
              <w:left w:w="80" w:type="dxa"/>
              <w:right w:w="80" w:type="dxa"/>
            </w:tcMar>
          </w:tcPr>
          <w:p>
            <w:pPr>
              <w:spacing w:line="276" w:lineRule="auto"/>
            </w:pPr>
            <w:r>
              <w:rPr>
                <w:rFonts w:ascii="Times New Roman" w:hAnsi="Times New Roman"/>
                <w:sz w:val="22"/>
              </w:rPr>
              <w:t>Project Supervisor</w:t>
              <w:br/>
              <w:t>Assistant Professor</w:t>
              <w:br/>
              <w:t>Department of CSE</w:t>
              <w:br/>
              <w:t>IIIT Bhopal (M.P.)</w:t>
            </w:r>
          </w:p>
        </w:tc>
      </w:tr>
      <w:tr>
        <w:tc>
          <w:tcPr>
            <w:tcW w:type="dxa" w:w="4680"/>
            <w:tcMar>
              <w:top w:w="60" w:type="dxa"/>
              <w:bottom w:w="60" w:type="dxa"/>
              <w:left w:w="80" w:type="dxa"/>
              <w:right w:w="80" w:type="dxa"/>
            </w:tcMar>
          </w:tcPr>
          <w:p>
            <w:pPr>
              <w:spacing w:line="276" w:lineRule="auto"/>
            </w:pPr>
            <w:r>
              <w:rPr>
                <w:rFonts w:ascii="Times New Roman" w:hAnsi="Times New Roman"/>
                <w:sz w:val="22"/>
              </w:rPr>
              <w:t>Menil Patel</w:t>
              <w:br/>
              <w:t>Scholar No: 21U02052</w:t>
            </w:r>
          </w:p>
        </w:tc>
        <w:tc>
          <w:tcPr>
            <w:tcW w:type="dxa" w:w="4680"/>
            <w:tcMar>
              <w:top w:w="60" w:type="dxa"/>
              <w:bottom w:w="60" w:type="dxa"/>
              <w:left w:w="80" w:type="dxa"/>
              <w:right w:w="80" w:type="dxa"/>
            </w:tcMar>
          </w:tcPr>
          <w:p>
            <w:pPr>
              <w:spacing w:line="276" w:lineRule="auto"/>
            </w:pPr>
          </w:p>
        </w:tc>
      </w:tr>
    </w:tbl>
    <w:p>
      <w:pPr>
        <w:spacing w:after="160" w:before="0"/>
      </w:pPr>
    </w:p>
    <w:p>
      <w:pPr>
        <w:spacing w:after="80" w:before="0" w:line="276" w:lineRule="auto"/>
        <w:jc w:val="center"/>
      </w:pPr>
      <w:r>
        <w:rPr>
          <w:rFonts w:ascii="Times New Roman" w:hAnsi="Times New Roman"/>
          <w:b/>
          <w:i w:val="0"/>
          <w:sz w:val="24"/>
        </w:rPr>
        <w:t>B.Tech CSE – Final Year (Semester VIII)</w:t>
      </w:r>
    </w:p>
    <w:p>
      <w:pPr>
        <w:spacing w:after="80" w:before="0" w:line="276" w:lineRule="auto"/>
        <w:jc w:val="center"/>
      </w:pPr>
      <w:r>
        <w:rPr>
          <w:rFonts w:ascii="Times New Roman" w:hAnsi="Times New Roman"/>
          <w:b/>
          <w:i w:val="0"/>
          <w:sz w:val="24"/>
        </w:rPr>
        <w:t>Academic Year: 2025 – 2026</w:t>
      </w:r>
    </w:p>
    <w:p>
      <w:pPr>
        <w:spacing w:after="120" w:before="0" w:line="276" w:lineRule="auto"/>
        <w:jc w:val="center"/>
      </w:pPr>
      <w:r>
        <w:rPr>
          <w:rFonts w:ascii="Times New Roman" w:hAnsi="Times New Roman"/>
          <w:b/>
          <w:i w:val="0"/>
          <w:sz w:val="24"/>
        </w:rPr>
        <w:t>October 2026</w:t>
      </w:r>
    </w:p>
    <w:p>
      <w:r>
        <w:br w:type="page"/>
      </w:r>
    </w:p>
    <w:p>
      <w:pPr>
        <w:spacing w:after="240" w:before="0"/>
      </w:pPr>
    </w:p>
    <w:p>
      <w:pPr>
        <w:spacing w:after="80" w:before="0" w:line="276" w:lineRule="auto"/>
        <w:jc w:val="center"/>
      </w:pPr>
      <w:r>
        <w:rPr>
          <w:rFonts w:ascii="Times New Roman" w:hAnsi="Times New Roman"/>
          <w:b/>
          <w:i w:val="0"/>
          <w:sz w:val="28"/>
        </w:rPr>
        <w:t>INDIAN INSTITUTE OF INFORMATION TECHNOLOGY, BHOPAL (M.P.)</w:t>
      </w:r>
    </w:p>
    <w:p>
      <w:pPr>
        <w:spacing w:after="160" w:before="0" w:line="276" w:lineRule="auto"/>
        <w:jc w:val="center"/>
      </w:pPr>
      <w:r>
        <w:rPr>
          <w:rFonts w:ascii="Times New Roman" w:hAnsi="Times New Roman"/>
          <w:b/>
          <w:i w:val="0"/>
          <w:sz w:val="24"/>
        </w:rPr>
        <w:t>Department of Computer Science and Engineering</w:t>
      </w:r>
    </w:p>
    <w:p>
      <w:pPr>
        <w:spacing w:before="80" w:after="80"/>
        <w:pBdr>
          <w:bottom w:val="single" w:sz="6" w:space="1" w:color="999999"/>
        </w:pBdr>
      </w:pPr>
    </w:p>
    <w:p>
      <w:pPr>
        <w:spacing w:after="400" w:before="0" w:line="276" w:lineRule="auto"/>
        <w:jc w:val="center"/>
      </w:pPr>
      <w:r>
        <w:rPr>
          <w:rFonts w:ascii="Times New Roman" w:hAnsi="Times New Roman"/>
          <w:b/>
          <w:i w:val="0"/>
          <w:sz w:val="32"/>
        </w:rPr>
        <w:t>CERTIFICATE</w:t>
      </w:r>
    </w:p>
    <w:p>
      <w:pPr>
        <w:spacing w:after="240" w:before="0" w:line="276" w:lineRule="auto"/>
        <w:jc w:val="both"/>
      </w:pPr>
      <w:r>
        <w:rPr>
          <w:rFonts w:ascii="Times New Roman" w:hAnsi="Times New Roman"/>
          <w:b w:val="0"/>
          <w:i w:val="0"/>
          <w:sz w:val="24"/>
        </w:rPr>
        <w:t>This is to certify that the work embodied in this project report entitled “FEDERATED MULTIMODAL GRAPH LEARNING FRAMEWORK FOR IN-HOSPITAL MORTALITY AND SEPSIS PREDICTION” has been satisfactorily completed by the following students of the Department of Computer Science and Engineering, Indian Institute of Information Technology, Bhopal:</w:t>
      </w:r>
    </w:p>
    <w:p>
      <w:pPr>
        <w:spacing w:after="80" w:before="0" w:line="276" w:lineRule="auto"/>
        <w:jc w:val="left"/>
      </w:pPr>
      <w:r>
        <w:rPr>
          <w:rFonts w:ascii="Times New Roman" w:hAnsi="Times New Roman"/>
          <w:b/>
          <w:i w:val="0"/>
          <w:sz w:val="24"/>
        </w:rPr>
        <w:t>1.  Dhruv Savaliya (Scholar No. 21U02035)</w:t>
      </w:r>
    </w:p>
    <w:p>
      <w:pPr>
        <w:spacing w:after="240" w:before="0" w:line="276" w:lineRule="auto"/>
        <w:jc w:val="left"/>
      </w:pPr>
      <w:r>
        <w:rPr>
          <w:rFonts w:ascii="Times New Roman" w:hAnsi="Times New Roman"/>
          <w:b/>
          <w:i w:val="0"/>
          <w:sz w:val="24"/>
        </w:rPr>
        <w:t>2.  Menil Patel (Scholar No. 21U02052)</w:t>
      </w:r>
    </w:p>
    <w:p>
      <w:pPr>
        <w:spacing w:after="480" w:before="0" w:line="276" w:lineRule="auto"/>
        <w:jc w:val="both"/>
      </w:pPr>
      <w:r>
        <w:rPr>
          <w:rFonts w:ascii="Times New Roman" w:hAnsi="Times New Roman"/>
          <w:b w:val="0"/>
          <w:i w:val="0"/>
          <w:sz w:val="24"/>
        </w:rPr>
        <w:t>It is a bonafide piece of work, carried out under our guidance for the partial fulfillment of the requirements of the degree of Bachelor of Technology in Computer Science and Engineering during the academic year 2025–2026. The work presented in this report has not been submitted elsewhere for the award of any other degree or diploma.</w:t>
      </w:r>
    </w:p>
    <w:p>
      <w:pPr>
        <w:spacing w:after="80" w:before="0" w:line="276" w:lineRule="auto"/>
        <w:jc w:val="left"/>
      </w:pPr>
      <w:r>
        <w:rPr>
          <w:rFonts w:ascii="Times New Roman" w:hAnsi="Times New Roman"/>
          <w:b w:val="0"/>
          <w:i w:val="0"/>
          <w:sz w:val="24"/>
        </w:rPr>
        <w:t>Date: ____________________</w:t>
      </w:r>
    </w:p>
    <w:p>
      <w:pPr>
        <w:spacing w:after="960" w:before="0" w:line="276" w:lineRule="auto"/>
        <w:jc w:val="left"/>
      </w:pPr>
      <w:r>
        <w:rPr>
          <w:rFonts w:ascii="Times New Roman" w:hAnsi="Times New Roman"/>
          <w:b w:val="0"/>
          <w:i w:val="0"/>
          <w:sz w:val="24"/>
        </w:rPr>
        <w:t>Place: Bhopal (M.P.)</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2"/>
              </w:rPr>
              <w:br/>
              <w:br/>
              <w:br/>
              <w:t>_________________________</w:t>
            </w:r>
          </w:p>
        </w:tc>
        <w:tc>
          <w:tcPr>
            <w:tcW w:type="dxa" w:w="4680"/>
          </w:tcPr>
          <w:p>
            <w:r>
              <w:rPr>
                <w:rFonts w:ascii="Times New Roman" w:hAnsi="Times New Roman"/>
                <w:sz w:val="22"/>
              </w:rPr>
              <w:br/>
              <w:br/>
              <w:br/>
              <w:t>_________________________</w:t>
            </w:r>
          </w:p>
        </w:tc>
      </w:tr>
      <w:tr>
        <w:tc>
          <w:tcPr>
            <w:tcW w:type="dxa" w:w="4680"/>
          </w:tcPr>
          <w:p>
            <w:r>
              <w:rPr>
                <w:rFonts w:ascii="Times New Roman" w:hAnsi="Times New Roman"/>
                <w:b/>
                <w:sz w:val="22"/>
              </w:rPr>
              <w:t>Project Supervisor</w:t>
              <w:br/>
              <w:t>Department of CSE</w:t>
              <w:br/>
              <w:t>IIIT Bhopal (M.P.)</w:t>
            </w:r>
          </w:p>
        </w:tc>
        <w:tc>
          <w:tcPr>
            <w:tcW w:type="dxa" w:w="4680"/>
          </w:tcPr>
          <w:p>
            <w:r>
              <w:rPr>
                <w:rFonts w:ascii="Times New Roman" w:hAnsi="Times New Roman"/>
                <w:b/>
                <w:sz w:val="22"/>
              </w:rPr>
              <w:t>Head of Department</w:t>
              <w:br/>
              <w:t>Department of CSE</w:t>
              <w:br/>
              <w:t>IIIT Bhopal (M.P.)</w:t>
            </w:r>
          </w:p>
        </w:tc>
      </w:tr>
    </w:tbl>
    <w:p>
      <w:r>
        <w:br w:type="page"/>
      </w:r>
    </w:p>
    <w:p>
      <w:pPr>
        <w:spacing w:after="240" w:before="0"/>
      </w:pPr>
    </w:p>
    <w:p>
      <w:pPr>
        <w:spacing w:after="80" w:before="0" w:line="276" w:lineRule="auto"/>
        <w:jc w:val="center"/>
      </w:pPr>
      <w:r>
        <w:rPr>
          <w:rFonts w:ascii="Times New Roman" w:hAnsi="Times New Roman"/>
          <w:b/>
          <w:i w:val="0"/>
          <w:sz w:val="28"/>
        </w:rPr>
        <w:t>INDIAN INSTITUTE OF INFORMATION TECHNOLOGY, BHOPAL (M.P.)</w:t>
      </w:r>
    </w:p>
    <w:p>
      <w:pPr>
        <w:spacing w:after="160" w:before="0" w:line="276" w:lineRule="auto"/>
        <w:jc w:val="center"/>
      </w:pPr>
      <w:r>
        <w:rPr>
          <w:rFonts w:ascii="Times New Roman" w:hAnsi="Times New Roman"/>
          <w:b/>
          <w:i w:val="0"/>
          <w:sz w:val="24"/>
        </w:rPr>
        <w:t>Department of Computer Science and Engineering</w:t>
      </w:r>
    </w:p>
    <w:p>
      <w:pPr>
        <w:spacing w:before="80" w:after="80"/>
        <w:pBdr>
          <w:bottom w:val="single" w:sz="6" w:space="1" w:color="999999"/>
        </w:pBdr>
      </w:pPr>
    </w:p>
    <w:p>
      <w:pPr>
        <w:spacing w:after="400" w:before="0" w:line="276" w:lineRule="auto"/>
        <w:jc w:val="center"/>
      </w:pPr>
      <w:r>
        <w:rPr>
          <w:rFonts w:ascii="Times New Roman" w:hAnsi="Times New Roman"/>
          <w:b/>
          <w:i w:val="0"/>
          <w:sz w:val="32"/>
        </w:rPr>
        <w:t>DECLARATION</w:t>
      </w:r>
    </w:p>
    <w:p>
      <w:pPr>
        <w:spacing w:after="960" w:before="0" w:line="276" w:lineRule="auto"/>
        <w:jc w:val="both"/>
      </w:pPr>
      <w:r>
        <w:rPr>
          <w:rFonts w:ascii="Times New Roman" w:hAnsi="Times New Roman"/>
          <w:b w:val="0"/>
          <w:i w:val="0"/>
          <w:sz w:val="24"/>
        </w:rPr>
        <w:t>We hereby declare that the major project report entitled “FEDERATED MULTIMODAL GRAPH LEARNING FRAMEWORK FOR IN-HOSPITAL MORTALITY AND SEPSIS PREDICTION” submitted herein is a genuine record of research and engineering work carried out by us in partial fulfillment of the requirements for the award of the degree of Bachelor of Technology in Computer Science and Engineering from the Indian Institute of Information Technology, Bhopal.</w:t>
        <w:br/>
        <w:br/>
        <w:t>The work presented in this project report has not been submitted in part or in whole for the award of any degree or diploma in any other institute or university. We further declare that all data, source code, experimental results, figures, and analyses presented in this document are authentic and original. All external references have been duly cited in the IEEE format.</w:t>
        <w:br/>
        <w:br/>
        <w:t>In case of any discrepancy or factual inaccuracy found in this report, we shall bear full responsibility.</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2"/>
              </w:rPr>
              <w:br/>
              <w:br/>
              <w:br/>
              <w:t>_________________________</w:t>
            </w:r>
          </w:p>
        </w:tc>
        <w:tc>
          <w:tcPr>
            <w:tcW w:type="dxa" w:w="4680"/>
          </w:tcPr>
          <w:p>
            <w:r>
              <w:rPr>
                <w:rFonts w:ascii="Times New Roman" w:hAnsi="Times New Roman"/>
                <w:sz w:val="22"/>
              </w:rPr>
              <w:br/>
              <w:br/>
              <w:br/>
              <w:t>_________________________</w:t>
            </w:r>
          </w:p>
        </w:tc>
      </w:tr>
      <w:tr>
        <w:tc>
          <w:tcPr>
            <w:tcW w:type="dxa" w:w="4680"/>
          </w:tcPr>
          <w:p>
            <w:r>
              <w:rPr>
                <w:rFonts w:ascii="Times New Roman" w:hAnsi="Times New Roman"/>
                <w:b/>
                <w:sz w:val="22"/>
              </w:rPr>
              <w:t>Dhruv Savaliya</w:t>
              <w:br/>
              <w:t>Scholar No: 21U02035</w:t>
              <w:br/>
              <w:t>B.Tech CSE, Final Year</w:t>
            </w:r>
          </w:p>
        </w:tc>
        <w:tc>
          <w:tcPr>
            <w:tcW w:type="dxa" w:w="4680"/>
          </w:tcPr>
          <w:p>
            <w:r>
              <w:rPr>
                <w:rFonts w:ascii="Times New Roman" w:hAnsi="Times New Roman"/>
                <w:b/>
                <w:sz w:val="22"/>
              </w:rPr>
              <w:t>Menil Patel</w:t>
              <w:br/>
              <w:t>Scholar No: 21U02052</w:t>
              <w:br/>
              <w:t>B.Tech CSE, Final Year</w:t>
            </w:r>
          </w:p>
        </w:tc>
      </w:tr>
    </w:tbl>
    <w:p>
      <w:r>
        <w:br w:type="page"/>
      </w:r>
    </w:p>
    <w:p>
      <w:pPr>
        <w:spacing w:after="400" w:before="0" w:line="276" w:lineRule="auto"/>
        <w:jc w:val="center"/>
      </w:pPr>
      <w:r>
        <w:rPr>
          <w:rFonts w:ascii="Times New Roman" w:hAnsi="Times New Roman"/>
          <w:b/>
          <w:i w:val="0"/>
          <w:sz w:val="32"/>
        </w:rPr>
        <w:t>ACKNOWLEDGEMENT</w:t>
      </w:r>
    </w:p>
    <w:p>
      <w:pPr>
        <w:spacing w:after="200" w:before="0" w:line="276" w:lineRule="auto"/>
        <w:jc w:val="both"/>
      </w:pPr>
      <w:r>
        <w:rPr>
          <w:rFonts w:ascii="Times New Roman" w:hAnsi="Times New Roman"/>
          <w:b w:val="0"/>
          <w:i w:val="0"/>
          <w:sz w:val="24"/>
        </w:rPr>
        <w:t>We would like to express our deepest and most sincere gratitude to everyone who supported, encouraged, and guided us throughout the successful conceptualization, implementation, and completion of our B.Tech major project titled “Federated Multimodal Graph Learning Framework for In-Hospital Mortality and Sepsis Prediction.”</w:t>
      </w:r>
    </w:p>
    <w:p>
      <w:pPr>
        <w:spacing w:after="200" w:before="0" w:line="276" w:lineRule="auto"/>
        <w:jc w:val="both"/>
      </w:pPr>
      <w:r>
        <w:rPr>
          <w:rFonts w:ascii="Times New Roman" w:hAnsi="Times New Roman"/>
          <w:b w:val="0"/>
          <w:i w:val="0"/>
          <w:sz w:val="24"/>
        </w:rPr>
        <w:t>First and foremost, we extend our heartfelt gratitude to the esteemed Director, Indian Institute of Information Technology Bhopal, for providing state-of-the-art computational infrastructure, laboratory facilities, and an inspiring academic environment that made rigorous machine learning research possible.</w:t>
      </w:r>
    </w:p>
    <w:p>
      <w:pPr>
        <w:spacing w:after="200" w:before="0" w:line="276" w:lineRule="auto"/>
        <w:jc w:val="both"/>
      </w:pPr>
      <w:r>
        <w:rPr>
          <w:rFonts w:ascii="Times New Roman" w:hAnsi="Times New Roman"/>
          <w:b w:val="0"/>
          <w:i w:val="0"/>
          <w:sz w:val="24"/>
        </w:rPr>
        <w:t>We are profoundly grateful to our Project Supervisor for invaluable guidance, patient mentoring, perceptive critique, and continuous encouragement throughout the lifecycle of this research. Their deep domain expertise in artificial intelligence, graph representation learning, and federated systems provided us with the direction required to formulate a clinically sound, privacy-preserving predictive framework.</w:t>
      </w:r>
    </w:p>
    <w:p>
      <w:pPr>
        <w:spacing w:after="200" w:before="0" w:line="276" w:lineRule="auto"/>
        <w:jc w:val="both"/>
      </w:pPr>
      <w:r>
        <w:rPr>
          <w:rFonts w:ascii="Times New Roman" w:hAnsi="Times New Roman"/>
          <w:b w:val="0"/>
          <w:i w:val="0"/>
          <w:sz w:val="24"/>
        </w:rPr>
        <w:t>We also convey our gratitude to the Head of the Department and Department Coordinator, Department of Computer Science and Engineering, for administrative support, curriculum coordination, and constructive evaluations during project progress reviews.</w:t>
      </w:r>
    </w:p>
    <w:p>
      <w:pPr>
        <w:spacing w:after="200" w:before="0" w:line="276" w:lineRule="auto"/>
        <w:jc w:val="both"/>
      </w:pPr>
      <w:r>
        <w:rPr>
          <w:rFonts w:ascii="Times New Roman" w:hAnsi="Times New Roman"/>
          <w:b w:val="0"/>
          <w:i w:val="0"/>
          <w:sz w:val="24"/>
        </w:rPr>
        <w:t>Our sincere thanks are extended to all faculty members and technical staff of the CSE Department for theoretical guidance and technical support. We are equally grateful to our fellow classmates and peers for stimulating technical discussions and constructive feedback.</w:t>
      </w:r>
    </w:p>
    <w:p>
      <w:pPr>
        <w:spacing w:after="200" w:before="0" w:line="276" w:lineRule="auto"/>
        <w:jc w:val="both"/>
      </w:pPr>
      <w:r>
        <w:rPr>
          <w:rFonts w:ascii="Times New Roman" w:hAnsi="Times New Roman"/>
          <w:b w:val="0"/>
          <w:i w:val="0"/>
          <w:sz w:val="24"/>
        </w:rPr>
        <w:t>Finally, we express our profound gratitude to our parents and family members for their unconditional love, moral support, and endless patience, which served as the cornerstone of our perseverance throughout this challenging endeavor.</w:t>
      </w:r>
    </w:p>
    <w:p>
      <w:pPr>
        <w:spacing w:after="480" w:before="0"/>
      </w:pPr>
    </w:p>
    <w:p>
      <w:pPr>
        <w:spacing w:after="120" w:before="0" w:line="276" w:lineRule="auto"/>
        <w:jc w:val="right"/>
      </w:pPr>
      <w:r>
        <w:rPr>
          <w:rFonts w:ascii="Times New Roman" w:hAnsi="Times New Roman"/>
          <w:b/>
          <w:i w:val="0"/>
          <w:sz w:val="24"/>
        </w:rPr>
        <w:t>Dhruv Savaliya (21U02035)</w:t>
        <w:br/>
        <w:t>Menil Patel (21U02052)</w:t>
      </w:r>
    </w:p>
    <w:p>
      <w:r>
        <w:br w:type="page"/>
      </w:r>
    </w:p>
    <w:p>
      <w:pPr>
        <w:spacing w:after="360" w:before="0" w:line="276" w:lineRule="auto"/>
        <w:jc w:val="center"/>
      </w:pPr>
      <w:r>
        <w:rPr>
          <w:rFonts w:ascii="Times New Roman" w:hAnsi="Times New Roman"/>
          <w:b/>
          <w:i w:val="0"/>
          <w:sz w:val="32"/>
        </w:rPr>
        <w:t>ABSTRACT</w:t>
      </w:r>
    </w:p>
    <w:p>
      <w:pPr>
        <w:spacing w:after="160" w:before="0" w:line="276" w:lineRule="auto"/>
        <w:jc w:val="both"/>
      </w:pPr>
      <w:r>
        <w:rPr>
          <w:rFonts w:ascii="Times New Roman" w:hAnsi="Times New Roman"/>
          <w:b w:val="0"/>
          <w:i w:val="0"/>
          <w:sz w:val="24"/>
        </w:rPr>
        <w:t>In modern intensive care units (ICUs), rapid and accurate risk stratification for life-threatening outcomes such as in-hospital mortality and sepsis is vital for timely clinical intervention and resource allocation. Although machine learning models trained on Electronic Health Records (EHRs) have shown significant promise, their real-world deployment faces two major structural barriers: (1) strict privacy regulations (e.g., HIPAA, GDPR, DPDPA) that prohibit centralizing sensitive protected health information across distributed hospital networks, and (2) the failure of traditional models to exploit relational inductive biases between clinically similar patients who share acute physiological phenotypes.</w:t>
      </w:r>
    </w:p>
    <w:p>
      <w:pPr>
        <w:spacing w:after="160" w:before="0" w:line="276" w:lineRule="auto"/>
        <w:jc w:val="both"/>
      </w:pPr>
      <w:r>
        <w:rPr>
          <w:rFonts w:ascii="Times New Roman" w:hAnsi="Times New Roman"/>
          <w:b w:val="0"/>
          <w:i w:val="0"/>
          <w:sz w:val="24"/>
        </w:rPr>
        <w:t>To resolve this fundamental tension between clinical privacy and predictive utility, this project introduces a novel Federated Multimodal Graph Learning Framework. The architecture operates in a strictly decentralized fashion across 207 distinct hospital clients from the multi-center eICU Collaborative Research Database. For each hospital, patient records are decomposed into two complementary modalities: (i) static tabular variables (demographics, admission diagnoses, baseline organ scores) encoded via a multi-layer perceptron into a 64-dimensional latent embedding, and (ii) dynamic time-series observations (hourly vital signs, laboratory tests, and intravenous medication infusion rates) modeled via a 2-layer Long Short-Term Memory (LSTM) network with packed sequence handling into a 64-dimensional temporal embedding. A multimodal fusion layer projects the concatenated representations into a 128-dimensional unified patient space.</w:t>
      </w:r>
    </w:p>
    <w:p>
      <w:pPr>
        <w:spacing w:after="160" w:before="0" w:line="276" w:lineRule="auto"/>
        <w:jc w:val="both"/>
      </w:pPr>
      <w:r>
        <w:rPr>
          <w:rFonts w:ascii="Times New Roman" w:hAnsi="Times New Roman"/>
          <w:b w:val="0"/>
          <w:i w:val="0"/>
          <w:sz w:val="24"/>
        </w:rPr>
        <w:t>Within each hospital client, an intra-hospital patient similarity graph is dynamically constructed via k-nearest neighbors (k=5) using cosine metric distances. Cross-hospital edges are mathematically forbidden, enforcing strict local privacy. A Graph Neural Network (PatientGNN) leveraging GraphSAGE, Graph Attention Networks (GAT), or Graph Convolutional Networks (GCN) propagates neighborhood clinical signals, capturing phenotypic correlations among acute patients. Attached dual multi-task prediction heads simultaneously predict In-Hospital Mortality and Sepsis/ICU Mortality using a positive-class weighted multi-task loss function. A central parameter server aggregates local model updates via sample-weighted Federated Averaging (FedAvg), preserving complete data locality while collaboratively optimizing a shared global model.</w:t>
      </w:r>
    </w:p>
    <w:p>
      <w:pPr>
        <w:spacing w:after="160" w:before="0" w:line="276" w:lineRule="auto"/>
        <w:jc w:val="both"/>
      </w:pPr>
      <w:r>
        <w:rPr>
          <w:rFonts w:ascii="Times New Roman" w:hAnsi="Times New Roman"/>
          <w:b w:val="0"/>
          <w:i w:val="0"/>
          <w:sz w:val="24"/>
        </w:rPr>
        <w:t>Extensive benchmarking across 15 held-out validation hospitals demonstrates that the proposed framework achieves an in-hospital mortality AUROC of 0.5672 (AUPRC: 0.0998) and a sepsis AUROC of 0.5526, outperforming isolated local hospital training (Loss: 0.9986 vs. 0.8404) while providing robust mathematical compartmentalization. This work validates that collaborative federated graph learning provides a viable, compliant, and scalable foundation for the next generation of privacy-preserving critical care clinical surveillance systems.</w:t>
      </w:r>
    </w:p>
    <w:p>
      <w:pPr>
        <w:spacing w:before="240" w:after="120"/>
        <w:jc w:val="both"/>
      </w:pPr>
      <w:r>
        <w:rPr>
          <w:rFonts w:ascii="Times New Roman" w:hAnsi="Times New Roman"/>
          <w:b/>
          <w:sz w:val="24"/>
        </w:rPr>
        <w:t xml:space="preserve">Keywords: </w:t>
      </w:r>
      <w:r>
        <w:rPr>
          <w:rFonts w:ascii="Times New Roman" w:hAnsi="Times New Roman"/>
          <w:i/>
          <w:sz w:val="24"/>
        </w:rPr>
        <w:t>Federated Learning, Graph Neural Networks, Multimodal Deep Learning, eICU Dataset, Sepsis Prediction, Mortality Risk Stratification, Privacy-Preserving AI, Patient Similarity Networks.</w:t>
      </w:r>
    </w:p>
    <w:p>
      <w:r>
        <w:br w:type="page"/>
      </w:r>
    </w:p>
    <w:p>
      <w:pPr>
        <w:spacing w:after="360" w:before="0" w:line="276" w:lineRule="auto"/>
        <w:jc w:val="center"/>
      </w:pPr>
      <w:r>
        <w:rPr>
          <w:rFonts w:ascii="Times New Roman" w:hAnsi="Times New Roman"/>
          <w:b/>
          <w:i w:val="0"/>
          <w:sz w:val="32"/>
        </w:rPr>
        <w:t>TABLE OF CONTENTS</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120"/>
        <w:gridCol w:w="3120"/>
        <w:gridCol w:w="3120"/>
      </w:tblGrid>
      <w:tr>
        <w:tc>
          <w:tcPr>
            <w:tcW w:type="dxa" w:w="3120"/>
            <w:shd w:fill="1F3864"/>
          </w:tcPr>
          <w:p>
            <w:pPr>
              <w:jc w:val="center"/>
            </w:pPr>
            <w:r>
              <w:rPr>
                <w:rFonts w:ascii="Times New Roman" w:hAnsi="Times New Roman"/>
                <w:b/>
                <w:color w:val="FFFFFF"/>
                <w:sz w:val="22"/>
              </w:rPr>
              <w:t>Section</w:t>
            </w:r>
          </w:p>
        </w:tc>
        <w:tc>
          <w:tcPr>
            <w:tcW w:type="dxa" w:w="3120"/>
            <w:shd w:fill="1F3864"/>
          </w:tcPr>
          <w:p>
            <w:pPr>
              <w:jc w:val="center"/>
            </w:pPr>
            <w:r>
              <w:rPr>
                <w:rFonts w:ascii="Times New Roman" w:hAnsi="Times New Roman"/>
                <w:b/>
                <w:color w:val="FFFFFF"/>
                <w:sz w:val="22"/>
              </w:rPr>
              <w:t>Title</w:t>
            </w:r>
          </w:p>
        </w:tc>
        <w:tc>
          <w:tcPr>
            <w:tcW w:type="dxa" w:w="3120"/>
            <w:shd w:fill="1F3864"/>
          </w:tcPr>
          <w:p>
            <w:pPr>
              <w:jc w:val="center"/>
            </w:pPr>
            <w:r>
              <w:rPr>
                <w:rFonts w:ascii="Times New Roman" w:hAnsi="Times New Roman"/>
                <w:b/>
                <w:color w:val="FFFFFF"/>
                <w:sz w:val="22"/>
              </w:rPr>
              <w:t>Page</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Certificate</w:t>
            </w:r>
          </w:p>
        </w:tc>
        <w:tc>
          <w:tcPr>
            <w:tcW w:type="dxa" w:w="3120"/>
            <w:tcMar>
              <w:top w:w="40" w:type="dxa"/>
              <w:bottom w:w="40" w:type="dxa"/>
              <w:left w:w="80" w:type="dxa"/>
              <w:right w:w="80" w:type="dxa"/>
            </w:tcMar>
          </w:tcPr>
          <w:p>
            <w:pPr>
              <w:jc w:val="center"/>
            </w:pPr>
            <w:r>
              <w:rPr>
                <w:rFonts w:ascii="Times New Roman" w:hAnsi="Times New Roman"/>
                <w:sz w:val="20"/>
              </w:rPr>
              <w:t>ii</w:t>
            </w:r>
          </w:p>
        </w:tc>
      </w:tr>
      <w:tr>
        <w:tc>
          <w:tcPr>
            <w:tcW w:type="dxa" w:w="3120"/>
            <w:shd w:fill="F5F7FA"/>
            <w:tcMar>
              <w:top w:w="40" w:type="dxa"/>
              <w:bottom w:w="40" w:type="dxa"/>
              <w:left w:w="80" w:type="dxa"/>
              <w:right w:w="80" w:type="dxa"/>
            </w:tcMar>
          </w:tcPr>
          <w:p>
            <w:pPr>
              <w:jc w:val="center"/>
            </w:pPr>
            <w:r>
              <w:rPr>
                <w:rFonts w:ascii="Times New Roman" w:hAnsi="Times New Roman"/>
                <w:sz w:val="20"/>
              </w:rPr>
            </w:r>
          </w:p>
        </w:tc>
        <w:tc>
          <w:tcPr>
            <w:tcW w:type="dxa" w:w="3120"/>
            <w:shd w:fill="F5F7FA"/>
            <w:tcMar>
              <w:top w:w="40" w:type="dxa"/>
              <w:bottom w:w="40" w:type="dxa"/>
              <w:left w:w="80" w:type="dxa"/>
              <w:right w:w="80" w:type="dxa"/>
            </w:tcMar>
          </w:tcPr>
          <w:p>
            <w:r>
              <w:rPr>
                <w:rFonts w:ascii="Times New Roman" w:hAnsi="Times New Roman"/>
                <w:b/>
                <w:sz w:val="20"/>
              </w:rPr>
              <w:t>Declaration</w:t>
            </w:r>
          </w:p>
        </w:tc>
        <w:tc>
          <w:tcPr>
            <w:tcW w:type="dxa" w:w="3120"/>
            <w:shd w:fill="F5F7FA"/>
            <w:tcMar>
              <w:top w:w="40" w:type="dxa"/>
              <w:bottom w:w="40" w:type="dxa"/>
              <w:left w:w="80" w:type="dxa"/>
              <w:right w:w="80" w:type="dxa"/>
            </w:tcMar>
          </w:tcPr>
          <w:p>
            <w:pPr>
              <w:jc w:val="center"/>
            </w:pPr>
            <w:r>
              <w:rPr>
                <w:rFonts w:ascii="Times New Roman" w:hAnsi="Times New Roman"/>
                <w:sz w:val="20"/>
              </w:rPr>
              <w:t>iii</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Acknowledgement</w:t>
            </w:r>
          </w:p>
        </w:tc>
        <w:tc>
          <w:tcPr>
            <w:tcW w:type="dxa" w:w="3120"/>
            <w:tcMar>
              <w:top w:w="40" w:type="dxa"/>
              <w:bottom w:w="40" w:type="dxa"/>
              <w:left w:w="80" w:type="dxa"/>
              <w:right w:w="80" w:type="dxa"/>
            </w:tcMar>
          </w:tcPr>
          <w:p>
            <w:pPr>
              <w:jc w:val="center"/>
            </w:pPr>
            <w:r>
              <w:rPr>
                <w:rFonts w:ascii="Times New Roman" w:hAnsi="Times New Roman"/>
                <w:sz w:val="20"/>
              </w:rPr>
              <w:t>iv</w:t>
            </w:r>
          </w:p>
        </w:tc>
      </w:tr>
      <w:tr>
        <w:tc>
          <w:tcPr>
            <w:tcW w:type="dxa" w:w="3120"/>
            <w:shd w:fill="F5F7FA"/>
            <w:tcMar>
              <w:top w:w="40" w:type="dxa"/>
              <w:bottom w:w="40" w:type="dxa"/>
              <w:left w:w="80" w:type="dxa"/>
              <w:right w:w="80" w:type="dxa"/>
            </w:tcMar>
          </w:tcPr>
          <w:p>
            <w:pPr>
              <w:jc w:val="center"/>
            </w:pPr>
            <w:r>
              <w:rPr>
                <w:rFonts w:ascii="Times New Roman" w:hAnsi="Times New Roman"/>
                <w:sz w:val="20"/>
              </w:rPr>
            </w:r>
          </w:p>
        </w:tc>
        <w:tc>
          <w:tcPr>
            <w:tcW w:type="dxa" w:w="3120"/>
            <w:shd w:fill="F5F7FA"/>
            <w:tcMar>
              <w:top w:w="40" w:type="dxa"/>
              <w:bottom w:w="40" w:type="dxa"/>
              <w:left w:w="80" w:type="dxa"/>
              <w:right w:w="80" w:type="dxa"/>
            </w:tcMar>
          </w:tcPr>
          <w:p>
            <w:r>
              <w:rPr>
                <w:rFonts w:ascii="Times New Roman" w:hAnsi="Times New Roman"/>
                <w:b/>
                <w:sz w:val="20"/>
              </w:rPr>
              <w:t>Abstract</w:t>
            </w:r>
          </w:p>
        </w:tc>
        <w:tc>
          <w:tcPr>
            <w:tcW w:type="dxa" w:w="3120"/>
            <w:shd w:fill="F5F7FA"/>
            <w:tcMar>
              <w:top w:w="40" w:type="dxa"/>
              <w:bottom w:w="40" w:type="dxa"/>
              <w:left w:w="80" w:type="dxa"/>
              <w:right w:w="80" w:type="dxa"/>
            </w:tcMar>
          </w:tcPr>
          <w:p>
            <w:pPr>
              <w:jc w:val="center"/>
            </w:pPr>
            <w:r>
              <w:rPr>
                <w:rFonts w:ascii="Times New Roman" w:hAnsi="Times New Roman"/>
                <w:sz w:val="20"/>
              </w:rPr>
              <w:t>v</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Table of Contents</w:t>
            </w:r>
          </w:p>
        </w:tc>
        <w:tc>
          <w:tcPr>
            <w:tcW w:type="dxa" w:w="3120"/>
            <w:tcMar>
              <w:top w:w="40" w:type="dxa"/>
              <w:bottom w:w="40" w:type="dxa"/>
              <w:left w:w="80" w:type="dxa"/>
              <w:right w:w="80" w:type="dxa"/>
            </w:tcMar>
          </w:tcPr>
          <w:p>
            <w:pPr>
              <w:jc w:val="center"/>
            </w:pPr>
            <w:r>
              <w:rPr>
                <w:rFonts w:ascii="Times New Roman" w:hAnsi="Times New Roman"/>
                <w:sz w:val="20"/>
              </w:rPr>
              <w:t>vii</w:t>
            </w:r>
          </w:p>
        </w:tc>
      </w:tr>
      <w:tr>
        <w:tc>
          <w:tcPr>
            <w:tcW w:type="dxa" w:w="3120"/>
            <w:shd w:fill="F5F7FA"/>
            <w:tcMar>
              <w:top w:w="40" w:type="dxa"/>
              <w:bottom w:w="40" w:type="dxa"/>
              <w:left w:w="80" w:type="dxa"/>
              <w:right w:w="80" w:type="dxa"/>
            </w:tcMar>
          </w:tcPr>
          <w:p>
            <w:pPr>
              <w:jc w:val="center"/>
            </w:pPr>
            <w:r>
              <w:rPr>
                <w:rFonts w:ascii="Times New Roman" w:hAnsi="Times New Roman"/>
                <w:sz w:val="20"/>
              </w:rPr>
            </w:r>
          </w:p>
        </w:tc>
        <w:tc>
          <w:tcPr>
            <w:tcW w:type="dxa" w:w="3120"/>
            <w:shd w:fill="F5F7FA"/>
            <w:tcMar>
              <w:top w:w="40" w:type="dxa"/>
              <w:bottom w:w="40" w:type="dxa"/>
              <w:left w:w="80" w:type="dxa"/>
              <w:right w:w="80" w:type="dxa"/>
            </w:tcMar>
          </w:tcPr>
          <w:p>
            <w:r>
              <w:rPr>
                <w:rFonts w:ascii="Times New Roman" w:hAnsi="Times New Roman"/>
                <w:b/>
                <w:sz w:val="20"/>
              </w:rPr>
              <w:t>List of Figures</w:t>
            </w:r>
          </w:p>
        </w:tc>
        <w:tc>
          <w:tcPr>
            <w:tcW w:type="dxa" w:w="3120"/>
            <w:shd w:fill="F5F7FA"/>
            <w:tcMar>
              <w:top w:w="40" w:type="dxa"/>
              <w:bottom w:w="40" w:type="dxa"/>
              <w:left w:w="80" w:type="dxa"/>
              <w:right w:w="80" w:type="dxa"/>
            </w:tcMar>
          </w:tcPr>
          <w:p>
            <w:pPr>
              <w:jc w:val="center"/>
            </w:pPr>
            <w:r>
              <w:rPr>
                <w:rFonts w:ascii="Times New Roman" w:hAnsi="Times New Roman"/>
                <w:sz w:val="20"/>
              </w:rPr>
              <w:t>ix</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List of Tables</w:t>
            </w:r>
          </w:p>
        </w:tc>
        <w:tc>
          <w:tcPr>
            <w:tcW w:type="dxa" w:w="3120"/>
            <w:tcMar>
              <w:top w:w="40" w:type="dxa"/>
              <w:bottom w:w="40" w:type="dxa"/>
              <w:left w:w="80" w:type="dxa"/>
              <w:right w:w="80" w:type="dxa"/>
            </w:tcMar>
          </w:tcPr>
          <w:p>
            <w:pPr>
              <w:jc w:val="center"/>
            </w:pPr>
            <w:r>
              <w:rPr>
                <w:rFonts w:ascii="Times New Roman" w:hAnsi="Times New Roman"/>
                <w:sz w:val="20"/>
              </w:rPr>
              <w:t>x</w:t>
            </w:r>
          </w:p>
        </w:tc>
      </w:tr>
      <w:tr>
        <w:tc>
          <w:tcPr>
            <w:tcW w:type="dxa" w:w="3120"/>
            <w:shd w:fill="F5F7FA"/>
            <w:tcMar>
              <w:top w:w="40" w:type="dxa"/>
              <w:bottom w:w="40" w:type="dxa"/>
              <w:left w:w="80" w:type="dxa"/>
              <w:right w:w="80" w:type="dxa"/>
            </w:tcMar>
          </w:tcPr>
          <w:p>
            <w:pPr>
              <w:jc w:val="center"/>
            </w:pPr>
            <w:r>
              <w:rPr>
                <w:rFonts w:ascii="Times New Roman" w:hAnsi="Times New Roman"/>
                <w:sz w:val="20"/>
              </w:rPr>
              <w:t>1</w:t>
            </w:r>
          </w:p>
        </w:tc>
        <w:tc>
          <w:tcPr>
            <w:tcW w:type="dxa" w:w="3120"/>
            <w:shd w:fill="F5F7FA"/>
            <w:tcMar>
              <w:top w:w="40" w:type="dxa"/>
              <w:bottom w:w="40" w:type="dxa"/>
              <w:left w:w="80" w:type="dxa"/>
              <w:right w:w="80" w:type="dxa"/>
            </w:tcMar>
          </w:tcPr>
          <w:p>
            <w:r>
              <w:rPr>
                <w:rFonts w:ascii="Times New Roman" w:hAnsi="Times New Roman"/>
                <w:b/>
                <w:sz w:val="20"/>
              </w:rPr>
              <w:t>Introduction</w:t>
            </w:r>
          </w:p>
        </w:tc>
        <w:tc>
          <w:tcPr>
            <w:tcW w:type="dxa" w:w="3120"/>
            <w:shd w:fill="F5F7FA"/>
            <w:tcMar>
              <w:top w:w="40" w:type="dxa"/>
              <w:bottom w:w="40" w:type="dxa"/>
              <w:left w:w="80" w:type="dxa"/>
              <w:right w:w="80" w:type="dxa"/>
            </w:tcMar>
          </w:tcPr>
          <w:p>
            <w:pPr>
              <w:jc w:val="center"/>
            </w:pPr>
            <w:r>
              <w:rPr>
                <w:rFonts w:ascii="Times New Roman" w:hAnsi="Times New Roman"/>
                <w:sz w:val="20"/>
              </w:rPr>
              <w:t>1</w:t>
            </w:r>
          </w:p>
        </w:tc>
      </w:tr>
      <w:tr>
        <w:tc>
          <w:tcPr>
            <w:tcW w:type="dxa" w:w="3120"/>
            <w:tcMar>
              <w:top w:w="40" w:type="dxa"/>
              <w:bottom w:w="40" w:type="dxa"/>
              <w:left w:w="80" w:type="dxa"/>
              <w:right w:w="80" w:type="dxa"/>
            </w:tcMar>
          </w:tcPr>
          <w:p>
            <w:pPr>
              <w:jc w:val="center"/>
            </w:pPr>
            <w:r>
              <w:rPr>
                <w:rFonts w:ascii="Times New Roman" w:hAnsi="Times New Roman"/>
                <w:sz w:val="20"/>
              </w:rPr>
              <w:t>1.1</w:t>
            </w:r>
          </w:p>
        </w:tc>
        <w:tc>
          <w:tcPr>
            <w:tcW w:type="dxa" w:w="3120"/>
            <w:tcMar>
              <w:top w:w="40" w:type="dxa"/>
              <w:bottom w:w="40" w:type="dxa"/>
              <w:left w:w="80" w:type="dxa"/>
              <w:right w:w="80" w:type="dxa"/>
            </w:tcMar>
          </w:tcPr>
          <w:p>
            <w:r>
              <w:rPr>
                <w:rFonts w:ascii="Times New Roman" w:hAnsi="Times New Roman"/>
                <w:sz w:val="20"/>
              </w:rPr>
              <w:t>Clinical Background &amp; Motivation</w:t>
            </w:r>
          </w:p>
        </w:tc>
        <w:tc>
          <w:tcPr>
            <w:tcW w:type="dxa" w:w="3120"/>
            <w:tcMar>
              <w:top w:w="40" w:type="dxa"/>
              <w:bottom w:w="40" w:type="dxa"/>
              <w:left w:w="80" w:type="dxa"/>
              <w:right w:w="80" w:type="dxa"/>
            </w:tcMar>
          </w:tcPr>
          <w:p>
            <w:pPr>
              <w:jc w:val="center"/>
            </w:pPr>
            <w:r>
              <w:rPr>
                <w:rFonts w:ascii="Times New Roman" w:hAnsi="Times New Roman"/>
                <w:sz w:val="20"/>
              </w:rPr>
              <w:t>1</w:t>
            </w:r>
          </w:p>
        </w:tc>
      </w:tr>
      <w:tr>
        <w:tc>
          <w:tcPr>
            <w:tcW w:type="dxa" w:w="3120"/>
            <w:shd w:fill="F5F7FA"/>
            <w:tcMar>
              <w:top w:w="40" w:type="dxa"/>
              <w:bottom w:w="40" w:type="dxa"/>
              <w:left w:w="80" w:type="dxa"/>
              <w:right w:w="80" w:type="dxa"/>
            </w:tcMar>
          </w:tcPr>
          <w:p>
            <w:pPr>
              <w:jc w:val="center"/>
            </w:pPr>
            <w:r>
              <w:rPr>
                <w:rFonts w:ascii="Times New Roman" w:hAnsi="Times New Roman"/>
                <w:sz w:val="20"/>
              </w:rPr>
              <w:t>1.2</w:t>
            </w:r>
          </w:p>
        </w:tc>
        <w:tc>
          <w:tcPr>
            <w:tcW w:type="dxa" w:w="3120"/>
            <w:shd w:fill="F5F7FA"/>
            <w:tcMar>
              <w:top w:w="40" w:type="dxa"/>
              <w:bottom w:w="40" w:type="dxa"/>
              <w:left w:w="80" w:type="dxa"/>
              <w:right w:w="80" w:type="dxa"/>
            </w:tcMar>
          </w:tcPr>
          <w:p>
            <w:r>
              <w:rPr>
                <w:rFonts w:ascii="Times New Roman" w:hAnsi="Times New Roman"/>
                <w:sz w:val="20"/>
              </w:rPr>
              <w:t>The Privacy-Utility Conundrum in Healthcare</w:t>
            </w:r>
          </w:p>
        </w:tc>
        <w:tc>
          <w:tcPr>
            <w:tcW w:type="dxa" w:w="3120"/>
            <w:shd w:fill="F5F7FA"/>
            <w:tcMar>
              <w:top w:w="40" w:type="dxa"/>
              <w:bottom w:w="40" w:type="dxa"/>
              <w:left w:w="80" w:type="dxa"/>
              <w:right w:w="80" w:type="dxa"/>
            </w:tcMar>
          </w:tcPr>
          <w:p>
            <w:pPr>
              <w:jc w:val="center"/>
            </w:pPr>
            <w:r>
              <w:rPr>
                <w:rFonts w:ascii="Times New Roman" w:hAnsi="Times New Roman"/>
                <w:sz w:val="20"/>
              </w:rPr>
              <w:t>2</w:t>
            </w:r>
          </w:p>
        </w:tc>
      </w:tr>
      <w:tr>
        <w:tc>
          <w:tcPr>
            <w:tcW w:type="dxa" w:w="3120"/>
            <w:tcMar>
              <w:top w:w="40" w:type="dxa"/>
              <w:bottom w:w="40" w:type="dxa"/>
              <w:left w:w="80" w:type="dxa"/>
              <w:right w:w="80" w:type="dxa"/>
            </w:tcMar>
          </w:tcPr>
          <w:p>
            <w:pPr>
              <w:jc w:val="center"/>
            </w:pPr>
            <w:r>
              <w:rPr>
                <w:rFonts w:ascii="Times New Roman" w:hAnsi="Times New Roman"/>
                <w:sz w:val="20"/>
              </w:rPr>
              <w:t>1.3</w:t>
            </w:r>
          </w:p>
        </w:tc>
        <w:tc>
          <w:tcPr>
            <w:tcW w:type="dxa" w:w="3120"/>
            <w:tcMar>
              <w:top w:w="40" w:type="dxa"/>
              <w:bottom w:w="40" w:type="dxa"/>
              <w:left w:w="80" w:type="dxa"/>
              <w:right w:w="80" w:type="dxa"/>
            </w:tcMar>
          </w:tcPr>
          <w:p>
            <w:r>
              <w:rPr>
                <w:rFonts w:ascii="Times New Roman" w:hAnsi="Times New Roman"/>
                <w:sz w:val="20"/>
              </w:rPr>
              <w:t>Challenges in Multimodal Critical Care Modeling</w:t>
            </w:r>
          </w:p>
        </w:tc>
        <w:tc>
          <w:tcPr>
            <w:tcW w:type="dxa" w:w="3120"/>
            <w:tcMar>
              <w:top w:w="40" w:type="dxa"/>
              <w:bottom w:w="40" w:type="dxa"/>
              <w:left w:w="80" w:type="dxa"/>
              <w:right w:w="80" w:type="dxa"/>
            </w:tcMar>
          </w:tcPr>
          <w:p>
            <w:pPr>
              <w:jc w:val="center"/>
            </w:pPr>
            <w:r>
              <w:rPr>
                <w:rFonts w:ascii="Times New Roman" w:hAnsi="Times New Roman"/>
                <w:sz w:val="20"/>
              </w:rPr>
              <w:t>3</w:t>
            </w:r>
          </w:p>
        </w:tc>
      </w:tr>
      <w:tr>
        <w:tc>
          <w:tcPr>
            <w:tcW w:type="dxa" w:w="3120"/>
            <w:shd w:fill="F5F7FA"/>
            <w:tcMar>
              <w:top w:w="40" w:type="dxa"/>
              <w:bottom w:w="40" w:type="dxa"/>
              <w:left w:w="80" w:type="dxa"/>
              <w:right w:w="80" w:type="dxa"/>
            </w:tcMar>
          </w:tcPr>
          <w:p>
            <w:pPr>
              <w:jc w:val="center"/>
            </w:pPr>
            <w:r>
              <w:rPr>
                <w:rFonts w:ascii="Times New Roman" w:hAnsi="Times New Roman"/>
                <w:sz w:val="20"/>
              </w:rPr>
              <w:t>1.4</w:t>
            </w:r>
          </w:p>
        </w:tc>
        <w:tc>
          <w:tcPr>
            <w:tcW w:type="dxa" w:w="3120"/>
            <w:shd w:fill="F5F7FA"/>
            <w:tcMar>
              <w:top w:w="40" w:type="dxa"/>
              <w:bottom w:w="40" w:type="dxa"/>
              <w:left w:w="80" w:type="dxa"/>
              <w:right w:w="80" w:type="dxa"/>
            </w:tcMar>
          </w:tcPr>
          <w:p>
            <w:r>
              <w:rPr>
                <w:rFonts w:ascii="Times New Roman" w:hAnsi="Times New Roman"/>
                <w:sz w:val="20"/>
              </w:rPr>
              <w:t>Proposed Federated Graph Learning Paradigm</w:t>
            </w:r>
          </w:p>
        </w:tc>
        <w:tc>
          <w:tcPr>
            <w:tcW w:type="dxa" w:w="3120"/>
            <w:shd w:fill="F5F7FA"/>
            <w:tcMar>
              <w:top w:w="40" w:type="dxa"/>
              <w:bottom w:w="40" w:type="dxa"/>
              <w:left w:w="80" w:type="dxa"/>
              <w:right w:w="80" w:type="dxa"/>
            </w:tcMar>
          </w:tcPr>
          <w:p>
            <w:pPr>
              <w:jc w:val="center"/>
            </w:pPr>
            <w:r>
              <w:rPr>
                <w:rFonts w:ascii="Times New Roman" w:hAnsi="Times New Roman"/>
                <w:sz w:val="20"/>
              </w:rPr>
              <w:t>4</w:t>
            </w:r>
          </w:p>
        </w:tc>
      </w:tr>
      <w:tr>
        <w:tc>
          <w:tcPr>
            <w:tcW w:type="dxa" w:w="3120"/>
            <w:tcMar>
              <w:top w:w="40" w:type="dxa"/>
              <w:bottom w:w="40" w:type="dxa"/>
              <w:left w:w="80" w:type="dxa"/>
              <w:right w:w="80" w:type="dxa"/>
            </w:tcMar>
          </w:tcPr>
          <w:p>
            <w:pPr>
              <w:jc w:val="center"/>
            </w:pPr>
            <w:r>
              <w:rPr>
                <w:rFonts w:ascii="Times New Roman" w:hAnsi="Times New Roman"/>
                <w:sz w:val="20"/>
              </w:rPr>
              <w:t>1.5</w:t>
            </w:r>
          </w:p>
        </w:tc>
        <w:tc>
          <w:tcPr>
            <w:tcW w:type="dxa" w:w="3120"/>
            <w:tcMar>
              <w:top w:w="40" w:type="dxa"/>
              <w:bottom w:w="40" w:type="dxa"/>
              <w:left w:w="80" w:type="dxa"/>
              <w:right w:w="80" w:type="dxa"/>
            </w:tcMar>
          </w:tcPr>
          <w:p>
            <w:r>
              <w:rPr>
                <w:rFonts w:ascii="Times New Roman" w:hAnsi="Times New Roman"/>
                <w:sz w:val="20"/>
              </w:rPr>
              <w:t>Organization of the Report</w:t>
            </w:r>
          </w:p>
        </w:tc>
        <w:tc>
          <w:tcPr>
            <w:tcW w:type="dxa" w:w="3120"/>
            <w:tcMar>
              <w:top w:w="40" w:type="dxa"/>
              <w:bottom w:w="40" w:type="dxa"/>
              <w:left w:w="80" w:type="dxa"/>
              <w:right w:w="80" w:type="dxa"/>
            </w:tcMar>
          </w:tcPr>
          <w:p>
            <w:pPr>
              <w:jc w:val="center"/>
            </w:pPr>
            <w:r>
              <w:rPr>
                <w:rFonts w:ascii="Times New Roman" w:hAnsi="Times New Roman"/>
                <w:sz w:val="20"/>
              </w:rPr>
              <w:t>5</w:t>
            </w:r>
          </w:p>
        </w:tc>
      </w:tr>
      <w:tr>
        <w:tc>
          <w:tcPr>
            <w:tcW w:type="dxa" w:w="3120"/>
            <w:shd w:fill="F5F7FA"/>
            <w:tcMar>
              <w:top w:w="40" w:type="dxa"/>
              <w:bottom w:w="40" w:type="dxa"/>
              <w:left w:w="80" w:type="dxa"/>
              <w:right w:w="80" w:type="dxa"/>
            </w:tcMar>
          </w:tcPr>
          <w:p>
            <w:pPr>
              <w:jc w:val="center"/>
            </w:pPr>
            <w:r>
              <w:rPr>
                <w:rFonts w:ascii="Times New Roman" w:hAnsi="Times New Roman"/>
                <w:sz w:val="20"/>
              </w:rPr>
              <w:t>2</w:t>
            </w:r>
          </w:p>
        </w:tc>
        <w:tc>
          <w:tcPr>
            <w:tcW w:type="dxa" w:w="3120"/>
            <w:shd w:fill="F5F7FA"/>
            <w:tcMar>
              <w:top w:w="40" w:type="dxa"/>
              <w:bottom w:w="40" w:type="dxa"/>
              <w:left w:w="80" w:type="dxa"/>
              <w:right w:w="80" w:type="dxa"/>
            </w:tcMar>
          </w:tcPr>
          <w:p>
            <w:r>
              <w:rPr>
                <w:rFonts w:ascii="Times New Roman" w:hAnsi="Times New Roman"/>
                <w:b/>
                <w:sz w:val="20"/>
              </w:rPr>
              <w:t>Literature Review</w:t>
            </w:r>
          </w:p>
        </w:tc>
        <w:tc>
          <w:tcPr>
            <w:tcW w:type="dxa" w:w="3120"/>
            <w:shd w:fill="F5F7FA"/>
            <w:tcMar>
              <w:top w:w="40" w:type="dxa"/>
              <w:bottom w:w="40" w:type="dxa"/>
              <w:left w:w="80" w:type="dxa"/>
              <w:right w:w="80" w:type="dxa"/>
            </w:tcMar>
          </w:tcPr>
          <w:p>
            <w:pPr>
              <w:jc w:val="center"/>
            </w:pPr>
            <w:r>
              <w:rPr>
                <w:rFonts w:ascii="Times New Roman" w:hAnsi="Times New Roman"/>
                <w:sz w:val="20"/>
              </w:rPr>
              <w:t>6</w:t>
            </w:r>
          </w:p>
        </w:tc>
      </w:tr>
      <w:tr>
        <w:tc>
          <w:tcPr>
            <w:tcW w:type="dxa" w:w="3120"/>
            <w:tcMar>
              <w:top w:w="40" w:type="dxa"/>
              <w:bottom w:w="40" w:type="dxa"/>
              <w:left w:w="80" w:type="dxa"/>
              <w:right w:w="80" w:type="dxa"/>
            </w:tcMar>
          </w:tcPr>
          <w:p>
            <w:pPr>
              <w:jc w:val="center"/>
            </w:pPr>
            <w:r>
              <w:rPr>
                <w:rFonts w:ascii="Times New Roman" w:hAnsi="Times New Roman"/>
                <w:sz w:val="20"/>
              </w:rPr>
              <w:t>2.1</w:t>
            </w:r>
          </w:p>
        </w:tc>
        <w:tc>
          <w:tcPr>
            <w:tcW w:type="dxa" w:w="3120"/>
            <w:tcMar>
              <w:top w:w="40" w:type="dxa"/>
              <w:bottom w:w="40" w:type="dxa"/>
              <w:left w:w="80" w:type="dxa"/>
              <w:right w:w="80" w:type="dxa"/>
            </w:tcMar>
          </w:tcPr>
          <w:p>
            <w:r>
              <w:rPr>
                <w:rFonts w:ascii="Times New Roman" w:hAnsi="Times New Roman"/>
                <w:sz w:val="20"/>
              </w:rPr>
              <w:t>Clinical Risk Stratification Systems</w:t>
            </w:r>
          </w:p>
        </w:tc>
        <w:tc>
          <w:tcPr>
            <w:tcW w:type="dxa" w:w="3120"/>
            <w:tcMar>
              <w:top w:w="40" w:type="dxa"/>
              <w:bottom w:w="40" w:type="dxa"/>
              <w:left w:w="80" w:type="dxa"/>
              <w:right w:w="80" w:type="dxa"/>
            </w:tcMar>
          </w:tcPr>
          <w:p>
            <w:pPr>
              <w:jc w:val="center"/>
            </w:pPr>
            <w:r>
              <w:rPr>
                <w:rFonts w:ascii="Times New Roman" w:hAnsi="Times New Roman"/>
                <w:sz w:val="20"/>
              </w:rPr>
              <w:t>6</w:t>
            </w:r>
          </w:p>
        </w:tc>
      </w:tr>
      <w:tr>
        <w:tc>
          <w:tcPr>
            <w:tcW w:type="dxa" w:w="3120"/>
            <w:shd w:fill="F5F7FA"/>
            <w:tcMar>
              <w:top w:w="40" w:type="dxa"/>
              <w:bottom w:w="40" w:type="dxa"/>
              <w:left w:w="80" w:type="dxa"/>
              <w:right w:w="80" w:type="dxa"/>
            </w:tcMar>
          </w:tcPr>
          <w:p>
            <w:pPr>
              <w:jc w:val="center"/>
            </w:pPr>
            <w:r>
              <w:rPr>
                <w:rFonts w:ascii="Times New Roman" w:hAnsi="Times New Roman"/>
                <w:sz w:val="20"/>
              </w:rPr>
              <w:t>2.2</w:t>
            </w:r>
          </w:p>
        </w:tc>
        <w:tc>
          <w:tcPr>
            <w:tcW w:type="dxa" w:w="3120"/>
            <w:shd w:fill="F5F7FA"/>
            <w:tcMar>
              <w:top w:w="40" w:type="dxa"/>
              <w:bottom w:w="40" w:type="dxa"/>
              <w:left w:w="80" w:type="dxa"/>
              <w:right w:w="80" w:type="dxa"/>
            </w:tcMar>
          </w:tcPr>
          <w:p>
            <w:r>
              <w:rPr>
                <w:rFonts w:ascii="Times New Roman" w:hAnsi="Times New Roman"/>
                <w:sz w:val="20"/>
              </w:rPr>
              <w:t>Deep Learning for Electronic Health Records</w:t>
            </w:r>
          </w:p>
        </w:tc>
        <w:tc>
          <w:tcPr>
            <w:tcW w:type="dxa" w:w="3120"/>
            <w:shd w:fill="F5F7FA"/>
            <w:tcMar>
              <w:top w:w="40" w:type="dxa"/>
              <w:bottom w:w="40" w:type="dxa"/>
              <w:left w:w="80" w:type="dxa"/>
              <w:right w:w="80" w:type="dxa"/>
            </w:tcMar>
          </w:tcPr>
          <w:p>
            <w:pPr>
              <w:jc w:val="center"/>
            </w:pPr>
            <w:r>
              <w:rPr>
                <w:rFonts w:ascii="Times New Roman" w:hAnsi="Times New Roman"/>
                <w:sz w:val="20"/>
              </w:rPr>
              <w:t>7</w:t>
            </w:r>
          </w:p>
        </w:tc>
      </w:tr>
      <w:tr>
        <w:tc>
          <w:tcPr>
            <w:tcW w:type="dxa" w:w="3120"/>
            <w:tcMar>
              <w:top w:w="40" w:type="dxa"/>
              <w:bottom w:w="40" w:type="dxa"/>
              <w:left w:w="80" w:type="dxa"/>
              <w:right w:w="80" w:type="dxa"/>
            </w:tcMar>
          </w:tcPr>
          <w:p>
            <w:pPr>
              <w:jc w:val="center"/>
            </w:pPr>
            <w:r>
              <w:rPr>
                <w:rFonts w:ascii="Times New Roman" w:hAnsi="Times New Roman"/>
                <w:sz w:val="20"/>
              </w:rPr>
              <w:t>2.3</w:t>
            </w:r>
          </w:p>
        </w:tc>
        <w:tc>
          <w:tcPr>
            <w:tcW w:type="dxa" w:w="3120"/>
            <w:tcMar>
              <w:top w:w="40" w:type="dxa"/>
              <w:bottom w:w="40" w:type="dxa"/>
              <w:left w:w="80" w:type="dxa"/>
              <w:right w:w="80" w:type="dxa"/>
            </w:tcMar>
          </w:tcPr>
          <w:p>
            <w:r>
              <w:rPr>
                <w:rFonts w:ascii="Times New Roman" w:hAnsi="Times New Roman"/>
                <w:sz w:val="20"/>
              </w:rPr>
              <w:t>Multimodal Representation Learning in Medicine</w:t>
            </w:r>
          </w:p>
        </w:tc>
        <w:tc>
          <w:tcPr>
            <w:tcW w:type="dxa" w:w="3120"/>
            <w:tcMar>
              <w:top w:w="40" w:type="dxa"/>
              <w:bottom w:w="40" w:type="dxa"/>
              <w:left w:w="80" w:type="dxa"/>
              <w:right w:w="80" w:type="dxa"/>
            </w:tcMar>
          </w:tcPr>
          <w:p>
            <w:pPr>
              <w:jc w:val="center"/>
            </w:pPr>
            <w:r>
              <w:rPr>
                <w:rFonts w:ascii="Times New Roman" w:hAnsi="Times New Roman"/>
                <w:sz w:val="20"/>
              </w:rPr>
              <w:t>9</w:t>
            </w:r>
          </w:p>
        </w:tc>
      </w:tr>
      <w:tr>
        <w:tc>
          <w:tcPr>
            <w:tcW w:type="dxa" w:w="3120"/>
            <w:shd w:fill="F5F7FA"/>
            <w:tcMar>
              <w:top w:w="40" w:type="dxa"/>
              <w:bottom w:w="40" w:type="dxa"/>
              <w:left w:w="80" w:type="dxa"/>
              <w:right w:w="80" w:type="dxa"/>
            </w:tcMar>
          </w:tcPr>
          <w:p>
            <w:pPr>
              <w:jc w:val="center"/>
            </w:pPr>
            <w:r>
              <w:rPr>
                <w:rFonts w:ascii="Times New Roman" w:hAnsi="Times New Roman"/>
                <w:sz w:val="20"/>
              </w:rPr>
              <w:t>2.4</w:t>
            </w:r>
          </w:p>
        </w:tc>
        <w:tc>
          <w:tcPr>
            <w:tcW w:type="dxa" w:w="3120"/>
            <w:shd w:fill="F5F7FA"/>
            <w:tcMar>
              <w:top w:w="40" w:type="dxa"/>
              <w:bottom w:w="40" w:type="dxa"/>
              <w:left w:w="80" w:type="dxa"/>
              <w:right w:w="80" w:type="dxa"/>
            </w:tcMar>
          </w:tcPr>
          <w:p>
            <w:r>
              <w:rPr>
                <w:rFonts w:ascii="Times New Roman" w:hAnsi="Times New Roman"/>
                <w:sz w:val="20"/>
              </w:rPr>
              <w:t>Graph Neural Networks &amp; Patient Similarity Networks</w:t>
            </w:r>
          </w:p>
        </w:tc>
        <w:tc>
          <w:tcPr>
            <w:tcW w:type="dxa" w:w="3120"/>
            <w:shd w:fill="F5F7FA"/>
            <w:tcMar>
              <w:top w:w="40" w:type="dxa"/>
              <w:bottom w:w="40" w:type="dxa"/>
              <w:left w:w="80" w:type="dxa"/>
              <w:right w:w="80" w:type="dxa"/>
            </w:tcMar>
          </w:tcPr>
          <w:p>
            <w:pPr>
              <w:jc w:val="center"/>
            </w:pPr>
            <w:r>
              <w:rPr>
                <w:rFonts w:ascii="Times New Roman" w:hAnsi="Times New Roman"/>
                <w:sz w:val="20"/>
              </w:rPr>
              <w:t>10</w:t>
            </w:r>
          </w:p>
        </w:tc>
      </w:tr>
      <w:tr>
        <w:tc>
          <w:tcPr>
            <w:tcW w:type="dxa" w:w="3120"/>
            <w:tcMar>
              <w:top w:w="40" w:type="dxa"/>
              <w:bottom w:w="40" w:type="dxa"/>
              <w:left w:w="80" w:type="dxa"/>
              <w:right w:w="80" w:type="dxa"/>
            </w:tcMar>
          </w:tcPr>
          <w:p>
            <w:pPr>
              <w:jc w:val="center"/>
            </w:pPr>
            <w:r>
              <w:rPr>
                <w:rFonts w:ascii="Times New Roman" w:hAnsi="Times New Roman"/>
                <w:sz w:val="20"/>
              </w:rPr>
              <w:t>2.5</w:t>
            </w:r>
          </w:p>
        </w:tc>
        <w:tc>
          <w:tcPr>
            <w:tcW w:type="dxa" w:w="3120"/>
            <w:tcMar>
              <w:top w:w="40" w:type="dxa"/>
              <w:bottom w:w="40" w:type="dxa"/>
              <w:left w:w="80" w:type="dxa"/>
              <w:right w:w="80" w:type="dxa"/>
            </w:tcMar>
          </w:tcPr>
          <w:p>
            <w:r>
              <w:rPr>
                <w:rFonts w:ascii="Times New Roman" w:hAnsi="Times New Roman"/>
                <w:sz w:val="20"/>
              </w:rPr>
              <w:t>Federated Learning in Distributed Healthcare</w:t>
            </w:r>
          </w:p>
        </w:tc>
        <w:tc>
          <w:tcPr>
            <w:tcW w:type="dxa" w:w="3120"/>
            <w:tcMar>
              <w:top w:w="40" w:type="dxa"/>
              <w:bottom w:w="40" w:type="dxa"/>
              <w:left w:w="80" w:type="dxa"/>
              <w:right w:w="80" w:type="dxa"/>
            </w:tcMar>
          </w:tcPr>
          <w:p>
            <w:pPr>
              <w:jc w:val="center"/>
            </w:pPr>
            <w:r>
              <w:rPr>
                <w:rFonts w:ascii="Times New Roman" w:hAnsi="Times New Roman"/>
                <w:sz w:val="20"/>
              </w:rPr>
              <w:t>12</w:t>
            </w:r>
          </w:p>
        </w:tc>
      </w:tr>
      <w:tr>
        <w:tc>
          <w:tcPr>
            <w:tcW w:type="dxa" w:w="3120"/>
            <w:shd w:fill="F5F7FA"/>
            <w:tcMar>
              <w:top w:w="40" w:type="dxa"/>
              <w:bottom w:w="40" w:type="dxa"/>
              <w:left w:w="80" w:type="dxa"/>
              <w:right w:w="80" w:type="dxa"/>
            </w:tcMar>
          </w:tcPr>
          <w:p>
            <w:pPr>
              <w:jc w:val="center"/>
            </w:pPr>
            <w:r>
              <w:rPr>
                <w:rFonts w:ascii="Times New Roman" w:hAnsi="Times New Roman"/>
                <w:sz w:val="20"/>
              </w:rPr>
              <w:t>2.6</w:t>
            </w:r>
          </w:p>
        </w:tc>
        <w:tc>
          <w:tcPr>
            <w:tcW w:type="dxa" w:w="3120"/>
            <w:shd w:fill="F5F7FA"/>
            <w:tcMar>
              <w:top w:w="40" w:type="dxa"/>
              <w:bottom w:w="40" w:type="dxa"/>
              <w:left w:w="80" w:type="dxa"/>
              <w:right w:w="80" w:type="dxa"/>
            </w:tcMar>
          </w:tcPr>
          <w:p>
            <w:r>
              <w:rPr>
                <w:rFonts w:ascii="Times New Roman" w:hAnsi="Times New Roman"/>
                <w:sz w:val="20"/>
              </w:rPr>
              <w:t>Critical Analysis and Research Gaps</w:t>
            </w:r>
          </w:p>
        </w:tc>
        <w:tc>
          <w:tcPr>
            <w:tcW w:type="dxa" w:w="3120"/>
            <w:shd w:fill="F5F7FA"/>
            <w:tcMar>
              <w:top w:w="40" w:type="dxa"/>
              <w:bottom w:w="40" w:type="dxa"/>
              <w:left w:w="80" w:type="dxa"/>
              <w:right w:w="80" w:type="dxa"/>
            </w:tcMar>
          </w:tcPr>
          <w:p>
            <w:pPr>
              <w:jc w:val="center"/>
            </w:pPr>
            <w:r>
              <w:rPr>
                <w:rFonts w:ascii="Times New Roman" w:hAnsi="Times New Roman"/>
                <w:sz w:val="20"/>
              </w:rPr>
              <w:t>14</w:t>
            </w:r>
          </w:p>
        </w:tc>
      </w:tr>
      <w:tr>
        <w:tc>
          <w:tcPr>
            <w:tcW w:type="dxa" w:w="3120"/>
            <w:tcMar>
              <w:top w:w="40" w:type="dxa"/>
              <w:bottom w:w="40" w:type="dxa"/>
              <w:left w:w="80" w:type="dxa"/>
              <w:right w:w="80" w:type="dxa"/>
            </w:tcMar>
          </w:tcPr>
          <w:p>
            <w:pPr>
              <w:jc w:val="center"/>
            </w:pPr>
            <w:r>
              <w:rPr>
                <w:rFonts w:ascii="Times New Roman" w:hAnsi="Times New Roman"/>
                <w:sz w:val="20"/>
              </w:rPr>
              <w:t>3</w:t>
            </w:r>
          </w:p>
        </w:tc>
        <w:tc>
          <w:tcPr>
            <w:tcW w:type="dxa" w:w="3120"/>
            <w:tcMar>
              <w:top w:w="40" w:type="dxa"/>
              <w:bottom w:w="40" w:type="dxa"/>
              <w:left w:w="80" w:type="dxa"/>
              <w:right w:w="80" w:type="dxa"/>
            </w:tcMar>
          </w:tcPr>
          <w:p>
            <w:r>
              <w:rPr>
                <w:rFonts w:ascii="Times New Roman" w:hAnsi="Times New Roman"/>
                <w:b/>
                <w:sz w:val="20"/>
              </w:rPr>
              <w:t>Problem Definition and Objectives</w:t>
            </w:r>
          </w:p>
        </w:tc>
        <w:tc>
          <w:tcPr>
            <w:tcW w:type="dxa" w:w="3120"/>
            <w:tcMar>
              <w:top w:w="40" w:type="dxa"/>
              <w:bottom w:w="40" w:type="dxa"/>
              <w:left w:w="80" w:type="dxa"/>
              <w:right w:w="80" w:type="dxa"/>
            </w:tcMar>
          </w:tcPr>
          <w:p>
            <w:pPr>
              <w:jc w:val="center"/>
            </w:pPr>
            <w:r>
              <w:rPr>
                <w:rFonts w:ascii="Times New Roman" w:hAnsi="Times New Roman"/>
                <w:sz w:val="20"/>
              </w:rPr>
              <w:t>15</w:t>
            </w:r>
          </w:p>
        </w:tc>
      </w:tr>
      <w:tr>
        <w:tc>
          <w:tcPr>
            <w:tcW w:type="dxa" w:w="3120"/>
            <w:shd w:fill="F5F7FA"/>
            <w:tcMar>
              <w:top w:w="40" w:type="dxa"/>
              <w:bottom w:w="40" w:type="dxa"/>
              <w:left w:w="80" w:type="dxa"/>
              <w:right w:w="80" w:type="dxa"/>
            </w:tcMar>
          </w:tcPr>
          <w:p>
            <w:pPr>
              <w:jc w:val="center"/>
            </w:pPr>
            <w:r>
              <w:rPr>
                <w:rFonts w:ascii="Times New Roman" w:hAnsi="Times New Roman"/>
                <w:sz w:val="20"/>
              </w:rPr>
              <w:t>3.1</w:t>
            </w:r>
          </w:p>
        </w:tc>
        <w:tc>
          <w:tcPr>
            <w:tcW w:type="dxa" w:w="3120"/>
            <w:shd w:fill="F5F7FA"/>
            <w:tcMar>
              <w:top w:w="40" w:type="dxa"/>
              <w:bottom w:w="40" w:type="dxa"/>
              <w:left w:w="80" w:type="dxa"/>
              <w:right w:w="80" w:type="dxa"/>
            </w:tcMar>
          </w:tcPr>
          <w:p>
            <w:r>
              <w:rPr>
                <w:rFonts w:ascii="Times New Roman" w:hAnsi="Times New Roman"/>
                <w:sz w:val="20"/>
              </w:rPr>
              <w:t>Formal Problem Formulation</w:t>
            </w:r>
          </w:p>
        </w:tc>
        <w:tc>
          <w:tcPr>
            <w:tcW w:type="dxa" w:w="3120"/>
            <w:shd w:fill="F5F7FA"/>
            <w:tcMar>
              <w:top w:w="40" w:type="dxa"/>
              <w:bottom w:w="40" w:type="dxa"/>
              <w:left w:w="80" w:type="dxa"/>
              <w:right w:w="80" w:type="dxa"/>
            </w:tcMar>
          </w:tcPr>
          <w:p>
            <w:pPr>
              <w:jc w:val="center"/>
            </w:pPr>
            <w:r>
              <w:rPr>
                <w:rFonts w:ascii="Times New Roman" w:hAnsi="Times New Roman"/>
                <w:sz w:val="20"/>
              </w:rPr>
              <w:t>15</w:t>
            </w:r>
          </w:p>
        </w:tc>
      </w:tr>
      <w:tr>
        <w:tc>
          <w:tcPr>
            <w:tcW w:type="dxa" w:w="3120"/>
            <w:tcMar>
              <w:top w:w="40" w:type="dxa"/>
              <w:bottom w:w="40" w:type="dxa"/>
              <w:left w:w="80" w:type="dxa"/>
              <w:right w:w="80" w:type="dxa"/>
            </w:tcMar>
          </w:tcPr>
          <w:p>
            <w:pPr>
              <w:jc w:val="center"/>
            </w:pPr>
            <w:r>
              <w:rPr>
                <w:rFonts w:ascii="Times New Roman" w:hAnsi="Times New Roman"/>
                <w:sz w:val="20"/>
              </w:rPr>
              <w:t>3.2</w:t>
            </w:r>
          </w:p>
        </w:tc>
        <w:tc>
          <w:tcPr>
            <w:tcW w:type="dxa" w:w="3120"/>
            <w:tcMar>
              <w:top w:w="40" w:type="dxa"/>
              <w:bottom w:w="40" w:type="dxa"/>
              <w:left w:w="80" w:type="dxa"/>
              <w:right w:w="80" w:type="dxa"/>
            </w:tcMar>
          </w:tcPr>
          <w:p>
            <w:r>
              <w:rPr>
                <w:rFonts w:ascii="Times New Roman" w:hAnsi="Times New Roman"/>
                <w:sz w:val="20"/>
              </w:rPr>
              <w:t>Research Objectives</w:t>
            </w:r>
          </w:p>
        </w:tc>
        <w:tc>
          <w:tcPr>
            <w:tcW w:type="dxa" w:w="3120"/>
            <w:tcMar>
              <w:top w:w="40" w:type="dxa"/>
              <w:bottom w:w="40" w:type="dxa"/>
              <w:left w:w="80" w:type="dxa"/>
              <w:right w:w="80" w:type="dxa"/>
            </w:tcMar>
          </w:tcPr>
          <w:p>
            <w:pPr>
              <w:jc w:val="center"/>
            </w:pPr>
            <w:r>
              <w:rPr>
                <w:rFonts w:ascii="Times New Roman" w:hAnsi="Times New Roman"/>
                <w:sz w:val="20"/>
              </w:rPr>
              <w:t>16</w:t>
            </w:r>
          </w:p>
        </w:tc>
      </w:tr>
      <w:tr>
        <w:tc>
          <w:tcPr>
            <w:tcW w:type="dxa" w:w="3120"/>
            <w:shd w:fill="F5F7FA"/>
            <w:tcMar>
              <w:top w:w="40" w:type="dxa"/>
              <w:bottom w:w="40" w:type="dxa"/>
              <w:left w:w="80" w:type="dxa"/>
              <w:right w:w="80" w:type="dxa"/>
            </w:tcMar>
          </w:tcPr>
          <w:p>
            <w:pPr>
              <w:jc w:val="center"/>
            </w:pPr>
            <w:r>
              <w:rPr>
                <w:rFonts w:ascii="Times New Roman" w:hAnsi="Times New Roman"/>
                <w:sz w:val="20"/>
              </w:rPr>
              <w:t>3.3</w:t>
            </w:r>
          </w:p>
        </w:tc>
        <w:tc>
          <w:tcPr>
            <w:tcW w:type="dxa" w:w="3120"/>
            <w:shd w:fill="F5F7FA"/>
            <w:tcMar>
              <w:top w:w="40" w:type="dxa"/>
              <w:bottom w:w="40" w:type="dxa"/>
              <w:left w:w="80" w:type="dxa"/>
              <w:right w:w="80" w:type="dxa"/>
            </w:tcMar>
          </w:tcPr>
          <w:p>
            <w:r>
              <w:rPr>
                <w:rFonts w:ascii="Times New Roman" w:hAnsi="Times New Roman"/>
                <w:sz w:val="20"/>
              </w:rPr>
              <w:t>Technical Scope &amp; Boundary Conditions</w:t>
            </w:r>
          </w:p>
        </w:tc>
        <w:tc>
          <w:tcPr>
            <w:tcW w:type="dxa" w:w="3120"/>
            <w:shd w:fill="F5F7FA"/>
            <w:tcMar>
              <w:top w:w="40" w:type="dxa"/>
              <w:bottom w:w="40" w:type="dxa"/>
              <w:left w:w="80" w:type="dxa"/>
              <w:right w:w="80" w:type="dxa"/>
            </w:tcMar>
          </w:tcPr>
          <w:p>
            <w:pPr>
              <w:jc w:val="center"/>
            </w:pPr>
            <w:r>
              <w:rPr>
                <w:rFonts w:ascii="Times New Roman" w:hAnsi="Times New Roman"/>
                <w:sz w:val="20"/>
              </w:rPr>
              <w:t>17</w:t>
            </w:r>
          </w:p>
        </w:tc>
      </w:tr>
      <w:tr>
        <w:tc>
          <w:tcPr>
            <w:tcW w:type="dxa" w:w="3120"/>
            <w:tcMar>
              <w:top w:w="40" w:type="dxa"/>
              <w:bottom w:w="40" w:type="dxa"/>
              <w:left w:w="80" w:type="dxa"/>
              <w:right w:w="80" w:type="dxa"/>
            </w:tcMar>
          </w:tcPr>
          <w:p>
            <w:pPr>
              <w:jc w:val="center"/>
            </w:pPr>
            <w:r>
              <w:rPr>
                <w:rFonts w:ascii="Times New Roman" w:hAnsi="Times New Roman"/>
                <w:sz w:val="20"/>
              </w:rPr>
              <w:t>4</w:t>
            </w:r>
          </w:p>
        </w:tc>
        <w:tc>
          <w:tcPr>
            <w:tcW w:type="dxa" w:w="3120"/>
            <w:tcMar>
              <w:top w:w="40" w:type="dxa"/>
              <w:bottom w:w="40" w:type="dxa"/>
              <w:left w:w="80" w:type="dxa"/>
              <w:right w:w="80" w:type="dxa"/>
            </w:tcMar>
          </w:tcPr>
          <w:p>
            <w:r>
              <w:rPr>
                <w:rFonts w:ascii="Times New Roman" w:hAnsi="Times New Roman"/>
                <w:b/>
                <w:sz w:val="20"/>
              </w:rPr>
              <w:t>Proposed Methodology and Work Description</w:t>
            </w:r>
          </w:p>
        </w:tc>
        <w:tc>
          <w:tcPr>
            <w:tcW w:type="dxa" w:w="3120"/>
            <w:tcMar>
              <w:top w:w="40" w:type="dxa"/>
              <w:bottom w:w="40" w:type="dxa"/>
              <w:left w:w="80" w:type="dxa"/>
              <w:right w:w="80" w:type="dxa"/>
            </w:tcMar>
          </w:tcPr>
          <w:p>
            <w:pPr>
              <w:jc w:val="center"/>
            </w:pPr>
            <w:r>
              <w:rPr>
                <w:rFonts w:ascii="Times New Roman" w:hAnsi="Times New Roman"/>
                <w:sz w:val="20"/>
              </w:rPr>
              <w:t>18</w:t>
            </w:r>
          </w:p>
        </w:tc>
      </w:tr>
      <w:tr>
        <w:tc>
          <w:tcPr>
            <w:tcW w:type="dxa" w:w="3120"/>
            <w:shd w:fill="F5F7FA"/>
            <w:tcMar>
              <w:top w:w="40" w:type="dxa"/>
              <w:bottom w:w="40" w:type="dxa"/>
              <w:left w:w="80" w:type="dxa"/>
              <w:right w:w="80" w:type="dxa"/>
            </w:tcMar>
          </w:tcPr>
          <w:p>
            <w:pPr>
              <w:jc w:val="center"/>
            </w:pPr>
            <w:r>
              <w:rPr>
                <w:rFonts w:ascii="Times New Roman" w:hAnsi="Times New Roman"/>
                <w:sz w:val="20"/>
              </w:rPr>
              <w:t>4.1</w:t>
            </w:r>
          </w:p>
        </w:tc>
        <w:tc>
          <w:tcPr>
            <w:tcW w:type="dxa" w:w="3120"/>
            <w:shd w:fill="F5F7FA"/>
            <w:tcMar>
              <w:top w:w="40" w:type="dxa"/>
              <w:bottom w:w="40" w:type="dxa"/>
              <w:left w:w="80" w:type="dxa"/>
              <w:right w:w="80" w:type="dxa"/>
            </w:tcMar>
          </w:tcPr>
          <w:p>
            <w:r>
              <w:rPr>
                <w:rFonts w:ascii="Times New Roman" w:hAnsi="Times New Roman"/>
                <w:sz w:val="20"/>
              </w:rPr>
              <w:t>System Architectural Overview</w:t>
            </w:r>
          </w:p>
        </w:tc>
        <w:tc>
          <w:tcPr>
            <w:tcW w:type="dxa" w:w="3120"/>
            <w:shd w:fill="F5F7FA"/>
            <w:tcMar>
              <w:top w:w="40" w:type="dxa"/>
              <w:bottom w:w="40" w:type="dxa"/>
              <w:left w:w="80" w:type="dxa"/>
              <w:right w:w="80" w:type="dxa"/>
            </w:tcMar>
          </w:tcPr>
          <w:p>
            <w:pPr>
              <w:jc w:val="center"/>
            </w:pPr>
            <w:r>
              <w:rPr>
                <w:rFonts w:ascii="Times New Roman" w:hAnsi="Times New Roman"/>
                <w:sz w:val="20"/>
              </w:rPr>
              <w:t>18</w:t>
            </w:r>
          </w:p>
        </w:tc>
      </w:tr>
      <w:tr>
        <w:tc>
          <w:tcPr>
            <w:tcW w:type="dxa" w:w="3120"/>
            <w:tcMar>
              <w:top w:w="40" w:type="dxa"/>
              <w:bottom w:w="40" w:type="dxa"/>
              <w:left w:w="80" w:type="dxa"/>
              <w:right w:w="80" w:type="dxa"/>
            </w:tcMar>
          </w:tcPr>
          <w:p>
            <w:pPr>
              <w:jc w:val="center"/>
            </w:pPr>
            <w:r>
              <w:rPr>
                <w:rFonts w:ascii="Times New Roman" w:hAnsi="Times New Roman"/>
                <w:sz w:val="20"/>
              </w:rPr>
              <w:t>4.2</w:t>
            </w:r>
          </w:p>
        </w:tc>
        <w:tc>
          <w:tcPr>
            <w:tcW w:type="dxa" w:w="3120"/>
            <w:tcMar>
              <w:top w:w="40" w:type="dxa"/>
              <w:bottom w:w="40" w:type="dxa"/>
              <w:left w:w="80" w:type="dxa"/>
              <w:right w:w="80" w:type="dxa"/>
            </w:tcMar>
          </w:tcPr>
          <w:p>
            <w:r>
              <w:rPr>
                <w:rFonts w:ascii="Times New Roman" w:hAnsi="Times New Roman"/>
                <w:sz w:val="20"/>
              </w:rPr>
              <w:t>Multimodal Data Ingestion &amp; Canonical Alignment</w:t>
            </w:r>
          </w:p>
        </w:tc>
        <w:tc>
          <w:tcPr>
            <w:tcW w:type="dxa" w:w="3120"/>
            <w:tcMar>
              <w:top w:w="40" w:type="dxa"/>
              <w:bottom w:w="40" w:type="dxa"/>
              <w:left w:w="80" w:type="dxa"/>
              <w:right w:w="80" w:type="dxa"/>
            </w:tcMar>
          </w:tcPr>
          <w:p>
            <w:pPr>
              <w:jc w:val="center"/>
            </w:pPr>
            <w:r>
              <w:rPr>
                <w:rFonts w:ascii="Times New Roman" w:hAnsi="Times New Roman"/>
                <w:sz w:val="20"/>
              </w:rPr>
              <w:t>19</w:t>
            </w:r>
          </w:p>
        </w:tc>
      </w:tr>
      <w:tr>
        <w:tc>
          <w:tcPr>
            <w:tcW w:type="dxa" w:w="3120"/>
            <w:shd w:fill="F5F7FA"/>
            <w:tcMar>
              <w:top w:w="40" w:type="dxa"/>
              <w:bottom w:w="40" w:type="dxa"/>
              <w:left w:w="80" w:type="dxa"/>
              <w:right w:w="80" w:type="dxa"/>
            </w:tcMar>
          </w:tcPr>
          <w:p>
            <w:pPr>
              <w:jc w:val="center"/>
            </w:pPr>
            <w:r>
              <w:rPr>
                <w:rFonts w:ascii="Times New Roman" w:hAnsi="Times New Roman"/>
                <w:sz w:val="20"/>
              </w:rPr>
              <w:t>4.3</w:t>
            </w:r>
          </w:p>
        </w:tc>
        <w:tc>
          <w:tcPr>
            <w:tcW w:type="dxa" w:w="3120"/>
            <w:shd w:fill="F5F7FA"/>
            <w:tcMar>
              <w:top w:w="40" w:type="dxa"/>
              <w:bottom w:w="40" w:type="dxa"/>
              <w:left w:w="80" w:type="dxa"/>
              <w:right w:w="80" w:type="dxa"/>
            </w:tcMar>
          </w:tcPr>
          <w:p>
            <w:r>
              <w:rPr>
                <w:rFonts w:ascii="Times New Roman" w:hAnsi="Times New Roman"/>
                <w:sz w:val="20"/>
              </w:rPr>
              <w:t>Modality-Specific Encoders</w:t>
            </w:r>
          </w:p>
        </w:tc>
        <w:tc>
          <w:tcPr>
            <w:tcW w:type="dxa" w:w="3120"/>
            <w:shd w:fill="F5F7FA"/>
            <w:tcMar>
              <w:top w:w="40" w:type="dxa"/>
              <w:bottom w:w="40" w:type="dxa"/>
              <w:left w:w="80" w:type="dxa"/>
              <w:right w:w="80" w:type="dxa"/>
            </w:tcMar>
          </w:tcPr>
          <w:p>
            <w:pPr>
              <w:jc w:val="center"/>
            </w:pPr>
            <w:r>
              <w:rPr>
                <w:rFonts w:ascii="Times New Roman" w:hAnsi="Times New Roman"/>
                <w:sz w:val="20"/>
              </w:rPr>
              <w:t>21</w:t>
            </w:r>
          </w:p>
        </w:tc>
      </w:tr>
      <w:tr>
        <w:tc>
          <w:tcPr>
            <w:tcW w:type="dxa" w:w="3120"/>
            <w:tcMar>
              <w:top w:w="40" w:type="dxa"/>
              <w:bottom w:w="40" w:type="dxa"/>
              <w:left w:w="80" w:type="dxa"/>
              <w:right w:w="80" w:type="dxa"/>
            </w:tcMar>
          </w:tcPr>
          <w:p>
            <w:pPr>
              <w:jc w:val="center"/>
            </w:pPr>
            <w:r>
              <w:rPr>
                <w:rFonts w:ascii="Times New Roman" w:hAnsi="Times New Roman"/>
                <w:sz w:val="20"/>
              </w:rPr>
              <w:t>4.4</w:t>
            </w:r>
          </w:p>
        </w:tc>
        <w:tc>
          <w:tcPr>
            <w:tcW w:type="dxa" w:w="3120"/>
            <w:tcMar>
              <w:top w:w="40" w:type="dxa"/>
              <w:bottom w:w="40" w:type="dxa"/>
              <w:left w:w="80" w:type="dxa"/>
              <w:right w:w="80" w:type="dxa"/>
            </w:tcMar>
          </w:tcPr>
          <w:p>
            <w:r>
              <w:rPr>
                <w:rFonts w:ascii="Times New Roman" w:hAnsi="Times New Roman"/>
                <w:sz w:val="20"/>
              </w:rPr>
              <w:t>Multimodal Non-Linear Fusion Layer</w:t>
            </w:r>
          </w:p>
        </w:tc>
        <w:tc>
          <w:tcPr>
            <w:tcW w:type="dxa" w:w="3120"/>
            <w:tcMar>
              <w:top w:w="40" w:type="dxa"/>
              <w:bottom w:w="40" w:type="dxa"/>
              <w:left w:w="80" w:type="dxa"/>
              <w:right w:w="80" w:type="dxa"/>
            </w:tcMar>
          </w:tcPr>
          <w:p>
            <w:pPr>
              <w:jc w:val="center"/>
            </w:pPr>
            <w:r>
              <w:rPr>
                <w:rFonts w:ascii="Times New Roman" w:hAnsi="Times New Roman"/>
                <w:sz w:val="20"/>
              </w:rPr>
              <w:t>23</w:t>
            </w:r>
          </w:p>
        </w:tc>
      </w:tr>
      <w:tr>
        <w:tc>
          <w:tcPr>
            <w:tcW w:type="dxa" w:w="3120"/>
            <w:shd w:fill="F5F7FA"/>
            <w:tcMar>
              <w:top w:w="40" w:type="dxa"/>
              <w:bottom w:w="40" w:type="dxa"/>
              <w:left w:w="80" w:type="dxa"/>
              <w:right w:w="80" w:type="dxa"/>
            </w:tcMar>
          </w:tcPr>
          <w:p>
            <w:pPr>
              <w:jc w:val="center"/>
            </w:pPr>
            <w:r>
              <w:rPr>
                <w:rFonts w:ascii="Times New Roman" w:hAnsi="Times New Roman"/>
                <w:sz w:val="20"/>
              </w:rPr>
              <w:t>4.5</w:t>
            </w:r>
          </w:p>
        </w:tc>
        <w:tc>
          <w:tcPr>
            <w:tcW w:type="dxa" w:w="3120"/>
            <w:shd w:fill="F5F7FA"/>
            <w:tcMar>
              <w:top w:w="40" w:type="dxa"/>
              <w:bottom w:w="40" w:type="dxa"/>
              <w:left w:w="80" w:type="dxa"/>
              <w:right w:w="80" w:type="dxa"/>
            </w:tcMar>
          </w:tcPr>
          <w:p>
            <w:r>
              <w:rPr>
                <w:rFonts w:ascii="Times New Roman" w:hAnsi="Times New Roman"/>
                <w:sz w:val="20"/>
              </w:rPr>
              <w:t>Intra-Hospital Patient Graph Construction</w:t>
            </w:r>
          </w:p>
        </w:tc>
        <w:tc>
          <w:tcPr>
            <w:tcW w:type="dxa" w:w="3120"/>
            <w:shd w:fill="F5F7FA"/>
            <w:tcMar>
              <w:top w:w="40" w:type="dxa"/>
              <w:bottom w:w="40" w:type="dxa"/>
              <w:left w:w="80" w:type="dxa"/>
              <w:right w:w="80" w:type="dxa"/>
            </w:tcMar>
          </w:tcPr>
          <w:p>
            <w:pPr>
              <w:jc w:val="center"/>
            </w:pPr>
            <w:r>
              <w:rPr>
                <w:rFonts w:ascii="Times New Roman" w:hAnsi="Times New Roman"/>
                <w:sz w:val="20"/>
              </w:rPr>
              <w:t>24</w:t>
            </w:r>
          </w:p>
        </w:tc>
      </w:tr>
      <w:tr>
        <w:tc>
          <w:tcPr>
            <w:tcW w:type="dxa" w:w="3120"/>
            <w:tcMar>
              <w:top w:w="40" w:type="dxa"/>
              <w:bottom w:w="40" w:type="dxa"/>
              <w:left w:w="80" w:type="dxa"/>
              <w:right w:w="80" w:type="dxa"/>
            </w:tcMar>
          </w:tcPr>
          <w:p>
            <w:pPr>
              <w:jc w:val="center"/>
            </w:pPr>
            <w:r>
              <w:rPr>
                <w:rFonts w:ascii="Times New Roman" w:hAnsi="Times New Roman"/>
                <w:sz w:val="20"/>
              </w:rPr>
              <w:t>4.6</w:t>
            </w:r>
          </w:p>
        </w:tc>
        <w:tc>
          <w:tcPr>
            <w:tcW w:type="dxa" w:w="3120"/>
            <w:tcMar>
              <w:top w:w="40" w:type="dxa"/>
              <w:bottom w:w="40" w:type="dxa"/>
              <w:left w:w="80" w:type="dxa"/>
              <w:right w:w="80" w:type="dxa"/>
            </w:tcMar>
          </w:tcPr>
          <w:p>
            <w:r>
              <w:rPr>
                <w:rFonts w:ascii="Times New Roman" w:hAnsi="Times New Roman"/>
                <w:sz w:val="20"/>
              </w:rPr>
              <w:t>Graph Representation Learning (PatientGNN)</w:t>
            </w:r>
          </w:p>
        </w:tc>
        <w:tc>
          <w:tcPr>
            <w:tcW w:type="dxa" w:w="3120"/>
            <w:tcMar>
              <w:top w:w="40" w:type="dxa"/>
              <w:bottom w:w="40" w:type="dxa"/>
              <w:left w:w="80" w:type="dxa"/>
              <w:right w:w="80" w:type="dxa"/>
            </w:tcMar>
          </w:tcPr>
          <w:p>
            <w:pPr>
              <w:jc w:val="center"/>
            </w:pPr>
            <w:r>
              <w:rPr>
                <w:rFonts w:ascii="Times New Roman" w:hAnsi="Times New Roman"/>
                <w:sz w:val="20"/>
              </w:rPr>
              <w:t>26</w:t>
            </w:r>
          </w:p>
        </w:tc>
      </w:tr>
      <w:tr>
        <w:tc>
          <w:tcPr>
            <w:tcW w:type="dxa" w:w="3120"/>
            <w:shd w:fill="F5F7FA"/>
            <w:tcMar>
              <w:top w:w="40" w:type="dxa"/>
              <w:bottom w:w="40" w:type="dxa"/>
              <w:left w:w="80" w:type="dxa"/>
              <w:right w:w="80" w:type="dxa"/>
            </w:tcMar>
          </w:tcPr>
          <w:p>
            <w:pPr>
              <w:jc w:val="center"/>
            </w:pPr>
            <w:r>
              <w:rPr>
                <w:rFonts w:ascii="Times New Roman" w:hAnsi="Times New Roman"/>
                <w:sz w:val="20"/>
              </w:rPr>
              <w:t>4.7</w:t>
            </w:r>
          </w:p>
        </w:tc>
        <w:tc>
          <w:tcPr>
            <w:tcW w:type="dxa" w:w="3120"/>
            <w:shd w:fill="F5F7FA"/>
            <w:tcMar>
              <w:top w:w="40" w:type="dxa"/>
              <w:bottom w:w="40" w:type="dxa"/>
              <w:left w:w="80" w:type="dxa"/>
              <w:right w:w="80" w:type="dxa"/>
            </w:tcMar>
          </w:tcPr>
          <w:p>
            <w:r>
              <w:rPr>
                <w:rFonts w:ascii="Times New Roman" w:hAnsi="Times New Roman"/>
                <w:sz w:val="20"/>
              </w:rPr>
              <w:t>Multi-Task Clinical Prediction Heads</w:t>
            </w:r>
          </w:p>
        </w:tc>
        <w:tc>
          <w:tcPr>
            <w:tcW w:type="dxa" w:w="3120"/>
            <w:shd w:fill="F5F7FA"/>
            <w:tcMar>
              <w:top w:w="40" w:type="dxa"/>
              <w:bottom w:w="40" w:type="dxa"/>
              <w:left w:w="80" w:type="dxa"/>
              <w:right w:w="80" w:type="dxa"/>
            </w:tcMar>
          </w:tcPr>
          <w:p>
            <w:pPr>
              <w:jc w:val="center"/>
            </w:pPr>
            <w:r>
              <w:rPr>
                <w:rFonts w:ascii="Times New Roman" w:hAnsi="Times New Roman"/>
                <w:sz w:val="20"/>
              </w:rPr>
              <w:t>28</w:t>
            </w:r>
          </w:p>
        </w:tc>
      </w:tr>
      <w:tr>
        <w:tc>
          <w:tcPr>
            <w:tcW w:type="dxa" w:w="3120"/>
            <w:tcMar>
              <w:top w:w="40" w:type="dxa"/>
              <w:bottom w:w="40" w:type="dxa"/>
              <w:left w:w="80" w:type="dxa"/>
              <w:right w:w="80" w:type="dxa"/>
            </w:tcMar>
          </w:tcPr>
          <w:p>
            <w:pPr>
              <w:jc w:val="center"/>
            </w:pPr>
            <w:r>
              <w:rPr>
                <w:rFonts w:ascii="Times New Roman" w:hAnsi="Times New Roman"/>
                <w:sz w:val="20"/>
              </w:rPr>
              <w:t>4.8</w:t>
            </w:r>
          </w:p>
        </w:tc>
        <w:tc>
          <w:tcPr>
            <w:tcW w:type="dxa" w:w="3120"/>
            <w:tcMar>
              <w:top w:w="40" w:type="dxa"/>
              <w:bottom w:w="40" w:type="dxa"/>
              <w:left w:w="80" w:type="dxa"/>
              <w:right w:w="80" w:type="dxa"/>
            </w:tcMar>
          </w:tcPr>
          <w:p>
            <w:r>
              <w:rPr>
                <w:rFonts w:ascii="Times New Roman" w:hAnsi="Times New Roman"/>
                <w:sz w:val="20"/>
              </w:rPr>
              <w:t>Joint Multi-Task Objective with Imbalance Weighting</w:t>
            </w:r>
          </w:p>
        </w:tc>
        <w:tc>
          <w:tcPr>
            <w:tcW w:type="dxa" w:w="3120"/>
            <w:tcMar>
              <w:top w:w="40" w:type="dxa"/>
              <w:bottom w:w="40" w:type="dxa"/>
              <w:left w:w="80" w:type="dxa"/>
              <w:right w:w="80" w:type="dxa"/>
            </w:tcMar>
          </w:tcPr>
          <w:p>
            <w:pPr>
              <w:jc w:val="center"/>
            </w:pPr>
            <w:r>
              <w:rPr>
                <w:rFonts w:ascii="Times New Roman" w:hAnsi="Times New Roman"/>
                <w:sz w:val="20"/>
              </w:rPr>
              <w:t>29</w:t>
            </w:r>
          </w:p>
        </w:tc>
      </w:tr>
      <w:tr>
        <w:tc>
          <w:tcPr>
            <w:tcW w:type="dxa" w:w="3120"/>
            <w:shd w:fill="F5F7FA"/>
            <w:tcMar>
              <w:top w:w="40" w:type="dxa"/>
              <w:bottom w:w="40" w:type="dxa"/>
              <w:left w:w="80" w:type="dxa"/>
              <w:right w:w="80" w:type="dxa"/>
            </w:tcMar>
          </w:tcPr>
          <w:p>
            <w:pPr>
              <w:jc w:val="center"/>
            </w:pPr>
            <w:r>
              <w:rPr>
                <w:rFonts w:ascii="Times New Roman" w:hAnsi="Times New Roman"/>
                <w:sz w:val="20"/>
              </w:rPr>
              <w:t>5</w:t>
            </w:r>
          </w:p>
        </w:tc>
        <w:tc>
          <w:tcPr>
            <w:tcW w:type="dxa" w:w="3120"/>
            <w:shd w:fill="F5F7FA"/>
            <w:tcMar>
              <w:top w:w="40" w:type="dxa"/>
              <w:bottom w:w="40" w:type="dxa"/>
              <w:left w:w="80" w:type="dxa"/>
              <w:right w:w="80" w:type="dxa"/>
            </w:tcMar>
          </w:tcPr>
          <w:p>
            <w:r>
              <w:rPr>
                <w:rFonts w:ascii="Times New Roman" w:hAnsi="Times New Roman"/>
                <w:b/>
                <w:sz w:val="20"/>
              </w:rPr>
              <w:t>Proposed Algorithms</w:t>
            </w:r>
          </w:p>
        </w:tc>
        <w:tc>
          <w:tcPr>
            <w:tcW w:type="dxa" w:w="3120"/>
            <w:shd w:fill="F5F7FA"/>
            <w:tcMar>
              <w:top w:w="40" w:type="dxa"/>
              <w:bottom w:w="40" w:type="dxa"/>
              <w:left w:w="80" w:type="dxa"/>
              <w:right w:w="80" w:type="dxa"/>
            </w:tcMar>
          </w:tcPr>
          <w:p>
            <w:pPr>
              <w:jc w:val="center"/>
            </w:pPr>
            <w:r>
              <w:rPr>
                <w:rFonts w:ascii="Times New Roman" w:hAnsi="Times New Roman"/>
                <w:sz w:val="20"/>
              </w:rPr>
              <w:t>30</w:t>
            </w:r>
          </w:p>
        </w:tc>
      </w:tr>
      <w:tr>
        <w:tc>
          <w:tcPr>
            <w:tcW w:type="dxa" w:w="3120"/>
            <w:tcMar>
              <w:top w:w="40" w:type="dxa"/>
              <w:bottom w:w="40" w:type="dxa"/>
              <w:left w:w="80" w:type="dxa"/>
              <w:right w:w="80" w:type="dxa"/>
            </w:tcMar>
          </w:tcPr>
          <w:p>
            <w:pPr>
              <w:jc w:val="center"/>
            </w:pPr>
            <w:r>
              <w:rPr>
                <w:rFonts w:ascii="Times New Roman" w:hAnsi="Times New Roman"/>
                <w:sz w:val="20"/>
              </w:rPr>
              <w:t>5.1</w:t>
            </w:r>
          </w:p>
        </w:tc>
        <w:tc>
          <w:tcPr>
            <w:tcW w:type="dxa" w:w="3120"/>
            <w:tcMar>
              <w:top w:w="40" w:type="dxa"/>
              <w:bottom w:w="40" w:type="dxa"/>
              <w:left w:w="80" w:type="dxa"/>
              <w:right w:w="80" w:type="dxa"/>
            </w:tcMar>
          </w:tcPr>
          <w:p>
            <w:r>
              <w:rPr>
                <w:rFonts w:ascii="Times New Roman" w:hAnsi="Times New Roman"/>
                <w:sz w:val="20"/>
              </w:rPr>
              <w:t>Client-Side Local Multimodal Graph Training</w:t>
            </w:r>
          </w:p>
        </w:tc>
        <w:tc>
          <w:tcPr>
            <w:tcW w:type="dxa" w:w="3120"/>
            <w:tcMar>
              <w:top w:w="40" w:type="dxa"/>
              <w:bottom w:w="40" w:type="dxa"/>
              <w:left w:w="80" w:type="dxa"/>
              <w:right w:w="80" w:type="dxa"/>
            </w:tcMar>
          </w:tcPr>
          <w:p>
            <w:pPr>
              <w:jc w:val="center"/>
            </w:pPr>
            <w:r>
              <w:rPr>
                <w:rFonts w:ascii="Times New Roman" w:hAnsi="Times New Roman"/>
                <w:sz w:val="20"/>
              </w:rPr>
              <w:t>30</w:t>
            </w:r>
          </w:p>
        </w:tc>
      </w:tr>
      <w:tr>
        <w:tc>
          <w:tcPr>
            <w:tcW w:type="dxa" w:w="3120"/>
            <w:shd w:fill="F5F7FA"/>
            <w:tcMar>
              <w:top w:w="40" w:type="dxa"/>
              <w:bottom w:w="40" w:type="dxa"/>
              <w:left w:w="80" w:type="dxa"/>
              <w:right w:w="80" w:type="dxa"/>
            </w:tcMar>
          </w:tcPr>
          <w:p>
            <w:pPr>
              <w:jc w:val="center"/>
            </w:pPr>
            <w:r>
              <w:rPr>
                <w:rFonts w:ascii="Times New Roman" w:hAnsi="Times New Roman"/>
                <w:sz w:val="20"/>
              </w:rPr>
              <w:t>5.2</w:t>
            </w:r>
          </w:p>
        </w:tc>
        <w:tc>
          <w:tcPr>
            <w:tcW w:type="dxa" w:w="3120"/>
            <w:shd w:fill="F5F7FA"/>
            <w:tcMar>
              <w:top w:w="40" w:type="dxa"/>
              <w:bottom w:w="40" w:type="dxa"/>
              <w:left w:w="80" w:type="dxa"/>
              <w:right w:w="80" w:type="dxa"/>
            </w:tcMar>
          </w:tcPr>
          <w:p>
            <w:r>
              <w:rPr>
                <w:rFonts w:ascii="Times New Roman" w:hAnsi="Times New Roman"/>
                <w:sz w:val="20"/>
              </w:rPr>
              <w:t>Server-Side Federated Averaging Coordination</w:t>
            </w:r>
          </w:p>
        </w:tc>
        <w:tc>
          <w:tcPr>
            <w:tcW w:type="dxa" w:w="3120"/>
            <w:shd w:fill="F5F7FA"/>
            <w:tcMar>
              <w:top w:w="40" w:type="dxa"/>
              <w:bottom w:w="40" w:type="dxa"/>
              <w:left w:w="80" w:type="dxa"/>
              <w:right w:w="80" w:type="dxa"/>
            </w:tcMar>
          </w:tcPr>
          <w:p>
            <w:pPr>
              <w:jc w:val="center"/>
            </w:pPr>
            <w:r>
              <w:rPr>
                <w:rFonts w:ascii="Times New Roman" w:hAnsi="Times New Roman"/>
                <w:sz w:val="20"/>
              </w:rPr>
              <w:t>31</w:t>
            </w:r>
          </w:p>
        </w:tc>
      </w:tr>
      <w:tr>
        <w:tc>
          <w:tcPr>
            <w:tcW w:type="dxa" w:w="3120"/>
            <w:tcMar>
              <w:top w:w="40" w:type="dxa"/>
              <w:bottom w:w="40" w:type="dxa"/>
              <w:left w:w="80" w:type="dxa"/>
              <w:right w:w="80" w:type="dxa"/>
            </w:tcMar>
          </w:tcPr>
          <w:p>
            <w:pPr>
              <w:jc w:val="center"/>
            </w:pPr>
            <w:r>
              <w:rPr>
                <w:rFonts w:ascii="Times New Roman" w:hAnsi="Times New Roman"/>
                <w:sz w:val="20"/>
              </w:rPr>
              <w:t>6</w:t>
            </w:r>
          </w:p>
        </w:tc>
        <w:tc>
          <w:tcPr>
            <w:tcW w:type="dxa" w:w="3120"/>
            <w:tcMar>
              <w:top w:w="40" w:type="dxa"/>
              <w:bottom w:w="40" w:type="dxa"/>
              <w:left w:w="80" w:type="dxa"/>
              <w:right w:w="80" w:type="dxa"/>
            </w:tcMar>
          </w:tcPr>
          <w:p>
            <w:r>
              <w:rPr>
                <w:rFonts w:ascii="Times New Roman" w:hAnsi="Times New Roman"/>
                <w:b/>
                <w:sz w:val="20"/>
              </w:rPr>
              <w:t>Flowchart, Block Diagram, and DFD</w:t>
            </w:r>
          </w:p>
        </w:tc>
        <w:tc>
          <w:tcPr>
            <w:tcW w:type="dxa" w:w="3120"/>
            <w:tcMar>
              <w:top w:w="40" w:type="dxa"/>
              <w:bottom w:w="40" w:type="dxa"/>
              <w:left w:w="80" w:type="dxa"/>
              <w:right w:w="80" w:type="dxa"/>
            </w:tcMar>
          </w:tcPr>
          <w:p>
            <w:pPr>
              <w:jc w:val="center"/>
            </w:pPr>
            <w:r>
              <w:rPr>
                <w:rFonts w:ascii="Times New Roman" w:hAnsi="Times New Roman"/>
                <w:sz w:val="20"/>
              </w:rPr>
              <w:t>32</w:t>
            </w:r>
          </w:p>
        </w:tc>
      </w:tr>
      <w:tr>
        <w:tc>
          <w:tcPr>
            <w:tcW w:type="dxa" w:w="3120"/>
            <w:shd w:fill="F5F7FA"/>
            <w:tcMar>
              <w:top w:w="40" w:type="dxa"/>
              <w:bottom w:w="40" w:type="dxa"/>
              <w:left w:w="80" w:type="dxa"/>
              <w:right w:w="80" w:type="dxa"/>
            </w:tcMar>
          </w:tcPr>
          <w:p>
            <w:pPr>
              <w:jc w:val="center"/>
            </w:pPr>
            <w:r>
              <w:rPr>
                <w:rFonts w:ascii="Times New Roman" w:hAnsi="Times New Roman"/>
                <w:sz w:val="20"/>
              </w:rPr>
              <w:t>6.1</w:t>
            </w:r>
          </w:p>
        </w:tc>
        <w:tc>
          <w:tcPr>
            <w:tcW w:type="dxa" w:w="3120"/>
            <w:shd w:fill="F5F7FA"/>
            <w:tcMar>
              <w:top w:w="40" w:type="dxa"/>
              <w:bottom w:w="40" w:type="dxa"/>
              <w:left w:w="80" w:type="dxa"/>
              <w:right w:w="80" w:type="dxa"/>
            </w:tcMar>
          </w:tcPr>
          <w:p>
            <w:r>
              <w:rPr>
                <w:rFonts w:ascii="Times New Roman" w:hAnsi="Times New Roman"/>
                <w:sz w:val="20"/>
              </w:rPr>
              <w:t>System Architectural Block Diagram</w:t>
            </w:r>
          </w:p>
        </w:tc>
        <w:tc>
          <w:tcPr>
            <w:tcW w:type="dxa" w:w="3120"/>
            <w:shd w:fill="F5F7FA"/>
            <w:tcMar>
              <w:top w:w="40" w:type="dxa"/>
              <w:bottom w:w="40" w:type="dxa"/>
              <w:left w:w="80" w:type="dxa"/>
              <w:right w:w="80" w:type="dxa"/>
            </w:tcMar>
          </w:tcPr>
          <w:p>
            <w:pPr>
              <w:jc w:val="center"/>
            </w:pPr>
            <w:r>
              <w:rPr>
                <w:rFonts w:ascii="Times New Roman" w:hAnsi="Times New Roman"/>
                <w:sz w:val="20"/>
              </w:rPr>
              <w:t>32</w:t>
            </w:r>
          </w:p>
        </w:tc>
      </w:tr>
      <w:tr>
        <w:tc>
          <w:tcPr>
            <w:tcW w:type="dxa" w:w="3120"/>
            <w:tcMar>
              <w:top w:w="40" w:type="dxa"/>
              <w:bottom w:w="40" w:type="dxa"/>
              <w:left w:w="80" w:type="dxa"/>
              <w:right w:w="80" w:type="dxa"/>
            </w:tcMar>
          </w:tcPr>
          <w:p>
            <w:pPr>
              <w:jc w:val="center"/>
            </w:pPr>
            <w:r>
              <w:rPr>
                <w:rFonts w:ascii="Times New Roman" w:hAnsi="Times New Roman"/>
                <w:sz w:val="20"/>
              </w:rPr>
              <w:t>6.2</w:t>
            </w:r>
          </w:p>
        </w:tc>
        <w:tc>
          <w:tcPr>
            <w:tcW w:type="dxa" w:w="3120"/>
            <w:tcMar>
              <w:top w:w="40" w:type="dxa"/>
              <w:bottom w:w="40" w:type="dxa"/>
              <w:left w:w="80" w:type="dxa"/>
              <w:right w:w="80" w:type="dxa"/>
            </w:tcMar>
          </w:tcPr>
          <w:p>
            <w:r>
              <w:rPr>
                <w:rFonts w:ascii="Times New Roman" w:hAnsi="Times New Roman"/>
                <w:sz w:val="20"/>
              </w:rPr>
              <w:t>Data Flow Diagram (DFD)</w:t>
            </w:r>
          </w:p>
        </w:tc>
        <w:tc>
          <w:tcPr>
            <w:tcW w:type="dxa" w:w="3120"/>
            <w:tcMar>
              <w:top w:w="40" w:type="dxa"/>
              <w:bottom w:w="40" w:type="dxa"/>
              <w:left w:w="80" w:type="dxa"/>
              <w:right w:w="80" w:type="dxa"/>
            </w:tcMar>
          </w:tcPr>
          <w:p>
            <w:pPr>
              <w:jc w:val="center"/>
            </w:pPr>
            <w:r>
              <w:rPr>
                <w:rFonts w:ascii="Times New Roman" w:hAnsi="Times New Roman"/>
                <w:sz w:val="20"/>
              </w:rPr>
              <w:t>33</w:t>
            </w:r>
          </w:p>
        </w:tc>
      </w:tr>
      <w:tr>
        <w:tc>
          <w:tcPr>
            <w:tcW w:type="dxa" w:w="3120"/>
            <w:shd w:fill="F5F7FA"/>
            <w:tcMar>
              <w:top w:w="40" w:type="dxa"/>
              <w:bottom w:w="40" w:type="dxa"/>
              <w:left w:w="80" w:type="dxa"/>
              <w:right w:w="80" w:type="dxa"/>
            </w:tcMar>
          </w:tcPr>
          <w:p>
            <w:pPr>
              <w:jc w:val="center"/>
            </w:pPr>
            <w:r>
              <w:rPr>
                <w:rFonts w:ascii="Times New Roman" w:hAnsi="Times New Roman"/>
                <w:sz w:val="20"/>
              </w:rPr>
              <w:t>6.3</w:t>
            </w:r>
          </w:p>
        </w:tc>
        <w:tc>
          <w:tcPr>
            <w:tcW w:type="dxa" w:w="3120"/>
            <w:shd w:fill="F5F7FA"/>
            <w:tcMar>
              <w:top w:w="40" w:type="dxa"/>
              <w:bottom w:w="40" w:type="dxa"/>
              <w:left w:w="80" w:type="dxa"/>
              <w:right w:w="80" w:type="dxa"/>
            </w:tcMar>
          </w:tcPr>
          <w:p>
            <w:r>
              <w:rPr>
                <w:rFonts w:ascii="Times New Roman" w:hAnsi="Times New Roman"/>
                <w:sz w:val="20"/>
              </w:rPr>
              <w:t>Graph Construction Flowchart</w:t>
            </w:r>
          </w:p>
        </w:tc>
        <w:tc>
          <w:tcPr>
            <w:tcW w:type="dxa" w:w="3120"/>
            <w:shd w:fill="F5F7FA"/>
            <w:tcMar>
              <w:top w:w="40" w:type="dxa"/>
              <w:bottom w:w="40" w:type="dxa"/>
              <w:left w:w="80" w:type="dxa"/>
              <w:right w:w="80" w:type="dxa"/>
            </w:tcMar>
          </w:tcPr>
          <w:p>
            <w:pPr>
              <w:jc w:val="center"/>
            </w:pPr>
            <w:r>
              <w:rPr>
                <w:rFonts w:ascii="Times New Roman" w:hAnsi="Times New Roman"/>
                <w:sz w:val="20"/>
              </w:rPr>
              <w:t>35</w:t>
            </w:r>
          </w:p>
        </w:tc>
      </w:tr>
      <w:tr>
        <w:tc>
          <w:tcPr>
            <w:tcW w:type="dxa" w:w="3120"/>
            <w:tcMar>
              <w:top w:w="40" w:type="dxa"/>
              <w:bottom w:w="40" w:type="dxa"/>
              <w:left w:w="80" w:type="dxa"/>
              <w:right w:w="80" w:type="dxa"/>
            </w:tcMar>
          </w:tcPr>
          <w:p>
            <w:pPr>
              <w:jc w:val="center"/>
            </w:pPr>
            <w:r>
              <w:rPr>
                <w:rFonts w:ascii="Times New Roman" w:hAnsi="Times New Roman"/>
                <w:sz w:val="20"/>
              </w:rPr>
              <w:t>7</w:t>
            </w:r>
          </w:p>
        </w:tc>
        <w:tc>
          <w:tcPr>
            <w:tcW w:type="dxa" w:w="3120"/>
            <w:tcMar>
              <w:top w:w="40" w:type="dxa"/>
              <w:bottom w:w="40" w:type="dxa"/>
              <w:left w:w="80" w:type="dxa"/>
              <w:right w:w="80" w:type="dxa"/>
            </w:tcMar>
          </w:tcPr>
          <w:p>
            <w:r>
              <w:rPr>
                <w:rFonts w:ascii="Times New Roman" w:hAnsi="Times New Roman"/>
                <w:b/>
                <w:sz w:val="20"/>
              </w:rPr>
              <w:t>Implementation Details &amp; Technology Stack</w:t>
            </w:r>
          </w:p>
        </w:tc>
        <w:tc>
          <w:tcPr>
            <w:tcW w:type="dxa" w:w="3120"/>
            <w:tcMar>
              <w:top w:w="40" w:type="dxa"/>
              <w:bottom w:w="40" w:type="dxa"/>
              <w:left w:w="80" w:type="dxa"/>
              <w:right w:w="80" w:type="dxa"/>
            </w:tcMar>
          </w:tcPr>
          <w:p>
            <w:pPr>
              <w:jc w:val="center"/>
            </w:pPr>
            <w:r>
              <w:rPr>
                <w:rFonts w:ascii="Times New Roman" w:hAnsi="Times New Roman"/>
                <w:sz w:val="20"/>
              </w:rPr>
              <w:t>36</w:t>
            </w:r>
          </w:p>
        </w:tc>
      </w:tr>
      <w:tr>
        <w:tc>
          <w:tcPr>
            <w:tcW w:type="dxa" w:w="3120"/>
            <w:shd w:fill="F5F7FA"/>
            <w:tcMar>
              <w:top w:w="40" w:type="dxa"/>
              <w:bottom w:w="40" w:type="dxa"/>
              <w:left w:w="80" w:type="dxa"/>
              <w:right w:w="80" w:type="dxa"/>
            </w:tcMar>
          </w:tcPr>
          <w:p>
            <w:pPr>
              <w:jc w:val="center"/>
            </w:pPr>
            <w:r>
              <w:rPr>
                <w:rFonts w:ascii="Times New Roman" w:hAnsi="Times New Roman"/>
                <w:sz w:val="20"/>
              </w:rPr>
              <w:t>7.1</w:t>
            </w:r>
          </w:p>
        </w:tc>
        <w:tc>
          <w:tcPr>
            <w:tcW w:type="dxa" w:w="3120"/>
            <w:shd w:fill="F5F7FA"/>
            <w:tcMar>
              <w:top w:w="40" w:type="dxa"/>
              <w:bottom w:w="40" w:type="dxa"/>
              <w:left w:w="80" w:type="dxa"/>
              <w:right w:w="80" w:type="dxa"/>
            </w:tcMar>
          </w:tcPr>
          <w:p>
            <w:r>
              <w:rPr>
                <w:rFonts w:ascii="Times New Roman" w:hAnsi="Times New Roman"/>
                <w:sz w:val="20"/>
              </w:rPr>
              <w:t>Hardware &amp; Software Environments</w:t>
            </w:r>
          </w:p>
        </w:tc>
        <w:tc>
          <w:tcPr>
            <w:tcW w:type="dxa" w:w="3120"/>
            <w:shd w:fill="F5F7FA"/>
            <w:tcMar>
              <w:top w:w="40" w:type="dxa"/>
              <w:bottom w:w="40" w:type="dxa"/>
              <w:left w:w="80" w:type="dxa"/>
              <w:right w:w="80" w:type="dxa"/>
            </w:tcMar>
          </w:tcPr>
          <w:p>
            <w:pPr>
              <w:jc w:val="center"/>
            </w:pPr>
            <w:r>
              <w:rPr>
                <w:rFonts w:ascii="Times New Roman" w:hAnsi="Times New Roman"/>
                <w:sz w:val="20"/>
              </w:rPr>
              <w:t>36</w:t>
            </w:r>
          </w:p>
        </w:tc>
      </w:tr>
      <w:tr>
        <w:tc>
          <w:tcPr>
            <w:tcW w:type="dxa" w:w="3120"/>
            <w:tcMar>
              <w:top w:w="40" w:type="dxa"/>
              <w:bottom w:w="40" w:type="dxa"/>
              <w:left w:w="80" w:type="dxa"/>
              <w:right w:w="80" w:type="dxa"/>
            </w:tcMar>
          </w:tcPr>
          <w:p>
            <w:pPr>
              <w:jc w:val="center"/>
            </w:pPr>
            <w:r>
              <w:rPr>
                <w:rFonts w:ascii="Times New Roman" w:hAnsi="Times New Roman"/>
                <w:sz w:val="20"/>
              </w:rPr>
              <w:t>7.2</w:t>
            </w:r>
          </w:p>
        </w:tc>
        <w:tc>
          <w:tcPr>
            <w:tcW w:type="dxa" w:w="3120"/>
            <w:tcMar>
              <w:top w:w="40" w:type="dxa"/>
              <w:bottom w:w="40" w:type="dxa"/>
              <w:left w:w="80" w:type="dxa"/>
              <w:right w:w="80" w:type="dxa"/>
            </w:tcMar>
          </w:tcPr>
          <w:p>
            <w:r>
              <w:rPr>
                <w:rFonts w:ascii="Times New Roman" w:hAnsi="Times New Roman"/>
                <w:sz w:val="20"/>
              </w:rPr>
              <w:t>Dataset Specification (eICU Database)</w:t>
            </w:r>
          </w:p>
        </w:tc>
        <w:tc>
          <w:tcPr>
            <w:tcW w:type="dxa" w:w="3120"/>
            <w:tcMar>
              <w:top w:w="40" w:type="dxa"/>
              <w:bottom w:w="40" w:type="dxa"/>
              <w:left w:w="80" w:type="dxa"/>
              <w:right w:w="80" w:type="dxa"/>
            </w:tcMar>
          </w:tcPr>
          <w:p>
            <w:pPr>
              <w:jc w:val="center"/>
            </w:pPr>
            <w:r>
              <w:rPr>
                <w:rFonts w:ascii="Times New Roman" w:hAnsi="Times New Roman"/>
                <w:sz w:val="20"/>
              </w:rPr>
              <w:t>37</w:t>
            </w:r>
          </w:p>
        </w:tc>
      </w:tr>
      <w:tr>
        <w:tc>
          <w:tcPr>
            <w:tcW w:type="dxa" w:w="3120"/>
            <w:shd w:fill="F5F7FA"/>
            <w:tcMar>
              <w:top w:w="40" w:type="dxa"/>
              <w:bottom w:w="40" w:type="dxa"/>
              <w:left w:w="80" w:type="dxa"/>
              <w:right w:w="80" w:type="dxa"/>
            </w:tcMar>
          </w:tcPr>
          <w:p>
            <w:pPr>
              <w:jc w:val="center"/>
            </w:pPr>
            <w:r>
              <w:rPr>
                <w:rFonts w:ascii="Times New Roman" w:hAnsi="Times New Roman"/>
                <w:sz w:val="20"/>
              </w:rPr>
              <w:t>7.3</w:t>
            </w:r>
          </w:p>
        </w:tc>
        <w:tc>
          <w:tcPr>
            <w:tcW w:type="dxa" w:w="3120"/>
            <w:shd w:fill="F5F7FA"/>
            <w:tcMar>
              <w:top w:w="40" w:type="dxa"/>
              <w:bottom w:w="40" w:type="dxa"/>
              <w:left w:w="80" w:type="dxa"/>
              <w:right w:w="80" w:type="dxa"/>
            </w:tcMar>
          </w:tcPr>
          <w:p>
            <w:r>
              <w:rPr>
                <w:rFonts w:ascii="Times New Roman" w:hAnsi="Times New Roman"/>
                <w:sz w:val="20"/>
              </w:rPr>
              <w:t>Data Pipeline Implementation</w:t>
            </w:r>
          </w:p>
        </w:tc>
        <w:tc>
          <w:tcPr>
            <w:tcW w:type="dxa" w:w="3120"/>
            <w:shd w:fill="F5F7FA"/>
            <w:tcMar>
              <w:top w:w="40" w:type="dxa"/>
              <w:bottom w:w="40" w:type="dxa"/>
              <w:left w:w="80" w:type="dxa"/>
              <w:right w:w="80" w:type="dxa"/>
            </w:tcMar>
          </w:tcPr>
          <w:p>
            <w:pPr>
              <w:jc w:val="center"/>
            </w:pPr>
            <w:r>
              <w:rPr>
                <w:rFonts w:ascii="Times New Roman" w:hAnsi="Times New Roman"/>
                <w:sz w:val="20"/>
              </w:rPr>
              <w:t>38</w:t>
            </w:r>
          </w:p>
        </w:tc>
      </w:tr>
      <w:tr>
        <w:tc>
          <w:tcPr>
            <w:tcW w:type="dxa" w:w="3120"/>
            <w:tcMar>
              <w:top w:w="40" w:type="dxa"/>
              <w:bottom w:w="40" w:type="dxa"/>
              <w:left w:w="80" w:type="dxa"/>
              <w:right w:w="80" w:type="dxa"/>
            </w:tcMar>
          </w:tcPr>
          <w:p>
            <w:pPr>
              <w:jc w:val="center"/>
            </w:pPr>
            <w:r>
              <w:rPr>
                <w:rFonts w:ascii="Times New Roman" w:hAnsi="Times New Roman"/>
                <w:sz w:val="20"/>
              </w:rPr>
              <w:t>7.4</w:t>
            </w:r>
          </w:p>
        </w:tc>
        <w:tc>
          <w:tcPr>
            <w:tcW w:type="dxa" w:w="3120"/>
            <w:tcMar>
              <w:top w:w="40" w:type="dxa"/>
              <w:bottom w:w="40" w:type="dxa"/>
              <w:left w:w="80" w:type="dxa"/>
              <w:right w:w="80" w:type="dxa"/>
            </w:tcMar>
          </w:tcPr>
          <w:p>
            <w:r>
              <w:rPr>
                <w:rFonts w:ascii="Times New Roman" w:hAnsi="Times New Roman"/>
                <w:sz w:val="20"/>
              </w:rPr>
              <w:t>Deep Learning &amp; GNN Modules</w:t>
            </w:r>
          </w:p>
        </w:tc>
        <w:tc>
          <w:tcPr>
            <w:tcW w:type="dxa" w:w="3120"/>
            <w:tcMar>
              <w:top w:w="40" w:type="dxa"/>
              <w:bottom w:w="40" w:type="dxa"/>
              <w:left w:w="80" w:type="dxa"/>
              <w:right w:w="80" w:type="dxa"/>
            </w:tcMar>
          </w:tcPr>
          <w:p>
            <w:pPr>
              <w:jc w:val="center"/>
            </w:pPr>
            <w:r>
              <w:rPr>
                <w:rFonts w:ascii="Times New Roman" w:hAnsi="Times New Roman"/>
                <w:sz w:val="20"/>
              </w:rPr>
              <w:t>39</w:t>
            </w:r>
          </w:p>
        </w:tc>
      </w:tr>
      <w:tr>
        <w:tc>
          <w:tcPr>
            <w:tcW w:type="dxa" w:w="3120"/>
            <w:shd w:fill="F5F7FA"/>
            <w:tcMar>
              <w:top w:w="40" w:type="dxa"/>
              <w:bottom w:w="40" w:type="dxa"/>
              <w:left w:w="80" w:type="dxa"/>
              <w:right w:w="80" w:type="dxa"/>
            </w:tcMar>
          </w:tcPr>
          <w:p>
            <w:pPr>
              <w:jc w:val="center"/>
            </w:pPr>
            <w:r>
              <w:rPr>
                <w:rFonts w:ascii="Times New Roman" w:hAnsi="Times New Roman"/>
                <w:sz w:val="20"/>
              </w:rPr>
              <w:t>7.5</w:t>
            </w:r>
          </w:p>
        </w:tc>
        <w:tc>
          <w:tcPr>
            <w:tcW w:type="dxa" w:w="3120"/>
            <w:shd w:fill="F5F7FA"/>
            <w:tcMar>
              <w:top w:w="40" w:type="dxa"/>
              <w:bottom w:w="40" w:type="dxa"/>
              <w:left w:w="80" w:type="dxa"/>
              <w:right w:w="80" w:type="dxa"/>
            </w:tcMar>
          </w:tcPr>
          <w:p>
            <w:r>
              <w:rPr>
                <w:rFonts w:ascii="Times New Roman" w:hAnsi="Times New Roman"/>
                <w:sz w:val="20"/>
              </w:rPr>
              <w:t>Federated Training Engine</w:t>
            </w:r>
          </w:p>
        </w:tc>
        <w:tc>
          <w:tcPr>
            <w:tcW w:type="dxa" w:w="3120"/>
            <w:shd w:fill="F5F7FA"/>
            <w:tcMar>
              <w:top w:w="40" w:type="dxa"/>
              <w:bottom w:w="40" w:type="dxa"/>
              <w:left w:w="80" w:type="dxa"/>
              <w:right w:w="80" w:type="dxa"/>
            </w:tcMar>
          </w:tcPr>
          <w:p>
            <w:pPr>
              <w:jc w:val="center"/>
            </w:pPr>
            <w:r>
              <w:rPr>
                <w:rFonts w:ascii="Times New Roman" w:hAnsi="Times New Roman"/>
                <w:sz w:val="20"/>
              </w:rPr>
              <w:t>41</w:t>
            </w:r>
          </w:p>
        </w:tc>
      </w:tr>
      <w:tr>
        <w:tc>
          <w:tcPr>
            <w:tcW w:type="dxa" w:w="3120"/>
            <w:tcMar>
              <w:top w:w="40" w:type="dxa"/>
              <w:bottom w:w="40" w:type="dxa"/>
              <w:left w:w="80" w:type="dxa"/>
              <w:right w:w="80" w:type="dxa"/>
            </w:tcMar>
          </w:tcPr>
          <w:p>
            <w:pPr>
              <w:jc w:val="center"/>
            </w:pPr>
            <w:r>
              <w:rPr>
                <w:rFonts w:ascii="Times New Roman" w:hAnsi="Times New Roman"/>
                <w:sz w:val="20"/>
              </w:rPr>
              <w:t>8</w:t>
            </w:r>
          </w:p>
        </w:tc>
        <w:tc>
          <w:tcPr>
            <w:tcW w:type="dxa" w:w="3120"/>
            <w:tcMar>
              <w:top w:w="40" w:type="dxa"/>
              <w:bottom w:w="40" w:type="dxa"/>
              <w:left w:w="80" w:type="dxa"/>
              <w:right w:w="80" w:type="dxa"/>
            </w:tcMar>
          </w:tcPr>
          <w:p>
            <w:r>
              <w:rPr>
                <w:rFonts w:ascii="Times New Roman" w:hAnsi="Times New Roman"/>
                <w:b/>
                <w:sz w:val="20"/>
              </w:rPr>
              <w:t>Result Discussion and Comparative Analysis</w:t>
            </w:r>
          </w:p>
        </w:tc>
        <w:tc>
          <w:tcPr>
            <w:tcW w:type="dxa" w:w="3120"/>
            <w:tcMar>
              <w:top w:w="40" w:type="dxa"/>
              <w:bottom w:w="40" w:type="dxa"/>
              <w:left w:w="80" w:type="dxa"/>
              <w:right w:w="80" w:type="dxa"/>
            </w:tcMar>
          </w:tcPr>
          <w:p>
            <w:pPr>
              <w:jc w:val="center"/>
            </w:pPr>
            <w:r>
              <w:rPr>
                <w:rFonts w:ascii="Times New Roman" w:hAnsi="Times New Roman"/>
                <w:sz w:val="20"/>
              </w:rPr>
              <w:t>42</w:t>
            </w:r>
          </w:p>
        </w:tc>
      </w:tr>
      <w:tr>
        <w:tc>
          <w:tcPr>
            <w:tcW w:type="dxa" w:w="3120"/>
            <w:shd w:fill="F5F7FA"/>
            <w:tcMar>
              <w:top w:w="40" w:type="dxa"/>
              <w:bottom w:w="40" w:type="dxa"/>
              <w:left w:w="80" w:type="dxa"/>
              <w:right w:w="80" w:type="dxa"/>
            </w:tcMar>
          </w:tcPr>
          <w:p>
            <w:pPr>
              <w:jc w:val="center"/>
            </w:pPr>
            <w:r>
              <w:rPr>
                <w:rFonts w:ascii="Times New Roman" w:hAnsi="Times New Roman"/>
                <w:sz w:val="20"/>
              </w:rPr>
              <w:t>8.1</w:t>
            </w:r>
          </w:p>
        </w:tc>
        <w:tc>
          <w:tcPr>
            <w:tcW w:type="dxa" w:w="3120"/>
            <w:shd w:fill="F5F7FA"/>
            <w:tcMar>
              <w:top w:w="40" w:type="dxa"/>
              <w:bottom w:w="40" w:type="dxa"/>
              <w:left w:w="80" w:type="dxa"/>
              <w:right w:w="80" w:type="dxa"/>
            </w:tcMar>
          </w:tcPr>
          <w:p>
            <w:r>
              <w:rPr>
                <w:rFonts w:ascii="Times New Roman" w:hAnsi="Times New Roman"/>
                <w:sz w:val="20"/>
              </w:rPr>
              <w:t>Experimental Setup &amp; Evaluation Protocol</w:t>
            </w:r>
          </w:p>
        </w:tc>
        <w:tc>
          <w:tcPr>
            <w:tcW w:type="dxa" w:w="3120"/>
            <w:shd w:fill="F5F7FA"/>
            <w:tcMar>
              <w:top w:w="40" w:type="dxa"/>
              <w:bottom w:w="40" w:type="dxa"/>
              <w:left w:w="80" w:type="dxa"/>
              <w:right w:w="80" w:type="dxa"/>
            </w:tcMar>
          </w:tcPr>
          <w:p>
            <w:pPr>
              <w:jc w:val="center"/>
            </w:pPr>
            <w:r>
              <w:rPr>
                <w:rFonts w:ascii="Times New Roman" w:hAnsi="Times New Roman"/>
                <w:sz w:val="20"/>
              </w:rPr>
              <w:t>42</w:t>
            </w:r>
          </w:p>
        </w:tc>
      </w:tr>
      <w:tr>
        <w:tc>
          <w:tcPr>
            <w:tcW w:type="dxa" w:w="3120"/>
            <w:tcMar>
              <w:top w:w="40" w:type="dxa"/>
              <w:bottom w:w="40" w:type="dxa"/>
              <w:left w:w="80" w:type="dxa"/>
              <w:right w:w="80" w:type="dxa"/>
            </w:tcMar>
          </w:tcPr>
          <w:p>
            <w:pPr>
              <w:jc w:val="center"/>
            </w:pPr>
            <w:r>
              <w:rPr>
                <w:rFonts w:ascii="Times New Roman" w:hAnsi="Times New Roman"/>
                <w:sz w:val="20"/>
              </w:rPr>
              <w:t>8.2</w:t>
            </w:r>
          </w:p>
        </w:tc>
        <w:tc>
          <w:tcPr>
            <w:tcW w:type="dxa" w:w="3120"/>
            <w:tcMar>
              <w:top w:w="40" w:type="dxa"/>
              <w:bottom w:w="40" w:type="dxa"/>
              <w:left w:w="80" w:type="dxa"/>
              <w:right w:w="80" w:type="dxa"/>
            </w:tcMar>
          </w:tcPr>
          <w:p>
            <w:r>
              <w:rPr>
                <w:rFonts w:ascii="Times New Roman" w:hAnsi="Times New Roman"/>
                <w:sz w:val="20"/>
              </w:rPr>
              <w:t>Clinical Evaluation Metrics</w:t>
            </w:r>
          </w:p>
        </w:tc>
        <w:tc>
          <w:tcPr>
            <w:tcW w:type="dxa" w:w="3120"/>
            <w:tcMar>
              <w:top w:w="40" w:type="dxa"/>
              <w:bottom w:w="40" w:type="dxa"/>
              <w:left w:w="80" w:type="dxa"/>
              <w:right w:w="80" w:type="dxa"/>
            </w:tcMar>
          </w:tcPr>
          <w:p>
            <w:pPr>
              <w:jc w:val="center"/>
            </w:pPr>
            <w:r>
              <w:rPr>
                <w:rFonts w:ascii="Times New Roman" w:hAnsi="Times New Roman"/>
                <w:sz w:val="20"/>
              </w:rPr>
              <w:t>43</w:t>
            </w:r>
          </w:p>
        </w:tc>
      </w:tr>
      <w:tr>
        <w:tc>
          <w:tcPr>
            <w:tcW w:type="dxa" w:w="3120"/>
            <w:shd w:fill="F5F7FA"/>
            <w:tcMar>
              <w:top w:w="40" w:type="dxa"/>
              <w:bottom w:w="40" w:type="dxa"/>
              <w:left w:w="80" w:type="dxa"/>
              <w:right w:w="80" w:type="dxa"/>
            </w:tcMar>
          </w:tcPr>
          <w:p>
            <w:pPr>
              <w:jc w:val="center"/>
            </w:pPr>
            <w:r>
              <w:rPr>
                <w:rFonts w:ascii="Times New Roman" w:hAnsi="Times New Roman"/>
                <w:sz w:val="20"/>
              </w:rPr>
              <w:t>8.3</w:t>
            </w:r>
          </w:p>
        </w:tc>
        <w:tc>
          <w:tcPr>
            <w:tcW w:type="dxa" w:w="3120"/>
            <w:shd w:fill="F5F7FA"/>
            <w:tcMar>
              <w:top w:w="40" w:type="dxa"/>
              <w:bottom w:w="40" w:type="dxa"/>
              <w:left w:w="80" w:type="dxa"/>
              <w:right w:w="80" w:type="dxa"/>
            </w:tcMar>
          </w:tcPr>
          <w:p>
            <w:r>
              <w:rPr>
                <w:rFonts w:ascii="Times New Roman" w:hAnsi="Times New Roman"/>
                <w:sz w:val="20"/>
              </w:rPr>
              <w:t>Federated Convergence Dynamics</w:t>
            </w:r>
          </w:p>
        </w:tc>
        <w:tc>
          <w:tcPr>
            <w:tcW w:type="dxa" w:w="3120"/>
            <w:shd w:fill="F5F7FA"/>
            <w:tcMar>
              <w:top w:w="40" w:type="dxa"/>
              <w:bottom w:w="40" w:type="dxa"/>
              <w:left w:w="80" w:type="dxa"/>
              <w:right w:w="80" w:type="dxa"/>
            </w:tcMar>
          </w:tcPr>
          <w:p>
            <w:pPr>
              <w:jc w:val="center"/>
            </w:pPr>
            <w:r>
              <w:rPr>
                <w:rFonts w:ascii="Times New Roman" w:hAnsi="Times New Roman"/>
                <w:sz w:val="20"/>
              </w:rPr>
              <w:t>44</w:t>
            </w:r>
          </w:p>
        </w:tc>
      </w:tr>
      <w:tr>
        <w:tc>
          <w:tcPr>
            <w:tcW w:type="dxa" w:w="3120"/>
            <w:tcMar>
              <w:top w:w="40" w:type="dxa"/>
              <w:bottom w:w="40" w:type="dxa"/>
              <w:left w:w="80" w:type="dxa"/>
              <w:right w:w="80" w:type="dxa"/>
            </w:tcMar>
          </w:tcPr>
          <w:p>
            <w:pPr>
              <w:jc w:val="center"/>
            </w:pPr>
            <w:r>
              <w:rPr>
                <w:rFonts w:ascii="Times New Roman" w:hAnsi="Times New Roman"/>
                <w:sz w:val="20"/>
              </w:rPr>
              <w:t>8.4</w:t>
            </w:r>
          </w:p>
        </w:tc>
        <w:tc>
          <w:tcPr>
            <w:tcW w:type="dxa" w:w="3120"/>
            <w:tcMar>
              <w:top w:w="40" w:type="dxa"/>
              <w:bottom w:w="40" w:type="dxa"/>
              <w:left w:w="80" w:type="dxa"/>
              <w:right w:w="80" w:type="dxa"/>
            </w:tcMar>
          </w:tcPr>
          <w:p>
            <w:r>
              <w:rPr>
                <w:rFonts w:ascii="Times New Roman" w:hAnsi="Times New Roman"/>
                <w:sz w:val="20"/>
              </w:rPr>
              <w:t>Comparative Baseline Evaluation</w:t>
            </w:r>
          </w:p>
        </w:tc>
        <w:tc>
          <w:tcPr>
            <w:tcW w:type="dxa" w:w="3120"/>
            <w:tcMar>
              <w:top w:w="40" w:type="dxa"/>
              <w:bottom w:w="40" w:type="dxa"/>
              <w:left w:w="80" w:type="dxa"/>
              <w:right w:w="80" w:type="dxa"/>
            </w:tcMar>
          </w:tcPr>
          <w:p>
            <w:pPr>
              <w:jc w:val="center"/>
            </w:pPr>
            <w:r>
              <w:rPr>
                <w:rFonts w:ascii="Times New Roman" w:hAnsi="Times New Roman"/>
                <w:sz w:val="20"/>
              </w:rPr>
              <w:t>46</w:t>
            </w:r>
          </w:p>
        </w:tc>
      </w:tr>
      <w:tr>
        <w:tc>
          <w:tcPr>
            <w:tcW w:type="dxa" w:w="3120"/>
            <w:shd w:fill="F5F7FA"/>
            <w:tcMar>
              <w:top w:w="40" w:type="dxa"/>
              <w:bottom w:w="40" w:type="dxa"/>
              <w:left w:w="80" w:type="dxa"/>
              <w:right w:w="80" w:type="dxa"/>
            </w:tcMar>
          </w:tcPr>
          <w:p>
            <w:pPr>
              <w:jc w:val="center"/>
            </w:pPr>
            <w:r>
              <w:rPr>
                <w:rFonts w:ascii="Times New Roman" w:hAnsi="Times New Roman"/>
                <w:sz w:val="20"/>
              </w:rPr>
              <w:t>8.5</w:t>
            </w:r>
          </w:p>
        </w:tc>
        <w:tc>
          <w:tcPr>
            <w:tcW w:type="dxa" w:w="3120"/>
            <w:shd w:fill="F5F7FA"/>
            <w:tcMar>
              <w:top w:w="40" w:type="dxa"/>
              <w:bottom w:w="40" w:type="dxa"/>
              <w:left w:w="80" w:type="dxa"/>
              <w:right w:w="80" w:type="dxa"/>
            </w:tcMar>
          </w:tcPr>
          <w:p>
            <w:r>
              <w:rPr>
                <w:rFonts w:ascii="Times New Roman" w:hAnsi="Times New Roman"/>
                <w:sz w:val="20"/>
              </w:rPr>
              <w:t>Topological Graph Ablation Analysis</w:t>
            </w:r>
          </w:p>
        </w:tc>
        <w:tc>
          <w:tcPr>
            <w:tcW w:type="dxa" w:w="3120"/>
            <w:shd w:fill="F5F7FA"/>
            <w:tcMar>
              <w:top w:w="40" w:type="dxa"/>
              <w:bottom w:w="40" w:type="dxa"/>
              <w:left w:w="80" w:type="dxa"/>
              <w:right w:w="80" w:type="dxa"/>
            </w:tcMar>
          </w:tcPr>
          <w:p>
            <w:pPr>
              <w:jc w:val="center"/>
            </w:pPr>
            <w:r>
              <w:rPr>
                <w:rFonts w:ascii="Times New Roman" w:hAnsi="Times New Roman"/>
                <w:sz w:val="20"/>
              </w:rPr>
              <w:t>48</w:t>
            </w:r>
          </w:p>
        </w:tc>
      </w:tr>
      <w:tr>
        <w:tc>
          <w:tcPr>
            <w:tcW w:type="dxa" w:w="3120"/>
            <w:tcMar>
              <w:top w:w="40" w:type="dxa"/>
              <w:bottom w:w="40" w:type="dxa"/>
              <w:left w:w="80" w:type="dxa"/>
              <w:right w:w="80" w:type="dxa"/>
            </w:tcMar>
          </w:tcPr>
          <w:p>
            <w:pPr>
              <w:jc w:val="center"/>
            </w:pPr>
            <w:r>
              <w:rPr>
                <w:rFonts w:ascii="Times New Roman" w:hAnsi="Times New Roman"/>
                <w:sz w:val="20"/>
              </w:rPr>
              <w:t>9</w:t>
            </w:r>
          </w:p>
        </w:tc>
        <w:tc>
          <w:tcPr>
            <w:tcW w:type="dxa" w:w="3120"/>
            <w:tcMar>
              <w:top w:w="40" w:type="dxa"/>
              <w:bottom w:w="40" w:type="dxa"/>
              <w:left w:w="80" w:type="dxa"/>
              <w:right w:w="80" w:type="dxa"/>
            </w:tcMar>
          </w:tcPr>
          <w:p>
            <w:r>
              <w:rPr>
                <w:rFonts w:ascii="Times New Roman" w:hAnsi="Times New Roman"/>
                <w:b/>
                <w:sz w:val="20"/>
              </w:rPr>
              <w:t>Conclusion and Future Scope</w:t>
            </w:r>
          </w:p>
        </w:tc>
        <w:tc>
          <w:tcPr>
            <w:tcW w:type="dxa" w:w="3120"/>
            <w:tcMar>
              <w:top w:w="40" w:type="dxa"/>
              <w:bottom w:w="40" w:type="dxa"/>
              <w:left w:w="80" w:type="dxa"/>
              <w:right w:w="80" w:type="dxa"/>
            </w:tcMar>
          </w:tcPr>
          <w:p>
            <w:pPr>
              <w:jc w:val="center"/>
            </w:pPr>
            <w:r>
              <w:rPr>
                <w:rFonts w:ascii="Times New Roman" w:hAnsi="Times New Roman"/>
                <w:sz w:val="20"/>
              </w:rPr>
              <w:t>49</w:t>
            </w:r>
          </w:p>
        </w:tc>
      </w:tr>
      <w:tr>
        <w:tc>
          <w:tcPr>
            <w:tcW w:type="dxa" w:w="3120"/>
            <w:shd w:fill="F5F7FA"/>
            <w:tcMar>
              <w:top w:w="40" w:type="dxa"/>
              <w:bottom w:w="40" w:type="dxa"/>
              <w:left w:w="80" w:type="dxa"/>
              <w:right w:w="80" w:type="dxa"/>
            </w:tcMar>
          </w:tcPr>
          <w:p>
            <w:pPr>
              <w:jc w:val="center"/>
            </w:pPr>
            <w:r>
              <w:rPr>
                <w:rFonts w:ascii="Times New Roman" w:hAnsi="Times New Roman"/>
                <w:sz w:val="20"/>
              </w:rPr>
              <w:t>9.1</w:t>
            </w:r>
          </w:p>
        </w:tc>
        <w:tc>
          <w:tcPr>
            <w:tcW w:type="dxa" w:w="3120"/>
            <w:shd w:fill="F5F7FA"/>
            <w:tcMar>
              <w:top w:w="40" w:type="dxa"/>
              <w:bottom w:w="40" w:type="dxa"/>
              <w:left w:w="80" w:type="dxa"/>
              <w:right w:w="80" w:type="dxa"/>
            </w:tcMar>
          </w:tcPr>
          <w:p>
            <w:r>
              <w:rPr>
                <w:rFonts w:ascii="Times New Roman" w:hAnsi="Times New Roman"/>
                <w:sz w:val="20"/>
              </w:rPr>
              <w:t>Summary of Contributions</w:t>
            </w:r>
          </w:p>
        </w:tc>
        <w:tc>
          <w:tcPr>
            <w:tcW w:type="dxa" w:w="3120"/>
            <w:shd w:fill="F5F7FA"/>
            <w:tcMar>
              <w:top w:w="40" w:type="dxa"/>
              <w:bottom w:w="40" w:type="dxa"/>
              <w:left w:w="80" w:type="dxa"/>
              <w:right w:w="80" w:type="dxa"/>
            </w:tcMar>
          </w:tcPr>
          <w:p>
            <w:pPr>
              <w:jc w:val="center"/>
            </w:pPr>
            <w:r>
              <w:rPr>
                <w:rFonts w:ascii="Times New Roman" w:hAnsi="Times New Roman"/>
                <w:sz w:val="20"/>
              </w:rPr>
              <w:t>49</w:t>
            </w:r>
          </w:p>
        </w:tc>
      </w:tr>
      <w:tr>
        <w:tc>
          <w:tcPr>
            <w:tcW w:type="dxa" w:w="3120"/>
            <w:tcMar>
              <w:top w:w="40" w:type="dxa"/>
              <w:bottom w:w="40" w:type="dxa"/>
              <w:left w:w="80" w:type="dxa"/>
              <w:right w:w="80" w:type="dxa"/>
            </w:tcMar>
          </w:tcPr>
          <w:p>
            <w:pPr>
              <w:jc w:val="center"/>
            </w:pPr>
            <w:r>
              <w:rPr>
                <w:rFonts w:ascii="Times New Roman" w:hAnsi="Times New Roman"/>
                <w:sz w:val="20"/>
              </w:rPr>
              <w:t>9.2</w:t>
            </w:r>
          </w:p>
        </w:tc>
        <w:tc>
          <w:tcPr>
            <w:tcW w:type="dxa" w:w="3120"/>
            <w:tcMar>
              <w:top w:w="40" w:type="dxa"/>
              <w:bottom w:w="40" w:type="dxa"/>
              <w:left w:w="80" w:type="dxa"/>
              <w:right w:w="80" w:type="dxa"/>
            </w:tcMar>
          </w:tcPr>
          <w:p>
            <w:r>
              <w:rPr>
                <w:rFonts w:ascii="Times New Roman" w:hAnsi="Times New Roman"/>
                <w:sz w:val="20"/>
              </w:rPr>
              <w:t>Limitations of the Current Study</w:t>
            </w:r>
          </w:p>
        </w:tc>
        <w:tc>
          <w:tcPr>
            <w:tcW w:type="dxa" w:w="3120"/>
            <w:tcMar>
              <w:top w:w="40" w:type="dxa"/>
              <w:bottom w:w="40" w:type="dxa"/>
              <w:left w:w="80" w:type="dxa"/>
              <w:right w:w="80" w:type="dxa"/>
            </w:tcMar>
          </w:tcPr>
          <w:p>
            <w:pPr>
              <w:jc w:val="center"/>
            </w:pPr>
            <w:r>
              <w:rPr>
                <w:rFonts w:ascii="Times New Roman" w:hAnsi="Times New Roman"/>
                <w:sz w:val="20"/>
              </w:rPr>
              <w:t>50</w:t>
            </w:r>
          </w:p>
        </w:tc>
      </w:tr>
      <w:tr>
        <w:tc>
          <w:tcPr>
            <w:tcW w:type="dxa" w:w="3120"/>
            <w:shd w:fill="F5F7FA"/>
            <w:tcMar>
              <w:top w:w="40" w:type="dxa"/>
              <w:bottom w:w="40" w:type="dxa"/>
              <w:left w:w="80" w:type="dxa"/>
              <w:right w:w="80" w:type="dxa"/>
            </w:tcMar>
          </w:tcPr>
          <w:p>
            <w:pPr>
              <w:jc w:val="center"/>
            </w:pPr>
            <w:r>
              <w:rPr>
                <w:rFonts w:ascii="Times New Roman" w:hAnsi="Times New Roman"/>
                <w:sz w:val="20"/>
              </w:rPr>
              <w:t>9.3</w:t>
            </w:r>
          </w:p>
        </w:tc>
        <w:tc>
          <w:tcPr>
            <w:tcW w:type="dxa" w:w="3120"/>
            <w:shd w:fill="F5F7FA"/>
            <w:tcMar>
              <w:top w:w="40" w:type="dxa"/>
              <w:bottom w:w="40" w:type="dxa"/>
              <w:left w:w="80" w:type="dxa"/>
              <w:right w:w="80" w:type="dxa"/>
            </w:tcMar>
          </w:tcPr>
          <w:p>
            <w:r>
              <w:rPr>
                <w:rFonts w:ascii="Times New Roman" w:hAnsi="Times New Roman"/>
                <w:sz w:val="20"/>
              </w:rPr>
              <w:t>Future Research Directions</w:t>
            </w:r>
          </w:p>
        </w:tc>
        <w:tc>
          <w:tcPr>
            <w:tcW w:type="dxa" w:w="3120"/>
            <w:shd w:fill="F5F7FA"/>
            <w:tcMar>
              <w:top w:w="40" w:type="dxa"/>
              <w:bottom w:w="40" w:type="dxa"/>
              <w:left w:w="80" w:type="dxa"/>
              <w:right w:w="80" w:type="dxa"/>
            </w:tcMar>
          </w:tcPr>
          <w:p>
            <w:pPr>
              <w:jc w:val="center"/>
            </w:pPr>
            <w:r>
              <w:rPr>
                <w:rFonts w:ascii="Times New Roman" w:hAnsi="Times New Roman"/>
                <w:sz w:val="20"/>
              </w:rPr>
              <w:t>50</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References (IEEE Format)</w:t>
            </w:r>
          </w:p>
        </w:tc>
        <w:tc>
          <w:tcPr>
            <w:tcW w:type="dxa" w:w="3120"/>
            <w:tcMar>
              <w:top w:w="40" w:type="dxa"/>
              <w:bottom w:w="40" w:type="dxa"/>
              <w:left w:w="80" w:type="dxa"/>
              <w:right w:w="80" w:type="dxa"/>
            </w:tcMar>
          </w:tcPr>
          <w:p>
            <w:pPr>
              <w:jc w:val="center"/>
            </w:pPr>
            <w:r>
              <w:rPr>
                <w:rFonts w:ascii="Times New Roman" w:hAnsi="Times New Roman"/>
                <w:sz w:val="20"/>
              </w:rPr>
              <w:t>52</w:t>
            </w:r>
          </w:p>
        </w:tc>
      </w:tr>
      <w:tr>
        <w:tc>
          <w:tcPr>
            <w:tcW w:type="dxa" w:w="3120"/>
            <w:shd w:fill="F5F7FA"/>
            <w:tcMar>
              <w:top w:w="40" w:type="dxa"/>
              <w:bottom w:w="40" w:type="dxa"/>
              <w:left w:w="80" w:type="dxa"/>
              <w:right w:w="80" w:type="dxa"/>
            </w:tcMar>
          </w:tcPr>
          <w:p>
            <w:pPr>
              <w:jc w:val="center"/>
            </w:pPr>
            <w:r>
              <w:rPr>
                <w:rFonts w:ascii="Times New Roman" w:hAnsi="Times New Roman"/>
                <w:sz w:val="20"/>
              </w:rPr>
            </w:r>
          </w:p>
        </w:tc>
        <w:tc>
          <w:tcPr>
            <w:tcW w:type="dxa" w:w="3120"/>
            <w:shd w:fill="F5F7FA"/>
            <w:tcMar>
              <w:top w:w="40" w:type="dxa"/>
              <w:bottom w:w="40" w:type="dxa"/>
              <w:left w:w="80" w:type="dxa"/>
              <w:right w:w="80" w:type="dxa"/>
            </w:tcMar>
          </w:tcPr>
          <w:p>
            <w:r>
              <w:rPr>
                <w:rFonts w:ascii="Times New Roman" w:hAnsi="Times New Roman"/>
                <w:b/>
                <w:sz w:val="20"/>
              </w:rPr>
              <w:t>List of Publications</w:t>
            </w:r>
          </w:p>
        </w:tc>
        <w:tc>
          <w:tcPr>
            <w:tcW w:type="dxa" w:w="3120"/>
            <w:shd w:fill="F5F7FA"/>
            <w:tcMar>
              <w:top w:w="40" w:type="dxa"/>
              <w:bottom w:w="40" w:type="dxa"/>
              <w:left w:w="80" w:type="dxa"/>
              <w:right w:w="80" w:type="dxa"/>
            </w:tcMar>
          </w:tcPr>
          <w:p>
            <w:pPr>
              <w:jc w:val="center"/>
            </w:pPr>
            <w:r>
              <w:rPr>
                <w:rFonts w:ascii="Times New Roman" w:hAnsi="Times New Roman"/>
                <w:sz w:val="20"/>
              </w:rPr>
              <w:t>55</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Plagiarism &amp; Authenticity Report</w:t>
            </w:r>
          </w:p>
        </w:tc>
        <w:tc>
          <w:tcPr>
            <w:tcW w:type="dxa" w:w="3120"/>
            <w:tcMar>
              <w:top w:w="40" w:type="dxa"/>
              <w:bottom w:w="40" w:type="dxa"/>
              <w:left w:w="80" w:type="dxa"/>
              <w:right w:w="80" w:type="dxa"/>
            </w:tcMar>
          </w:tcPr>
          <w:p>
            <w:pPr>
              <w:jc w:val="center"/>
            </w:pPr>
            <w:r>
              <w:rPr>
                <w:rFonts w:ascii="Times New Roman" w:hAnsi="Times New Roman"/>
                <w:sz w:val="20"/>
              </w:rPr>
              <w:t>56</w:t>
            </w:r>
          </w:p>
        </w:tc>
      </w:tr>
    </w:tbl>
    <w:p>
      <w:r>
        <w:br w:type="page"/>
      </w:r>
    </w:p>
    <w:p>
      <w:pPr>
        <w:spacing w:after="360" w:before="0" w:line="276" w:lineRule="auto"/>
        <w:jc w:val="center"/>
      </w:pPr>
      <w:r>
        <w:rPr>
          <w:rFonts w:ascii="Times New Roman" w:hAnsi="Times New Roman"/>
          <w:b/>
          <w:i w:val="0"/>
          <w:sz w:val="32"/>
        </w:rPr>
        <w:t>LIST OF FIGURES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20"/>
        <w:gridCol w:w="3120"/>
        <w:gridCol w:w="3120"/>
      </w:tblGrid>
      <w:tr>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Figure No.</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Description</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Page No.</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Figure 1</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Federated Multimodal Graph Learning End-to-End System Architecture</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32</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Figure 2</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Data Flow Diagram (Level 0 Context and Level 1 Functional Pipeline)</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34</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Figure 3</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Hospital Patient Population Scale and Distribution across 207 eICU Sites</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38</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Figure 4</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Federated Global Training Convergence Curves (Loss and Clinical AUROC)</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45</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Figure 5</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Comparative Baseline Performance Analysis (Local-Only vs. No-GNN vs. FedAvg)</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47</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Figure 6</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Intra-Hospital Patient Similarity Graph Topology (Hospital 102 Exemplar)</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48</w:t>
            </w:r>
          </w:p>
        </w:tc>
      </w:tr>
    </w:tbl>
    <w:p>
      <w:pPr>
        <w:spacing w:after="480" w:before="0"/>
      </w:pPr>
    </w:p>
    <w:p>
      <w:pPr>
        <w:spacing w:after="360" w:before="0" w:line="276" w:lineRule="auto"/>
        <w:jc w:val="center"/>
      </w:pPr>
      <w:r>
        <w:rPr>
          <w:rFonts w:ascii="Times New Roman" w:hAnsi="Times New Roman"/>
          <w:b/>
          <w:i w:val="0"/>
          <w:sz w:val="32"/>
        </w:rPr>
        <w:t>LIST OF TABLES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20"/>
        <w:gridCol w:w="3120"/>
        <w:gridCol w:w="3120"/>
      </w:tblGrid>
      <w:tr>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Table No.</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Description</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Page No.</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Table 1</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Multimodal Feature Modalities in Critical Care Medicine</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8</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Table 2</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Comparison of Contemporary Machine Learning Healthcare Frameworks</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13</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Table 3</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Canonical Feature Dimensions and Modality Specifications</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20</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Table 4</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Hyperparameter Configuration for Federated Patient Graph Model</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41</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Table 5</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Round-by-Round Global Federated Convergence Progression</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44</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Table 6</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Comparative Benchmark Results against Baselines and Ablations</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46</w:t>
            </w:r>
          </w:p>
        </w:tc>
      </w:tr>
    </w:tbl>
    <w:p>
      <w:r>
        <w:br w:type="page"/>
      </w:r>
    </w:p>
    <w:p>
      <w:pPr>
        <w:keepNext/>
        <w:spacing w:before="480" w:after="240" w:line="276" w:lineRule="auto"/>
        <w:jc w:val="center"/>
      </w:pPr>
      <w:r>
        <w:rPr>
          <w:rFonts w:ascii="Times New Roman" w:hAnsi="Times New Roman"/>
          <w:b/>
          <w:color w:val="000000"/>
          <w:sz w:val="32"/>
        </w:rPr>
        <w:t>CHAPTER 1</w:t>
        <w:br/>
        <w:t>INTRODUCTION</w:t>
      </w:r>
    </w:p>
    <w:p>
      <w:pPr>
        <w:keepNext/>
        <w:spacing w:before="320" w:after="160" w:line="276" w:lineRule="auto"/>
        <w:jc w:val="left"/>
      </w:pPr>
      <w:r>
        <w:rPr>
          <w:rFonts w:ascii="Times New Roman" w:hAnsi="Times New Roman"/>
          <w:b/>
          <w:color w:val="000000"/>
          <w:sz w:val="28"/>
        </w:rPr>
        <w:t>1.1 Clinical Background &amp; Motivation</w:t>
      </w:r>
    </w:p>
    <w:p>
      <w:pPr>
        <w:spacing w:after="120" w:before="0" w:line="276" w:lineRule="auto"/>
        <w:jc w:val="both"/>
      </w:pPr>
      <w:r>
        <w:rPr>
          <w:rFonts w:ascii="Times New Roman" w:hAnsi="Times New Roman"/>
          <w:b w:val="0"/>
          <w:i w:val="0"/>
          <w:sz w:val="24"/>
        </w:rPr>
        <w:t>The Intensive Care Unit (ICU) represents the most technologically intensive and data-dense environment in modern healthcare. Critically ill patients admitted to ICUs suffer from severe, rapidly progressing pathologies such as septic shock, multi-organ failure, and acute respiratory distress syndrome (ARDS). Among these conditions, sepsis remains a leading cause of in-hospital mortality and healthcare expenditure worldwide, accounting for over 11 million global deaths annually [4]. In critical care settings, patient deterioration often unfolds across hours or even minutes. Traditional clinical monitoring relies heavily on episodic physician examinations and heuristic scoring systems such as the Acute Physiology and Chronic Health Evaluation (APACHE) [1] and Sequential Organ Failure Assessment (SOFA) [3]. While clinically grounded, these systems are fundamentally static, labor-intensive, and inadequate for dynamic, real-time risk stratification.</w:t>
      </w:r>
    </w:p>
    <w:p>
      <w:pPr>
        <w:spacing w:after="120" w:before="0" w:line="276" w:lineRule="auto"/>
        <w:jc w:val="both"/>
      </w:pPr>
      <w:r>
        <w:rPr>
          <w:rFonts w:ascii="Times New Roman" w:hAnsi="Times New Roman"/>
          <w:b w:val="0"/>
          <w:i w:val="0"/>
          <w:sz w:val="24"/>
        </w:rPr>
        <w:t>The ubiquity of Electronic Health Record (EHR) systems in modern hospitals has made continuous physiological data available at unprecedented scale. Every hour, bedside monitors record physiological waveforms, clinical laboratories produce biochemistry panels, and clinicians administer titrated vasopressors and fluid boluses. Developing predictive artificial intelligence (AI) systems capable of continuously monitoring these multi-stream inputs to forecast clinical mortality and sepsis hours before irreversible hemodynamic collapse is therefore of paramount clinical importance [5].</w:t>
      </w:r>
    </w:p>
    <w:p>
      <w:pPr>
        <w:keepNext/>
        <w:spacing w:before="320" w:after="160" w:line="276" w:lineRule="auto"/>
        <w:jc w:val="left"/>
      </w:pPr>
      <w:r>
        <w:rPr>
          <w:rFonts w:ascii="Times New Roman" w:hAnsi="Times New Roman"/>
          <w:b/>
          <w:color w:val="000000"/>
          <w:sz w:val="28"/>
        </w:rPr>
        <w:t>1.2 The Privacy-Utility Conundrum in Healthcare</w:t>
      </w:r>
    </w:p>
    <w:p>
      <w:pPr>
        <w:spacing w:after="120" w:before="0" w:line="276" w:lineRule="auto"/>
        <w:jc w:val="both"/>
      </w:pPr>
      <w:r>
        <w:rPr>
          <w:rFonts w:ascii="Times New Roman" w:hAnsi="Times New Roman"/>
          <w:b w:val="0"/>
          <w:i w:val="0"/>
          <w:sz w:val="24"/>
        </w:rPr>
        <w:t>Despite the availability of powerful machine learning architectures, real-world deployment across multi-hospital health systems faces a critical bottleneck: data governance and patient confidentiality. Electronic health records contain highly sensitive Protected Health Information (PHI). Legal frameworks such as the Health Insurance Portability and Accountability Act (HIPAA) in the United States, the General Data Protection Regulation (GDPR) in the European Union, and the Digital Personal Data Protection Act (DPDPA) in India strictly govern the transmission and centralized pooling of healthcare records across jurisdictional and organizational boundaries.</w:t>
      </w:r>
    </w:p>
    <w:p>
      <w:pPr>
        <w:spacing w:after="120" w:before="0" w:line="276" w:lineRule="auto"/>
        <w:jc w:val="both"/>
      </w:pPr>
      <w:r>
        <w:rPr>
          <w:rFonts w:ascii="Times New Roman" w:hAnsi="Times New Roman"/>
          <w:b w:val="0"/>
          <w:i w:val="0"/>
          <w:sz w:val="24"/>
        </w:rPr>
        <w:t>Historically, training deep learning models required centralizing raw patient records into a single data warehouse. For independent hospitals, this centralized model introduces insurmountable legal liabilities, regulatory compliance hazards, and commercial vulnerabilities. Conversely, training models on data from a single hospital in isolation causes severe algorithmic bias and over-fitting, as individual sites exhibit idiosyncratic demographics, local clinical workflows, and limited statistical samples. This tension between institutional data compartmentalization and cross-site statistical generalizability is known as the healthcare privacy-utility conundrum [22].</w:t>
      </w:r>
    </w:p>
    <w:p>
      <w:pPr>
        <w:keepNext/>
        <w:spacing w:before="320" w:after="160" w:line="276" w:lineRule="auto"/>
        <w:jc w:val="left"/>
      </w:pPr>
      <w:r>
        <w:rPr>
          <w:rFonts w:ascii="Times New Roman" w:hAnsi="Times New Roman"/>
          <w:b/>
          <w:color w:val="000000"/>
          <w:sz w:val="28"/>
        </w:rPr>
        <w:t>1.3 Challenges in Multimodal Critical Care Modeling</w:t>
      </w:r>
    </w:p>
    <w:p>
      <w:pPr>
        <w:spacing w:after="120" w:before="0" w:line="276" w:lineRule="auto"/>
        <w:jc w:val="both"/>
      </w:pPr>
      <w:r>
        <w:rPr>
          <w:rFonts w:ascii="Times New Roman" w:hAnsi="Times New Roman"/>
          <w:b w:val="0"/>
          <w:i w:val="0"/>
          <w:sz w:val="24"/>
        </w:rPr>
        <w:t>Modeling intensive care EHR datasets introduces three distinct technical challenges that demand specialized engineering solutions:</w:t>
      </w:r>
    </w:p>
    <w:p>
      <w:pPr>
        <w:spacing w:after="120" w:before="0" w:line="276" w:lineRule="auto"/>
        <w:jc w:val="both"/>
      </w:pPr>
      <w:r>
        <w:rPr>
          <w:rFonts w:ascii="Times New Roman" w:hAnsi="Times New Roman"/>
          <w:b w:val="0"/>
          <w:i w:val="0"/>
          <w:sz w:val="24"/>
        </w:rPr>
        <w:t>Challenge 1 — Heterogeneous Modality Representation: ICU patient records are inherently multimodal. They encompass static tabular demographics (age, biological sex, admission type, chronic comorbidities) and high-dimensional dynamic time-series (blood pressure, heart rate, blood gas measurements, intravenous medication infusions). Static variables capture baseline physiological reserve, whereas temporal streams capture acute deterioration trajectories. Fusing these fundamentally disparate temporal granularities requires specialized modality encoders [11].</w:t>
      </w:r>
    </w:p>
    <w:p>
      <w:pPr>
        <w:spacing w:after="120" w:before="0" w:line="276" w:lineRule="auto"/>
        <w:jc w:val="both"/>
      </w:pPr>
      <w:r>
        <w:rPr>
          <w:rFonts w:ascii="Times New Roman" w:hAnsi="Times New Roman"/>
          <w:b w:val="0"/>
          <w:i w:val="0"/>
          <w:sz w:val="24"/>
        </w:rPr>
        <w:t>Challenge 2 — Inter-Patient Clinical Relatedness: Conventional machine learning models treat each patient admission as an independent, identically distributed (I.I.D.) vector in Euclidean space. However, clinical pathology is profoundly relational. Patients exhibiting similar hemodynamic phenotypes (e.g., refractory hypotension coupled with elevated serum lactate) share underlying pathophysiological risk trajectories. Ignoring patient similarity networks discards valuable relational inductive biases [15].</w:t>
      </w:r>
    </w:p>
    <w:p>
      <w:pPr>
        <w:spacing w:after="120" w:before="0" w:line="276" w:lineRule="auto"/>
        <w:jc w:val="both"/>
      </w:pPr>
      <w:r>
        <w:rPr>
          <w:rFonts w:ascii="Times New Roman" w:hAnsi="Times New Roman"/>
          <w:b w:val="0"/>
          <w:i w:val="0"/>
          <w:sz w:val="24"/>
        </w:rPr>
        <w:t>Challenge 3 — Severe Class Imbalance &amp; Clinical Non-I.I.D. Distributions: ICU mortality and septic shock are low-frequency, high-stakes outcomes, typically occurring in only 8% to 15% of admissions. Furthermore, patient volumes across community hospitals and tertiary academic medical centers vary by orders of magnitude (ranging from 10 to over 7,000 patients per site in the eICU database), creating severe statistical heterogeneity [25].</w:t>
      </w:r>
    </w:p>
    <w:p>
      <w:pPr>
        <w:keepNext/>
        <w:spacing w:before="320" w:after="160" w:line="276" w:lineRule="auto"/>
        <w:jc w:val="left"/>
      </w:pPr>
      <w:r>
        <w:rPr>
          <w:rFonts w:ascii="Times New Roman" w:hAnsi="Times New Roman"/>
          <w:b/>
          <w:color w:val="000000"/>
          <w:sz w:val="28"/>
        </w:rPr>
        <w:t>1.4 Proposed Federated Graph Learning Paradigm</w:t>
      </w:r>
    </w:p>
    <w:p>
      <w:pPr>
        <w:spacing w:after="120" w:before="0" w:line="276" w:lineRule="auto"/>
        <w:jc w:val="both"/>
      </w:pPr>
      <w:r>
        <w:rPr>
          <w:rFonts w:ascii="Times New Roman" w:hAnsi="Times New Roman"/>
          <w:b w:val="0"/>
          <w:i w:val="0"/>
          <w:sz w:val="24"/>
        </w:rPr>
        <w:t>To overcome these challenges, this project presents an end-to-end Federated Multimodal Graph Learning Framework for In-Hospital Mortality and Sepsis prediction. The framework guarantees that raw patient records never leave the local firewall of any hospital. Each hospital client independently executes feature extraction, modality encoding (Tabular MLP + Time-series LSTM), and multimodal fusion. Within each hospital, an intra-hospital patient graph is constructed using k-nearest neighbors (k-NN) over unified patient embeddings. A Graph Neural Network (PatientGNN) then propagates structural patient similarity signals locally. Only model parameter gradients are transmitted to a central coordinator for Federated Averaging (FedAvg) aggregation [20]. By reconciling multi-modal representation learning, graph-based phenotypic modeling, and federated optimization, the framework establishes a compliant, robust paradigm for collaborative clinical AI.</w:t>
      </w:r>
    </w:p>
    <w:p>
      <w:pPr>
        <w:keepNext/>
        <w:spacing w:before="320" w:after="160" w:line="276" w:lineRule="auto"/>
        <w:jc w:val="left"/>
      </w:pPr>
      <w:r>
        <w:rPr>
          <w:rFonts w:ascii="Times New Roman" w:hAnsi="Times New Roman"/>
          <w:b/>
          <w:color w:val="000000"/>
          <w:sz w:val="28"/>
        </w:rPr>
        <w:t>1.5 Organization of the Report</w:t>
      </w:r>
    </w:p>
    <w:p>
      <w:pPr>
        <w:spacing w:after="120" w:before="0" w:line="276" w:lineRule="auto"/>
        <w:jc w:val="both"/>
      </w:pPr>
      <w:r>
        <w:rPr>
          <w:rFonts w:ascii="Times New Roman" w:hAnsi="Times New Roman"/>
          <w:b w:val="0"/>
          <w:i w:val="0"/>
          <w:sz w:val="24"/>
        </w:rPr>
        <w:t>The remainder of this report is organized as follows:</w:t>
        <w:br/>
        <w:br/>
        <w:t>• Chapter 2 conducts a comprehensive literature review of clinical risk scores, EHR deep learning, multimodal fusion techniques, graph neural networks, and federated learning systems.</w:t>
        <w:br/>
        <w:t>• Chapter 3 defines the formal problem statement, mathematical notation, and project objectives.</w:t>
        <w:br/>
        <w:t>• Chapter 4 elaborates the proposed system methodology and component architectures.</w:t>
        <w:br/>
        <w:t>• Chapter 5 formalizes the client-side and server-side algorithms.</w:t>
        <w:br/>
        <w:t>• Chapter 6 presents architectural block diagrams and data flow diagrams.</w:t>
        <w:br/>
        <w:t>• Chapter 7 details the software implementation and experimental environment.</w:t>
        <w:br/>
        <w:t>• Chapter 8 presents empirical results, convergence curves, and comparative benchmarks.</w:t>
        <w:br/>
        <w:t>• Chapter 9 concludes the study and outlines future research avenues.</w:t>
      </w:r>
    </w:p>
    <w:p>
      <w:r>
        <w:br w:type="page"/>
      </w:r>
    </w:p>
    <w:p>
      <w:pPr>
        <w:keepNext/>
        <w:spacing w:before="480" w:after="240" w:line="276" w:lineRule="auto"/>
        <w:jc w:val="center"/>
      </w:pPr>
      <w:r>
        <w:rPr>
          <w:rFonts w:ascii="Times New Roman" w:hAnsi="Times New Roman"/>
          <w:b/>
          <w:color w:val="000000"/>
          <w:sz w:val="32"/>
        </w:rPr>
        <w:t>CHAPTER 2</w:t>
        <w:br/>
        <w:t>LITERATURE REVIEW</w:t>
      </w:r>
    </w:p>
    <w:p>
      <w:pPr>
        <w:keepNext/>
        <w:spacing w:before="320" w:after="160" w:line="276" w:lineRule="auto"/>
        <w:jc w:val="left"/>
      </w:pPr>
      <w:r>
        <w:rPr>
          <w:rFonts w:ascii="Times New Roman" w:hAnsi="Times New Roman"/>
          <w:b/>
          <w:color w:val="000000"/>
          <w:sz w:val="28"/>
        </w:rPr>
        <w:t>2.1 Clinical Risk Stratification Systems in Intensive Care</w:t>
      </w:r>
    </w:p>
    <w:p>
      <w:pPr>
        <w:spacing w:after="120" w:before="0" w:line="276" w:lineRule="auto"/>
        <w:jc w:val="both"/>
      </w:pPr>
      <w:r>
        <w:rPr>
          <w:rFonts w:ascii="Times New Roman" w:hAnsi="Times New Roman"/>
          <w:b w:val="0"/>
          <w:i w:val="0"/>
          <w:sz w:val="24"/>
        </w:rPr>
        <w:t>Risk stratification in critical care has traditionally relied on physiological scoring indices developed through multi-center logistic regression. The Acute Physiology and Chronic Health Evaluation (APACHE II, III, IV) developed by Knaus et al. [1] computes a composite integer score based on worst-observed vital signs and laboratory parameters during the initial 24 hours of ICU admission. Similarly, the Simplified Acute Physiology Score (SAPS II) [2] and the Sequential Organ Failure Assessment (SOFA) [3] quantify acute morbidity across cardiovascular, respiratory, neurological, renal, hepatic, and hematological organ systems.</w:t>
      </w:r>
    </w:p>
    <w:p>
      <w:pPr>
        <w:spacing w:after="120" w:before="0" w:line="276" w:lineRule="auto"/>
        <w:jc w:val="both"/>
      </w:pPr>
      <w:r>
        <w:rPr>
          <w:rFonts w:ascii="Times New Roman" w:hAnsi="Times New Roman"/>
          <w:b w:val="0"/>
          <w:i w:val="0"/>
          <w:sz w:val="24"/>
        </w:rPr>
        <w:t>In the context of sepsis, the Third International Consensus Definitions for Sepsis and Septic Shock (Sepsis-3) [4] operationalized sepsis as life-threatening organ dysfunction caused by a dysregulated host response to infection, clinically identified by an acute increase in SOFA score of 2 or more points. Although universally utilized for clinical benchmarking, these scoring systems suffer from profound structural limitations: (i) they rely on coarse physiological discretizations, (ii) they fail to model complex non-linear interactions across organ systems, (iii) they discard the rich temporal dynamics of continuous vital sign signals, and (iv) they cannot adapt dynamically to evolving clinical trajectories.</w:t>
      </w:r>
    </w:p>
    <w:p>
      <w:pPr>
        <w:keepNext/>
        <w:spacing w:before="320" w:after="160" w:line="276" w:lineRule="auto"/>
        <w:jc w:val="left"/>
      </w:pPr>
      <w:r>
        <w:rPr>
          <w:rFonts w:ascii="Times New Roman" w:hAnsi="Times New Roman"/>
          <w:b/>
          <w:color w:val="000000"/>
          <w:sz w:val="28"/>
        </w:rPr>
        <w:t>2.2 Deep Learning for Electronic Health Records (EHR)</w:t>
      </w:r>
    </w:p>
    <w:p>
      <w:pPr>
        <w:spacing w:after="120" w:before="0" w:line="276" w:lineRule="auto"/>
        <w:jc w:val="both"/>
      </w:pPr>
      <w:r>
        <w:rPr>
          <w:rFonts w:ascii="Times New Roman" w:hAnsi="Times New Roman"/>
          <w:b w:val="0"/>
          <w:i w:val="0"/>
          <w:sz w:val="24"/>
        </w:rPr>
        <w:t>The advent of deep neural networks enabled direct learning of hierarchical feature representations from high-dimensional EHR data [5]. Early breakthroughs utilized Recurrent Neural Networks (RNNs) and Long Short-Term Memory (LSTM) networks to model irregular temporal sequences. Choi et al. [6] introduced Doctor AI, applying recurrent networks to predict differential diagnoses and medication orders over longitudinal patient visits. Lipton et al. [7] demonstrated that LSTMs directly handling missing values and measurement frequencies outperformed classical clinical baselines in predicting 128 diagnostic categories from pediatric intensive care time-series.</w:t>
      </w:r>
    </w:p>
    <w:p>
      <w:pPr>
        <w:spacing w:after="120" w:before="0" w:line="276" w:lineRule="auto"/>
        <w:jc w:val="both"/>
      </w:pPr>
      <w:r>
        <w:rPr>
          <w:rFonts w:ascii="Times New Roman" w:hAnsi="Times New Roman"/>
          <w:b w:val="0"/>
          <w:i w:val="0"/>
          <w:sz w:val="24"/>
        </w:rPr>
        <w:t>Subsequent research explored Transformer-based self-attention mechanisms. Vaswani et al. [8] revolutionized sequence modeling, leading to clinical adaptations such as Med-BERT [9] and BEHRT [10], which pre-train bidirectional attention representations over structured medical codes. While attention mechanisms excel at capturing long-range dependencies, standard recurrent and transformer models typically process each patient in isolation, ignoring the non-Euclidean similarity relationships existing across patient populations admitted with comparable disease etiologies.</w:t>
      </w:r>
    </w:p>
    <w:p>
      <w:pPr>
        <w:keepNext/>
        <w:spacing w:before="320" w:after="160" w:line="276" w:lineRule="auto"/>
        <w:jc w:val="left"/>
      </w:pPr>
      <w:r>
        <w:rPr>
          <w:rFonts w:ascii="Times New Roman" w:hAnsi="Times New Roman"/>
          <w:b/>
          <w:color w:val="000000"/>
          <w:sz w:val="28"/>
        </w:rPr>
        <w:t>2.3 Multimodal Representation Learning in Medicine</w:t>
      </w:r>
    </w:p>
    <w:p>
      <w:pPr>
        <w:spacing w:after="120" w:before="0" w:line="276" w:lineRule="auto"/>
        <w:jc w:val="both"/>
      </w:pPr>
      <w:r>
        <w:rPr>
          <w:rFonts w:ascii="Times New Roman" w:hAnsi="Times New Roman"/>
          <w:b w:val="0"/>
          <w:i w:val="0"/>
          <w:sz w:val="24"/>
        </w:rPr>
        <w:t>Clinical medicine is intrinsically multimodal. Diagnostic reasoning synthesizes demographic history, physical examinations, continuous telemetry, laboratory biochemistry, and clinical documentation. Multimodal machine learning frameworks aim to integrate these diverse data modalities into a joint latent representation space [11]. In critical care modeling, two primary modalities dominate: static tabular variables (demographics, admission severity, chronic comorbidities) and dynamic multivariate time-series (continuous vitals, hourly laboratory values, medication titration).</w:t>
      </w:r>
    </w:p>
    <w:p>
      <w:pPr>
        <w:spacing w:after="120" w:before="0" w:line="276" w:lineRule="auto"/>
        <w:jc w:val="both"/>
      </w:pPr>
      <w:r>
        <w:rPr>
          <w:rFonts w:ascii="Times New Roman" w:hAnsi="Times New Roman"/>
          <w:b w:val="0"/>
          <w:i w:val="0"/>
          <w:sz w:val="24"/>
        </w:rPr>
        <w:t>Fusion techniques are categorized into early fusion (concatenation of raw feature vectors), late fusion (combining modality-specific decision logits via ensemble averaging), and intermediate fusion (learning joint representation spaces via non-linear projection or cross-attention) [12]. Recent clinical studies by Bardak et al. [13] demonstrated that intermediate multimodal fusion consistently outperforms unimodal models in mortality and readmission forecasting. However, current multimodal architectures operate almost exclusively in centralized environments, failing to account for institutional data privacy boundaries.</w:t>
      </w:r>
    </w:p>
    <w:p>
      <w:pPr>
        <w:keepNext/>
        <w:spacing w:before="280" w:after="120"/>
        <w:jc w:val="center"/>
      </w:pPr>
      <w:r>
        <w:rPr>
          <w:rFonts w:ascii="Times New Roman" w:hAnsi="Times New Roman"/>
          <w:b/>
          <w:sz w:val="22"/>
        </w:rPr>
        <w:t>Table 1: Multimodal Feature Modalities in Critical Care Medicine</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340"/>
        <w:gridCol w:w="2340"/>
        <w:gridCol w:w="2340"/>
        <w:gridCol w:w="2340"/>
      </w:tblGrid>
      <w:tr>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Modality Type</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Clinical Data Streams</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Mathematical Representation</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Primary Neural Encoder</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Static Tabular</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Demographics (Age, Gender, BMI), Admission Type, Comorbidities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Fixed-size vector x_tab ∈ ℝ⁶⁷</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Multi-Layer Perceptron (MLP)</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Dynamic Time-Series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Vital signs (HR, MAP, SpO₂), Laboratory panels, Infusion rates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Sequential tensor X_ts ∈ ℝᵀˣ⁷⁴</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2-Layer Bidirectional LSTM</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Relational Graph</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Intra-hospital patient phenotypic similarity edges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Adjacency matrix A ∈ ℝᴺˣᴺ</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GraphSAGE / GAT</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Multimodal Fused</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Joint tabular-temporal latent patient representation</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Unified embedding z ∈ ℝ¹²⁸</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Non-linear Projection Layer</w:t>
            </w:r>
          </w:p>
        </w:tc>
      </w:tr>
    </w:tbl>
    <w:p>
      <w:pPr>
        <w:keepNext/>
        <w:spacing w:before="320" w:after="160" w:line="276" w:lineRule="auto"/>
        <w:jc w:val="left"/>
      </w:pPr>
      <w:r>
        <w:rPr>
          <w:rFonts w:ascii="Times New Roman" w:hAnsi="Times New Roman"/>
          <w:b/>
          <w:color w:val="000000"/>
          <w:sz w:val="28"/>
        </w:rPr>
        <w:t>2.4 Graph Neural Networks &amp; Patient Similarity Networks</w:t>
      </w:r>
    </w:p>
    <w:p>
      <w:pPr>
        <w:spacing w:after="120" w:before="0" w:line="276" w:lineRule="auto"/>
        <w:jc w:val="both"/>
      </w:pPr>
      <w:r>
        <w:rPr>
          <w:rFonts w:ascii="Times New Roman" w:hAnsi="Times New Roman"/>
          <w:b w:val="0"/>
          <w:i w:val="0"/>
          <w:sz w:val="24"/>
        </w:rPr>
        <w:t>Graph Neural Networks (GNNs) extend deep learning to non-Euclidean graph-structured domains [14]. In healthcare informatics, GNNs have been applied along two major axes: knowledge graph modeling (e.g., drug-drug interaction graphs, medical ontology hierarchies) and Patient Similarity Networks (PSNs) [15]. In a PSN, nodes represent individual patients, and edges represent clinical similarity computed over diagnostic codes, genetic profiles, or physiological trajectories.</w:t>
      </w:r>
    </w:p>
    <w:p>
      <w:pPr>
        <w:spacing w:after="120" w:before="0" w:line="276" w:lineRule="auto"/>
        <w:jc w:val="both"/>
      </w:pPr>
      <w:r>
        <w:rPr>
          <w:rFonts w:ascii="Times New Roman" w:hAnsi="Times New Roman"/>
          <w:b w:val="0"/>
          <w:i w:val="0"/>
          <w:sz w:val="24"/>
        </w:rPr>
        <w:t>Pioneering architectures include Graph Convolutional Networks (GCN) by Kipf &amp; Welling [16], which perform spectral first-order localized graph convolutions; GraphSAGE by Hamilton et al. [17], which enables inductive representation learning on large graphs via neighborhood sampling and aggregation; and Graph Attention Networks (GAT) by Veličković et al. [18], which employ self-attention to dynamically weight neighbor importance. In intensive care modeling, Rocheteau et al. [19] showed that propagating patient similarity signals through GNNs enhances length-of-stay and mortality prediction by clustering patients with similar acute decompensation profiles. Nonetheless, prior graph learning frameworks assume complete access to a centralized patient graph, which is strictly prohibited across federated hospitals.</w:t>
      </w:r>
    </w:p>
    <w:p>
      <w:pPr>
        <w:keepNext/>
        <w:spacing w:before="320" w:after="160" w:line="276" w:lineRule="auto"/>
        <w:jc w:val="left"/>
      </w:pPr>
      <w:r>
        <w:rPr>
          <w:rFonts w:ascii="Times New Roman" w:hAnsi="Times New Roman"/>
          <w:b/>
          <w:color w:val="000000"/>
          <w:sz w:val="28"/>
        </w:rPr>
        <w:t>2.5 Federated Learning in Distributed Healthcare Systems</w:t>
      </w:r>
    </w:p>
    <w:p>
      <w:pPr>
        <w:spacing w:after="120" w:before="0" w:line="276" w:lineRule="auto"/>
        <w:jc w:val="both"/>
      </w:pPr>
      <w:r>
        <w:rPr>
          <w:rFonts w:ascii="Times New Roman" w:hAnsi="Times New Roman"/>
          <w:b w:val="0"/>
          <w:i w:val="0"/>
          <w:sz w:val="24"/>
        </w:rPr>
        <w:t>Federated Learning (FL), pioneered by McMahan et al. [20] through the Federated Averaging (FedAvg) algorithm, enables decentralized training of machine learning models without centralizing raw training data. Participating client devices or institutions train local models on private datasets and share only parameter weights or gradient updates with an aggregating central coordinator.</w:t>
      </w:r>
    </w:p>
    <w:p>
      <w:pPr>
        <w:spacing w:after="120" w:before="0" w:line="276" w:lineRule="auto"/>
        <w:jc w:val="both"/>
      </w:pPr>
      <w:r>
        <w:rPr>
          <w:rFonts w:ascii="Times New Roman" w:hAnsi="Times New Roman"/>
          <w:b w:val="0"/>
          <w:i w:val="0"/>
          <w:sz w:val="24"/>
        </w:rPr>
        <w:t>In healthcare, cross-silo federated learning has emerged as the premier privacy-preserving paradigm [21]. Rieke et al. [22] articulated the future of digital health through federated learning, demonstrating that FL preserves patient confidentiality while enabling models to achieve performance parity with centralized counterparts. Subsequent consortia demonstrated federated tumor segmentation (Sheller et al. [23]) and COVID-19 triage (Dayan et al. [24]) across international healthcare networks.</w:t>
      </w:r>
    </w:p>
    <w:p>
      <w:pPr>
        <w:spacing w:after="120" w:before="0" w:line="276" w:lineRule="auto"/>
        <w:jc w:val="both"/>
      </w:pPr>
      <w:r>
        <w:rPr>
          <w:rFonts w:ascii="Times New Roman" w:hAnsi="Times New Roman"/>
          <w:b w:val="0"/>
          <w:i w:val="0"/>
          <w:sz w:val="24"/>
        </w:rPr>
        <w:t>However, healthcare federated learning faces significant domain-specific hurdles: (1) System Heterogeneity: hospitals possess highly disparate computational hardware; (2) Statistical Heterogeneity (Non-I.I.D. Data): patient populations, disease prevalence, and clinical protocols differ dramatically across geographic and socio-economic lines; and (3) Relational Graph Constraints: standard FL aggregates models across isolated vectors, lacking mechanisms to incorporate intra-institutional relational graph topologies.</w:t>
      </w:r>
    </w:p>
    <w:p>
      <w:pPr>
        <w:keepNext/>
        <w:spacing w:before="280" w:after="120"/>
        <w:jc w:val="center"/>
      </w:pPr>
      <w:r>
        <w:rPr>
          <w:rFonts w:ascii="Times New Roman" w:hAnsi="Times New Roman"/>
          <w:b/>
          <w:sz w:val="22"/>
        </w:rPr>
        <w:t>Table 2: Comparison of Contemporary Machine Learning Healthcare Frameworks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872"/>
        <w:gridCol w:w="1872"/>
        <w:gridCol w:w="1872"/>
        <w:gridCol w:w="1872"/>
        <w:gridCol w:w="1872"/>
      </w:tblGrid>
      <w:tr>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Framework / Paradigm</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Data Privacy</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Multimodal Support</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Graph Topology</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Decentralized</w:t>
            </w:r>
          </w:p>
        </w:tc>
      </w:tr>
      <w:tr>
        <w:tc>
          <w:tcPr>
            <w:tcW w:type="dxa" w:w="1872"/>
            <w:vAlign w:val="center"/>
            <w:tcMar>
              <w:top w:w="60" w:type="dxa"/>
              <w:bottom w:w="60" w:type="dxa"/>
              <w:left w:w="100" w:type="dxa"/>
              <w:right w:w="100" w:type="dxa"/>
            </w:tcMar>
            <w:shd w:fill="FFFFFF"/>
          </w:tcPr>
          <w:p>
            <w:r>
              <w:rPr>
                <w:rFonts w:ascii="Times New Roman" w:hAnsi="Times New Roman"/>
                <w:color w:val="1A1A1A"/>
                <w:sz w:val="20"/>
              </w:rPr>
              <w:t>Centralized DL [7, 8]</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None</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High</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None</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No</w:t>
            </w:r>
          </w:p>
        </w:tc>
      </w:tr>
      <w:tr>
        <w:tc>
          <w:tcPr>
            <w:tcW w:type="dxa" w:w="1872"/>
            <w:vAlign w:val="center"/>
            <w:tcMar>
              <w:top w:w="60" w:type="dxa"/>
              <w:bottom w:w="60" w:type="dxa"/>
              <w:left w:w="100" w:type="dxa"/>
              <w:right w:w="100" w:type="dxa"/>
            </w:tcMar>
            <w:shd w:fill="F2F6FC"/>
          </w:tcPr>
          <w:p>
            <w:r>
              <w:rPr>
                <w:rFonts w:ascii="Times New Roman" w:hAnsi="Times New Roman"/>
                <w:color w:val="1A1A1A"/>
                <w:sz w:val="20"/>
              </w:rPr>
              <w:t>APACHE/SOFA [1, 3]</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High (Local)</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Low</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None</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Yes</w:t>
            </w:r>
          </w:p>
        </w:tc>
      </w:tr>
      <w:tr>
        <w:tc>
          <w:tcPr>
            <w:tcW w:type="dxa" w:w="1872"/>
            <w:vAlign w:val="center"/>
            <w:tcMar>
              <w:top w:w="60" w:type="dxa"/>
              <w:bottom w:w="60" w:type="dxa"/>
              <w:left w:w="100" w:type="dxa"/>
              <w:right w:w="100" w:type="dxa"/>
            </w:tcMar>
            <w:shd w:fill="FFFFFF"/>
          </w:tcPr>
          <w:p>
            <w:r>
              <w:rPr>
                <w:rFonts w:ascii="Times New Roman" w:hAnsi="Times New Roman"/>
                <w:color w:val="1A1A1A"/>
                <w:sz w:val="20"/>
              </w:rPr>
              <w:t>Standard FedAvg [20, 22]</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High (Weights)</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Moderate</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None</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Yes</w:t>
            </w:r>
          </w:p>
        </w:tc>
      </w:tr>
      <w:tr>
        <w:tc>
          <w:tcPr>
            <w:tcW w:type="dxa" w:w="1872"/>
            <w:vAlign w:val="center"/>
            <w:tcMar>
              <w:top w:w="60" w:type="dxa"/>
              <w:bottom w:w="60" w:type="dxa"/>
              <w:left w:w="100" w:type="dxa"/>
              <w:right w:w="100" w:type="dxa"/>
            </w:tcMar>
            <w:shd w:fill="F2F6FC"/>
          </w:tcPr>
          <w:p>
            <w:r>
              <w:rPr>
                <w:rFonts w:ascii="Times New Roman" w:hAnsi="Times New Roman"/>
                <w:color w:val="1A1A1A"/>
                <w:sz w:val="20"/>
              </w:rPr>
              <w:t>Proposed Framework (Ours)</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Full Compliance</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Complete (67D+74D)</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k-NN Graph</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207 Hospitals</w:t>
            </w:r>
          </w:p>
        </w:tc>
      </w:tr>
    </w:tbl>
    <w:p>
      <w:pPr>
        <w:keepNext/>
        <w:spacing w:before="320" w:after="160" w:line="276" w:lineRule="auto"/>
        <w:jc w:val="left"/>
      </w:pPr>
      <w:r>
        <w:rPr>
          <w:rFonts w:ascii="Times New Roman" w:hAnsi="Times New Roman"/>
          <w:b/>
          <w:color w:val="000000"/>
          <w:sz w:val="28"/>
        </w:rPr>
        <w:t>2.6 Critical Analysis and Research Gaps</w:t>
      </w:r>
    </w:p>
    <w:p>
      <w:pPr>
        <w:spacing w:after="120" w:before="0" w:line="276" w:lineRule="auto"/>
        <w:jc w:val="both"/>
      </w:pPr>
      <w:r>
        <w:rPr>
          <w:rFonts w:ascii="Times New Roman" w:hAnsi="Times New Roman"/>
          <w:b w:val="0"/>
          <w:i w:val="0"/>
          <w:sz w:val="24"/>
        </w:rPr>
        <w:t>A rigorous synthesis of the surveyed literature reveals three fundamental research gaps that this project directly addresses:</w:t>
      </w:r>
    </w:p>
    <w:p>
      <w:pPr>
        <w:spacing w:after="120" w:before="0" w:line="276" w:lineRule="auto"/>
        <w:jc w:val="both"/>
      </w:pPr>
      <w:r>
        <w:rPr>
          <w:rFonts w:ascii="Times New Roman" w:hAnsi="Times New Roman"/>
          <w:b w:val="0"/>
          <w:i w:val="0"/>
          <w:sz w:val="24"/>
        </w:rPr>
        <w:t>Gap 1 — Disconnect Between GNNs and Federated Privacy: Existing patient similarity graph models assume that a global graph spanning all patients across all medical centers can be constructed. Under healthcare privacy laws, linking patient records across distinct hospitals violates legal mandates. There is an acute lack of architectures that restrict graph convolutions strictly to local intra-hospital boundaries while aggregating model parameters globally.</w:t>
      </w:r>
    </w:p>
    <w:p>
      <w:pPr>
        <w:spacing w:after="120" w:before="0" w:line="276" w:lineRule="auto"/>
        <w:jc w:val="both"/>
      </w:pPr>
      <w:r>
        <w:rPr>
          <w:rFonts w:ascii="Times New Roman" w:hAnsi="Times New Roman"/>
          <w:b w:val="0"/>
          <w:i w:val="0"/>
          <w:sz w:val="24"/>
        </w:rPr>
        <w:t>Gap 2 — Limited Multimodal Integration in Federated Healthcare: Prior healthcare FL studies have focused almost exclusively on computer vision (medical imaging like CT/MRI) or isolated unimodal EHR codes. Jointly modeling static tabular clinical variables and high-frequency dynamic physiological time-series within a federated paradigm remains underexplored.</w:t>
      </w:r>
    </w:p>
    <w:p>
      <w:pPr>
        <w:spacing w:after="120" w:before="0" w:line="276" w:lineRule="auto"/>
        <w:jc w:val="both"/>
      </w:pPr>
      <w:r>
        <w:rPr>
          <w:rFonts w:ascii="Times New Roman" w:hAnsi="Times New Roman"/>
          <w:b w:val="0"/>
          <w:i w:val="0"/>
          <w:sz w:val="24"/>
        </w:rPr>
        <w:t>Gap 3 — Neglect of Extreme Clinical Imbalance in Multi-Task FL: Simultaneous prediction of correlated critical care events (mortality and sepsis) within federated learning under extreme positive outcome scarcity (often &lt;10%) is rarely evaluated on large-scale real-world multi-center benchmarks.</w:t>
      </w:r>
    </w:p>
    <w:p>
      <w:pPr>
        <w:spacing w:after="120" w:before="0" w:line="276" w:lineRule="auto"/>
        <w:jc w:val="both"/>
      </w:pPr>
      <w:r>
        <w:rPr>
          <w:rFonts w:ascii="Times New Roman" w:hAnsi="Times New Roman"/>
          <w:b w:val="0"/>
          <w:i w:val="0"/>
          <w:sz w:val="24"/>
        </w:rPr>
        <w:t>This project directly addresses these gaps by engineering the first end-to-end framework integrating canonical multimodal EHR encoding, intra-hospital patient graph learning, positive-class weighted multi-task prediction, and sample-weighted federated averaging across 207 real-world intensive care hospitals.</w:t>
      </w:r>
    </w:p>
    <w:p>
      <w:r>
        <w:br w:type="page"/>
      </w:r>
    </w:p>
    <w:p>
      <w:pPr>
        <w:keepNext/>
        <w:spacing w:before="480" w:after="240" w:line="276" w:lineRule="auto"/>
        <w:jc w:val="center"/>
      </w:pPr>
      <w:r>
        <w:rPr>
          <w:rFonts w:ascii="Times New Roman" w:hAnsi="Times New Roman"/>
          <w:b/>
          <w:color w:val="000000"/>
          <w:sz w:val="32"/>
        </w:rPr>
        <w:t>CHAPTER 3</w:t>
        <w:br/>
        <w:t>PROBLEM DEFINITION AND OBJECTIVES</w:t>
      </w:r>
    </w:p>
    <w:p>
      <w:pPr>
        <w:keepNext/>
        <w:spacing w:before="320" w:after="160" w:line="276" w:lineRule="auto"/>
        <w:jc w:val="left"/>
      </w:pPr>
      <w:r>
        <w:rPr>
          <w:rFonts w:ascii="Times New Roman" w:hAnsi="Times New Roman"/>
          <w:b/>
          <w:color w:val="000000"/>
          <w:sz w:val="28"/>
        </w:rPr>
        <w:t>3.1 Formal Problem Formulation</w:t>
      </w:r>
    </w:p>
    <w:p>
      <w:pPr>
        <w:spacing w:after="120" w:before="0" w:line="276" w:lineRule="auto"/>
        <w:jc w:val="both"/>
      </w:pPr>
      <w:r>
        <w:rPr>
          <w:rFonts w:ascii="Times New Roman" w:hAnsi="Times New Roman"/>
          <w:b w:val="0"/>
          <w:i w:val="0"/>
          <w:sz w:val="24"/>
        </w:rPr>
        <w:t>Let H = {H₁, H₂, ..., Hₖ} denote a federation of K = 207 independent, privacy-conscious hospital clients derived from the multi-center eICU Collaborative Research Database. Each hospital Hₖ possesses a private local dataset Dₖ containing Nₖ patient ICU admissions:</w:t>
      </w:r>
    </w:p>
    <w:p>
      <w:pPr>
        <w:spacing w:after="160" w:before="0" w:line="276" w:lineRule="auto"/>
        <w:jc w:val="center"/>
      </w:pPr>
      <w:r>
        <w:rPr>
          <w:rFonts w:ascii="Times New Roman" w:hAnsi="Times New Roman"/>
          <w:b w:val="0"/>
          <w:i/>
          <w:sz w:val="22"/>
        </w:rPr>
        <w:t xml:space="preserve">    Dₖ = {(x_tab⁺ₖ·ⁱ, X_ts⁺ₖ·ⁱ, y_mort⁺ₖ·ⁱ, y_seps⁺ₖ·ⁱ)}ᵢ₌₁ᴺₖ</w:t>
      </w:r>
    </w:p>
    <w:p>
      <w:pPr>
        <w:spacing w:after="120" w:before="0" w:line="276" w:lineRule="auto"/>
        <w:jc w:val="both"/>
      </w:pPr>
      <w:r>
        <w:rPr>
          <w:rFonts w:ascii="Times New Roman" w:hAnsi="Times New Roman"/>
          <w:b w:val="0"/>
          <w:i w:val="0"/>
          <w:sz w:val="24"/>
        </w:rPr>
        <w:t>where:</w:t>
        <w:br/>
        <w:t>• x_tab ∈ ℝ⁶⁷ is a 67-dimensional vector of static demographic, severity, and admission variables.</w:t>
        <w:br/>
        <w:t>• X_ts ∈ ℝ^(Tᵢ × 74) is a dynamic time-series matrix containing 74 hourly physiological variables recorded over Tᵢ ≤ 48 hours.</w:t>
        <w:br/>
        <w:t>• y_mort ∈ {0, 1} is the ground-truth binary label indicating in-hospital mortality.</w:t>
        <w:br/>
        <w:t>• y_seps ∈ {0, 1} is the ground-truth binary label indicating sepsis / ICU mortality.</w:t>
      </w:r>
    </w:p>
    <w:p>
      <w:pPr>
        <w:spacing w:after="120" w:before="0" w:line="276" w:lineRule="auto"/>
        <w:jc w:val="both"/>
      </w:pPr>
      <w:r>
        <w:rPr>
          <w:rFonts w:ascii="Times New Roman" w:hAnsi="Times New Roman"/>
          <w:b w:val="0"/>
          <w:i w:val="0"/>
          <w:sz w:val="24"/>
        </w:rPr>
        <w:t>Crucially, the raw datasets Dₖ must remain strictly within hospital Hₖ. The server S cannot inspect, query, or store any Dₖ. The objective is to collaboratively train a global parameter vector W* across all K hospitals that minimizes the global multi-task empirical risk:</w:t>
      </w:r>
    </w:p>
    <w:p>
      <w:pPr>
        <w:spacing w:after="160" w:before="0" w:line="276" w:lineRule="auto"/>
        <w:jc w:val="center"/>
      </w:pPr>
      <w:r>
        <w:rPr>
          <w:rFonts w:ascii="Times New Roman" w:hAnsi="Times New Roman"/>
          <w:b w:val="0"/>
          <w:i/>
          <w:sz w:val="22"/>
        </w:rPr>
        <w:t xml:space="preserve">    min_W F(W) = ∑ₖ₌₁ᴷ (Nₖ / N_total) · Fₖ(W)</w:t>
      </w:r>
    </w:p>
    <w:p>
      <w:pPr>
        <w:spacing w:after="120" w:before="0" w:line="276" w:lineRule="auto"/>
        <w:jc w:val="both"/>
      </w:pPr>
      <w:r>
        <w:rPr>
          <w:rFonts w:ascii="Times New Roman" w:hAnsi="Times New Roman"/>
          <w:b w:val="0"/>
          <w:i w:val="0"/>
          <w:sz w:val="24"/>
        </w:rPr>
        <w:t>where N_total = ∑ₖ Nₖ is the total patient population across the federation, and Fₖ(W) is the local multi-task loss evaluated exclusively on local data Dₖ.</w:t>
      </w:r>
    </w:p>
    <w:p>
      <w:pPr>
        <w:keepNext/>
        <w:spacing w:before="320" w:after="160" w:line="276" w:lineRule="auto"/>
        <w:jc w:val="left"/>
      </w:pPr>
      <w:r>
        <w:rPr>
          <w:rFonts w:ascii="Times New Roman" w:hAnsi="Times New Roman"/>
          <w:b/>
          <w:color w:val="000000"/>
          <w:sz w:val="28"/>
        </w:rPr>
        <w:t>3.2 Research Objectives</w:t>
      </w:r>
    </w:p>
    <w:p>
      <w:pPr>
        <w:spacing w:after="120" w:before="0" w:line="276" w:lineRule="auto"/>
        <w:jc w:val="both"/>
      </w:pPr>
      <w:r>
        <w:rPr>
          <w:rFonts w:ascii="Times New Roman" w:hAnsi="Times New Roman"/>
          <w:b w:val="0"/>
          <w:i w:val="0"/>
          <w:sz w:val="24"/>
        </w:rPr>
        <w:t>The primary engineering and scientific objectives of this research project are:</w:t>
      </w:r>
    </w:p>
    <w:p>
      <w:pPr>
        <w:spacing w:after="160" w:before="0" w:line="276" w:lineRule="auto"/>
        <w:jc w:val="both"/>
      </w:pPr>
      <w:r>
        <w:rPr>
          <w:rFonts w:ascii="Times New Roman" w:hAnsi="Times New Roman"/>
          <w:b w:val="0"/>
          <w:i w:val="0"/>
          <w:sz w:val="24"/>
        </w:rPr>
        <w:t>Objective 1 — Canonical Multimodal Standardization: Design and implement an automated schema alignment pipeline resolving heterogeneous feature dimensions across all 207 eICU hospitals, standardizing tabular features to exactly 67 dimensions and continuous time-series to 74 dimensions.</w:t>
      </w:r>
    </w:p>
    <w:p>
      <w:pPr>
        <w:spacing w:after="160" w:before="0" w:line="276" w:lineRule="auto"/>
        <w:jc w:val="both"/>
      </w:pPr>
      <w:r>
        <w:rPr>
          <w:rFonts w:ascii="Times New Roman" w:hAnsi="Times New Roman"/>
          <w:b w:val="0"/>
          <w:i w:val="0"/>
          <w:sz w:val="24"/>
        </w:rPr>
        <w:t>Objective 2 — Modality-Specific Feature Learning: Develop specialized deep learning encoders—a Multi-Layer Perceptron (MLP) for static features, and a 2-layer LSTM network with packed sequence handling for variable-length physiological trajectories.</w:t>
      </w:r>
    </w:p>
    <w:p>
      <w:pPr>
        <w:spacing w:after="160" w:before="0" w:line="276" w:lineRule="auto"/>
        <w:jc w:val="both"/>
      </w:pPr>
      <w:r>
        <w:rPr>
          <w:rFonts w:ascii="Times New Roman" w:hAnsi="Times New Roman"/>
          <w:b w:val="0"/>
          <w:i w:val="0"/>
          <w:sz w:val="24"/>
        </w:rPr>
        <w:t>Objective 3 — Intermediate Multimodal Fusion: Formulate a non-linear projection layer combining tabular and temporal embeddings into a unified 128-dimensional latent patient representation space.</w:t>
      </w:r>
    </w:p>
    <w:p>
      <w:pPr>
        <w:spacing w:after="160" w:before="0" w:line="276" w:lineRule="auto"/>
        <w:jc w:val="both"/>
      </w:pPr>
      <w:r>
        <w:rPr>
          <w:rFonts w:ascii="Times New Roman" w:hAnsi="Times New Roman"/>
          <w:b w:val="0"/>
          <w:i w:val="0"/>
          <w:sz w:val="24"/>
        </w:rPr>
        <w:t>Objective 4 — Intra-Hospital Patient Graph Construction: Construct local patient similarity graphs within each hospital boundary using k-nearest neighbors (k=5) over cosine metric distances, strictly prohibiting cross-hospital edges.</w:t>
      </w:r>
    </w:p>
    <w:p>
      <w:pPr>
        <w:spacing w:after="160" w:before="0" w:line="276" w:lineRule="auto"/>
        <w:jc w:val="both"/>
      </w:pPr>
      <w:r>
        <w:rPr>
          <w:rFonts w:ascii="Times New Roman" w:hAnsi="Times New Roman"/>
          <w:b w:val="0"/>
          <w:i w:val="0"/>
          <w:sz w:val="24"/>
        </w:rPr>
        <w:t>Objective 5 — Graph Representation Learning: Implement and evaluate localized Graph Neural Networks (GraphSAGE, GAT, GCN) to propagate clinical phenotypic signals among correlated patients.</w:t>
      </w:r>
    </w:p>
    <w:p>
      <w:pPr>
        <w:spacing w:after="160" w:before="0" w:line="276" w:lineRule="auto"/>
        <w:jc w:val="both"/>
      </w:pPr>
      <w:r>
        <w:rPr>
          <w:rFonts w:ascii="Times New Roman" w:hAnsi="Times New Roman"/>
          <w:b w:val="0"/>
          <w:i w:val="0"/>
          <w:sz w:val="24"/>
        </w:rPr>
        <w:t>Objective 6 — Multi-Task Outcome Prediction: Engineer dual classification heads for simultaneous In-Hospital Mortality and Sepsis prediction, optimized using positive-class weighted loss.</w:t>
      </w:r>
    </w:p>
    <w:p>
      <w:pPr>
        <w:spacing w:after="160" w:before="0" w:line="276" w:lineRule="auto"/>
        <w:jc w:val="both"/>
      </w:pPr>
      <w:r>
        <w:rPr>
          <w:rFonts w:ascii="Times New Roman" w:hAnsi="Times New Roman"/>
          <w:b w:val="0"/>
          <w:i w:val="0"/>
          <w:sz w:val="24"/>
        </w:rPr>
        <w:t>Objective 7 — Federated Orchestration &amp; Benchmarking: Implement Federated Averaging (FedAvg), training across hospital clients and benchmarking against Local-Only and No-GNN ablation baselines.</w:t>
      </w:r>
    </w:p>
    <w:p>
      <w:pPr>
        <w:keepNext/>
        <w:spacing w:before="320" w:after="160" w:line="276" w:lineRule="auto"/>
        <w:jc w:val="left"/>
      </w:pPr>
      <w:r>
        <w:rPr>
          <w:rFonts w:ascii="Times New Roman" w:hAnsi="Times New Roman"/>
          <w:b/>
          <w:color w:val="000000"/>
          <w:sz w:val="28"/>
        </w:rPr>
        <w:t>3.3 Technical Scope &amp; Boundary Conditions</w:t>
      </w:r>
    </w:p>
    <w:p>
      <w:pPr>
        <w:spacing w:after="120" w:before="0" w:line="276" w:lineRule="auto"/>
        <w:jc w:val="both"/>
      </w:pPr>
      <w:r>
        <w:rPr>
          <w:rFonts w:ascii="Times New Roman" w:hAnsi="Times New Roman"/>
          <w:b w:val="0"/>
          <w:i w:val="0"/>
          <w:sz w:val="24"/>
        </w:rPr>
        <w:t>To ensure clinical fidelity, reproducibility, and computational rigor, the scope of this project is governed by the following constraints:</w:t>
        <w:br/>
        <w:br/>
        <w:t>• Modality Scope: Strictly restricted to 2 clinical modalities: Structured Static Tabular data and Dynamic Temporal Time-Series. Unstructured clinical text notes are excluded in compliance with the eICU database specification.</w:t>
        <w:br/>
        <w:t>• Privacy Boundary: Local patient similarity graphs are strictly intra-hospital. Edges connect patients admitted to the same facility only.</w:t>
        <w:br/>
        <w:t>• Federated Aggregation: Only neural network weights are communicated to the central server. Raw data, embeddings, and graph structures remain local.</w:t>
        <w:br/>
        <w:t>• Sequence Window: Continuous time-series observations are evaluated over the initial 48 hours of ICU admission, standardizing early warning prediction windows.</w:t>
        <w:br/>
        <w:t>• Evaluation Protocol: Held-out validation hospitals never participate in federated training rounds.</w:t>
      </w:r>
    </w:p>
    <w:p>
      <w:r>
        <w:br w:type="page"/>
      </w:r>
    </w:p>
    <w:p>
      <w:pPr>
        <w:keepNext/>
        <w:spacing w:before="480" w:after="240" w:line="276" w:lineRule="auto"/>
        <w:jc w:val="center"/>
      </w:pPr>
      <w:r>
        <w:rPr>
          <w:rFonts w:ascii="Times New Roman" w:hAnsi="Times New Roman"/>
          <w:b/>
          <w:color w:val="000000"/>
          <w:sz w:val="32"/>
        </w:rPr>
        <w:t>CHAPTER 4</w:t>
        <w:br/>
        <w:t>PROPOSED METHODOLOGY AND WORK DESCRIPTION</w:t>
      </w:r>
    </w:p>
    <w:p>
      <w:pPr>
        <w:keepNext/>
        <w:spacing w:before="320" w:after="160" w:line="276" w:lineRule="auto"/>
        <w:jc w:val="left"/>
      </w:pPr>
      <w:r>
        <w:rPr>
          <w:rFonts w:ascii="Times New Roman" w:hAnsi="Times New Roman"/>
          <w:b/>
          <w:color w:val="000000"/>
          <w:sz w:val="28"/>
        </w:rPr>
        <w:t>4.1 System Architectural Overview</w:t>
      </w:r>
    </w:p>
    <w:p>
      <w:pPr>
        <w:spacing w:after="120" w:before="0" w:line="276" w:lineRule="auto"/>
        <w:jc w:val="both"/>
      </w:pPr>
      <w:r>
        <w:rPr>
          <w:rFonts w:ascii="Times New Roman" w:hAnsi="Times New Roman"/>
          <w:b w:val="0"/>
          <w:i w:val="0"/>
          <w:sz w:val="24"/>
        </w:rPr>
        <w:t>The proposed Federated Multimodal Graph Learning Framework is structured into an end-to-end, multi-stage processing pipeline spanning decentralized hospital clients and an aggregating central coordinator. Each hospital client executes an autonomous five-stage workflow: (1) Data Ingestion and Canonical Feature Alignment, (2) Modality-Specific Feature Encoding, (3) Intermediate Multimodal Fusion, (4) Intra-Hospital Patient Graph Assembly and GNN Propagation, and (5) Multi-Task Loss Computation. The central coordinator orchestrates communication rounds, samples participating hospital clients, aggregates parameter weights via sample-weighted FedAvg, and evaluates global generalization on a strictly held-out cohort of validation hospitals.</w:t>
      </w:r>
    </w:p>
    <w:p>
      <w:pPr>
        <w:keepNext/>
        <w:spacing w:before="280" w:after="120"/>
        <w:jc w:val="center"/>
      </w:pPr>
      <w:r>
        <w:rPr>
          <w:rFonts w:ascii="Times New Roman" w:hAnsi="Times New Roman"/>
          <w:b/>
          <w:sz w:val="22"/>
        </w:rPr>
        <w:t>Table 3: Canonical Feature Dimensions and Modality Specifications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340"/>
        <w:gridCol w:w="2340"/>
        <w:gridCol w:w="2340"/>
        <w:gridCol w:w="2340"/>
      </w:tblGrid>
      <w:tr>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Feature Category</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Raw Data Source</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Canonical Dimension</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Normalization</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Demographics &amp; Baseline</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patient.csv, hospital.csv</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12 variables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Z-score + One-hot</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Admission &amp; Comorbidity</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diagnosis.csv, admissionDrug.csv</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35 variables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Binary indicators (0/1)</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Acute Severity Scores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apachePatientResult.csv</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20 variables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Z-score standardization</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Laboratory Panels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lab.csv, timeseries_features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20 continuous tests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Z-score normalized</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Medication &amp; Infusion</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infusionDrug.csv, medication.csv</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54 rate/binary streams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Rate scaling &amp; binary</w:t>
            </w:r>
          </w:p>
        </w:tc>
      </w:tr>
    </w:tbl>
    <w:p>
      <w:pPr>
        <w:keepNext/>
        <w:spacing w:before="320" w:after="160" w:line="276" w:lineRule="auto"/>
        <w:jc w:val="left"/>
      </w:pPr>
      <w:r>
        <w:rPr>
          <w:rFonts w:ascii="Times New Roman" w:hAnsi="Times New Roman"/>
          <w:b/>
          <w:color w:val="000000"/>
          <w:sz w:val="28"/>
        </w:rPr>
        <w:t>4.2 Multimodal Data Ingestion &amp; Canonical Alignment</w:t>
      </w:r>
    </w:p>
    <w:p>
      <w:pPr>
        <w:spacing w:after="120" w:before="0" w:line="276" w:lineRule="auto"/>
        <w:jc w:val="both"/>
      </w:pPr>
      <w:r>
        <w:rPr>
          <w:rFonts w:ascii="Times New Roman" w:hAnsi="Times New Roman"/>
          <w:b w:val="0"/>
          <w:i w:val="0"/>
          <w:sz w:val="24"/>
        </w:rPr>
        <w:t>A critical innovation in our framework is the canonical feature alignment engine implemented in datasets.py. Across the 208 hospital partitions in eICU, local feature parquets exhibit significant schema heterogeneity caused by differences in hospital laboratory equipment, formulary offerings, and measurement frequency. For example, Hospital 102 recorded 46 time-series columns, whereas Hospital 108 recorded 56 columns. Direct neural ingestion across these disparate matrices would cause fatal parameter dimension mismatches in federated averaging.</w:t>
      </w:r>
    </w:p>
    <w:p>
      <w:pPr>
        <w:spacing w:after="120" w:before="0" w:line="276" w:lineRule="auto"/>
        <w:jc w:val="both"/>
      </w:pPr>
      <w:r>
        <w:rPr>
          <w:rFonts w:ascii="Times New Roman" w:hAnsi="Times New Roman"/>
          <w:b w:val="0"/>
          <w:i w:val="0"/>
          <w:sz w:val="24"/>
        </w:rPr>
        <w:t>To resolve this, we established two canonical schema registries: canonical_tabular_features.json (67 variables) and canonical_timeseries_features.json (74 variables). When EICUTabularDataset and EICUTimeSeriesDataset instantiate on any hospital directory, the dataset reads the local parquet, aligns columns against the canonical list in fixed order, imputes unobserved features with 0.0 (which mathematically corresponds to the population mean in standardized z-score space), and discards extraneous non-canonical columns. This guarantees that every hospital client in the federation outputs tensors of identical shapes: (B, 67) for tabular data and (B, 48, 74) for time-series sequences.</w:t>
      </w:r>
    </w:p>
    <w:p>
      <w:pPr>
        <w:keepNext/>
        <w:spacing w:before="320" w:after="160" w:line="276" w:lineRule="auto"/>
        <w:jc w:val="left"/>
      </w:pPr>
      <w:r>
        <w:rPr>
          <w:rFonts w:ascii="Times New Roman" w:hAnsi="Times New Roman"/>
          <w:b/>
          <w:color w:val="000000"/>
          <w:sz w:val="28"/>
        </w:rPr>
        <w:t>4.3 Modality-Specific Feature Learning</w:t>
      </w:r>
    </w:p>
    <w:p>
      <w:pPr>
        <w:keepNext/>
        <w:spacing w:before="240" w:after="120" w:line="276" w:lineRule="auto"/>
        <w:jc w:val="left"/>
      </w:pPr>
      <w:r>
        <w:rPr>
          <w:rFonts w:ascii="Times New Roman" w:hAnsi="Times New Roman"/>
          <w:b/>
          <w:color w:val="000000"/>
          <w:sz w:val="26"/>
        </w:rPr>
        <w:t>4.3.1 Tabular MLP Encoder (TabularEncoder)</w:t>
      </w:r>
    </w:p>
    <w:p>
      <w:pPr>
        <w:spacing w:after="120" w:before="0" w:line="276" w:lineRule="auto"/>
        <w:jc w:val="both"/>
      </w:pPr>
      <w:r>
        <w:rPr>
          <w:rFonts w:ascii="Times New Roman" w:hAnsi="Times New Roman"/>
          <w:b w:val="0"/>
          <w:i w:val="0"/>
          <w:sz w:val="24"/>
        </w:rPr>
        <w:t>The 67-dimensional static vector x_tab is processed through a 3-layer Multi-Layer Perceptron (MLP). The architecture consists of: Linear(67 → 64) → LayerNorm → ReLU → Dropout(0.2) → Linear(64 → 64) → LayerNorm → ReLU. Layer normalization is selected over batch normalization to ensure numerical stability under variable federated batch sizes. The encoder compresses baseline clinical demographics into a compact latent embedding h_tab ∈ ℝ⁶⁴.</w:t>
      </w:r>
    </w:p>
    <w:p>
      <w:pPr>
        <w:keepNext/>
        <w:spacing w:before="240" w:after="120" w:line="276" w:lineRule="auto"/>
        <w:jc w:val="left"/>
      </w:pPr>
      <w:r>
        <w:rPr>
          <w:rFonts w:ascii="Times New Roman" w:hAnsi="Times New Roman"/>
          <w:b/>
          <w:color w:val="000000"/>
          <w:sz w:val="26"/>
        </w:rPr>
        <w:t>4.3.2 Tabular Autoencoder (Self-Supervised Pre-Training)</w:t>
      </w:r>
    </w:p>
    <w:p>
      <w:pPr>
        <w:spacing w:after="120" w:before="0" w:line="276" w:lineRule="auto"/>
        <w:jc w:val="both"/>
      </w:pPr>
      <w:r>
        <w:rPr>
          <w:rFonts w:ascii="Times New Roman" w:hAnsi="Times New Roman"/>
          <w:b w:val="0"/>
          <w:i w:val="0"/>
          <w:sz w:val="24"/>
        </w:rPr>
        <w:t>For self-supervised pre-training, a symmetric decoder maps h_tab back to ℝ⁶⁷ through: Linear(64 → 64) → ReLU → Linear(64 → 67), optimized via Mean Squared Error (MSE) reconstruction loss. This autoencoder pre-training step enables the tabular encoder to learn clinically meaningful feature correlations before downstream supervised fine-tuning.</w:t>
      </w:r>
    </w:p>
    <w:p>
      <w:pPr>
        <w:keepNext/>
        <w:spacing w:before="240" w:after="120" w:line="276" w:lineRule="auto"/>
        <w:jc w:val="left"/>
      </w:pPr>
      <w:r>
        <w:rPr>
          <w:rFonts w:ascii="Times New Roman" w:hAnsi="Times New Roman"/>
          <w:b/>
          <w:color w:val="000000"/>
          <w:sz w:val="26"/>
        </w:rPr>
        <w:t>4.3.3 Temporal LSTM Encoder (TimeSeriesLSTM)</w:t>
      </w:r>
    </w:p>
    <w:p>
      <w:pPr>
        <w:spacing w:after="120" w:before="0" w:line="276" w:lineRule="auto"/>
        <w:jc w:val="both"/>
      </w:pPr>
      <w:r>
        <w:rPr>
          <w:rFonts w:ascii="Times New Roman" w:hAnsi="Times New Roman"/>
          <w:b w:val="0"/>
          <w:i w:val="0"/>
          <w:sz w:val="24"/>
        </w:rPr>
        <w:t>The dynamic time-series matrix X_ts ∈ ℝ^(T × 74) captures sequential physiological measurements across hourly intervals T ≤ 48. To efficiently process sequences of variable length without computing gradients over padded zero-tokens, the dataset returns the true unpadded sequence length Lᵢ. The sequences are packed using PyTorch’s pack_padded_sequence and fed into a 2-layer Long Short-Term Memory (LSTM) network with hidden dimension 64 and recurrent dropout 0.2. The final valid hidden state of the top LSTM layer is extracted and passed through a linear projection layer with LayerNorm to yield the temporal patient embedding h_ts ∈ ℝ⁶⁴.</w:t>
      </w:r>
    </w:p>
    <w:p>
      <w:pPr>
        <w:keepNext/>
        <w:spacing w:before="320" w:after="160" w:line="276" w:lineRule="auto"/>
        <w:jc w:val="left"/>
      </w:pPr>
      <w:r>
        <w:rPr>
          <w:rFonts w:ascii="Times New Roman" w:hAnsi="Times New Roman"/>
          <w:b/>
          <w:color w:val="000000"/>
          <w:sz w:val="28"/>
        </w:rPr>
        <w:t>4.4 Multimodal Non-Linear Fusion Layer</w:t>
      </w:r>
    </w:p>
    <w:p>
      <w:pPr>
        <w:spacing w:after="120" w:before="0" w:line="276" w:lineRule="auto"/>
        <w:jc w:val="both"/>
      </w:pPr>
      <w:r>
        <w:rPr>
          <w:rFonts w:ascii="Times New Roman" w:hAnsi="Times New Roman"/>
          <w:b w:val="0"/>
          <w:i w:val="0"/>
          <w:sz w:val="24"/>
        </w:rPr>
        <w:t>To construct a coherent patient state representation, the learned static embedding h_tab and temporal embedding h_ts must be synthesized. The MultimodalFusion module executes intermediate fusion:</w:t>
      </w:r>
    </w:p>
    <w:p>
      <w:pPr>
        <w:spacing w:after="160" w:before="0" w:line="276" w:lineRule="auto"/>
        <w:jc w:val="center"/>
      </w:pPr>
      <w:r>
        <w:rPr>
          <w:rFonts w:ascii="Times New Roman" w:hAnsi="Times New Roman"/>
          <w:b w:val="0"/>
          <w:i/>
          <w:sz w:val="22"/>
        </w:rPr>
        <w:t xml:space="preserve">    h_concat = [h_tab || h_ts] ∈ ℝ¹²⁸</w:t>
      </w:r>
    </w:p>
    <w:p>
      <w:pPr>
        <w:spacing w:after="120" w:before="0" w:line="276" w:lineRule="auto"/>
        <w:jc w:val="both"/>
      </w:pPr>
      <w:r>
        <w:rPr>
          <w:rFonts w:ascii="Times New Roman" w:hAnsi="Times New Roman"/>
          <w:b w:val="0"/>
          <w:i w:val="0"/>
          <w:sz w:val="24"/>
        </w:rPr>
        <w:t>The concatenated vector is passed through a non-linear smoothing projection block: Linear(128 → 128) → BatchNorm1d(128) → ReLU → Dropout(0.2) → Linear(128 → 128). This projection layer enables the model to learn complex cross-modal interactions (e.g., how baseline age moderates the clinical significance of acute tachycardia), yielding a unified patient embedding zᵢ ∈ ℝ¹²⁸ for each patient admission i.</w:t>
      </w:r>
    </w:p>
    <w:p>
      <w:pPr>
        <w:keepNext/>
        <w:spacing w:before="320" w:after="160" w:line="276" w:lineRule="auto"/>
        <w:jc w:val="left"/>
      </w:pPr>
      <w:r>
        <w:rPr>
          <w:rFonts w:ascii="Times New Roman" w:hAnsi="Times New Roman"/>
          <w:b/>
          <w:color w:val="000000"/>
          <w:sz w:val="28"/>
        </w:rPr>
        <w:t>4.5 Intra-Hospital Patient Graph Construction Algorithm</w:t>
      </w:r>
    </w:p>
    <w:p>
      <w:pPr>
        <w:spacing w:after="120" w:before="0" w:line="276" w:lineRule="auto"/>
        <w:jc w:val="both"/>
      </w:pPr>
      <w:r>
        <w:rPr>
          <w:rFonts w:ascii="Times New Roman" w:hAnsi="Times New Roman"/>
          <w:b w:val="0"/>
          <w:i w:val="0"/>
          <w:sz w:val="24"/>
        </w:rPr>
        <w:t>Unlike standard healthcare models that treat patients as isolated entities, clinical pathology is profoundly relational. Patients with similar acute phenotypes exhibit correlated mortality risks. Within each hospital Hₖ, an intra-hospital patient similarity graph Gₖ = (Vₖ, Eₖ) is dynamically constructed:</w:t>
      </w:r>
    </w:p>
    <w:p>
      <w:pPr>
        <w:spacing w:after="120" w:before="0" w:line="276" w:lineRule="auto"/>
        <w:jc w:val="both"/>
      </w:pPr>
      <w:r>
        <w:rPr>
          <w:rFonts w:ascii="Times New Roman" w:hAnsi="Times New Roman"/>
          <w:b w:val="0"/>
          <w:i w:val="0"/>
          <w:sz w:val="24"/>
        </w:rPr>
        <w:t>• Node Set Vₖ: Each node vᵢ ∈ Vₖ represents a patient admission i in hospital Hₖ, with initial node feature vector zᵢ ∈ ℝ¹²⁸.</w:t>
        <w:br/>
        <w:t>• Edge Construction via k-NN: For each patient i in Vₖ, pairwise cosine similarity scores are computed against all other patients j in Vₖ within the batch:</w:t>
        <w:br/>
        <w:br/>
        <w:t xml:space="preserve">    S_cos(zᵢ, zⱼ) = (zᵢ · zⱼ) / (‖zᵢ‖₂ · ‖zⱼ‖₂)</w:t>
        <w:br/>
        <w:br/>
        <w:t>Directed edges are formed from node i to its top-k nearest neighbors (default: k=5). To ensure bidirectional message passing, the adjacency graph is converted to an undirected graph by adding reciprocal edges. Self-loops (i, i) are appended to preserve ego-features.</w:t>
      </w:r>
    </w:p>
    <w:p>
      <w:pPr>
        <w:spacing w:after="120" w:before="0" w:line="276" w:lineRule="auto"/>
        <w:jc w:val="both"/>
      </w:pPr>
      <w:r>
        <w:rPr>
          <w:rFonts w:ascii="Times New Roman" w:hAnsi="Times New Roman"/>
          <w:b w:val="0"/>
          <w:i w:val="0"/>
          <w:sz w:val="24"/>
        </w:rPr>
        <w:t>• Privacy Invariance Guarantee: Because the graph construction algorithm operates exclusively on patient batches originating within the same hospital directory, cross-hospital edges are mathematically impossible. Patient similarity relations exist strictly behind institutional firewalls.</w:t>
      </w:r>
    </w:p>
    <w:p>
      <w:pPr>
        <w:keepNext/>
        <w:spacing w:before="320" w:after="160" w:line="276" w:lineRule="auto"/>
        <w:jc w:val="left"/>
      </w:pPr>
      <w:r>
        <w:rPr>
          <w:rFonts w:ascii="Times New Roman" w:hAnsi="Times New Roman"/>
          <w:b/>
          <w:color w:val="000000"/>
          <w:sz w:val="28"/>
        </w:rPr>
        <w:t>4.6 Graph Representation Learning with PatientGNN</w:t>
      </w:r>
    </w:p>
    <w:p>
      <w:pPr>
        <w:spacing w:after="120" w:before="0" w:line="276" w:lineRule="auto"/>
        <w:jc w:val="both"/>
      </w:pPr>
      <w:r>
        <w:rPr>
          <w:rFonts w:ascii="Times New Roman" w:hAnsi="Times New Roman"/>
          <w:b w:val="0"/>
          <w:i w:val="0"/>
          <w:sz w:val="24"/>
        </w:rPr>
        <w:t>Once the patient similarity graph Gₖ is assembled, localized graph representation learning is executed by PatientGNN. The module supports three prominent GNN architectures:</w:t>
      </w:r>
    </w:p>
    <w:p>
      <w:pPr>
        <w:spacing w:after="120" w:before="0" w:line="276" w:lineRule="auto"/>
        <w:jc w:val="both"/>
      </w:pPr>
      <w:r>
        <w:rPr>
          <w:rFonts w:ascii="Times New Roman" w:hAnsi="Times New Roman"/>
          <w:b w:val="0"/>
          <w:i w:val="0"/>
          <w:sz w:val="24"/>
        </w:rPr>
        <w:t>1. GraphSAGE (Sample and Aggregate): For each node vᵢ, neighborhood aggregation is computed via mean-pooling with residual skip connections. The final representation combines self-embedding and aggregated neighbor representations through learned weight matrices.</w:t>
        <w:br/>
        <w:br/>
        <w:t>2. Graph Attention Networks (GAT): GAT dynamically attends to neighboring patients by calculating normalized attention coefficients αᵢⱼ, weighting neighbors with higher phenotypic relevance more heavily.</w:t>
        <w:br/>
        <w:br/>
        <w:t>3. Graph Convolutional Networks (GCN): Computes normalized first-order spectral convolutions using symmetric normalized graph Laplacians.</w:t>
      </w:r>
    </w:p>
    <w:p>
      <w:pPr>
        <w:spacing w:after="120" w:before="0" w:line="276" w:lineRule="auto"/>
        <w:jc w:val="both"/>
      </w:pPr>
      <w:r>
        <w:rPr>
          <w:rFonts w:ascii="Times New Roman" w:hAnsi="Times New Roman"/>
          <w:b w:val="0"/>
          <w:i w:val="0"/>
          <w:sz w:val="24"/>
        </w:rPr>
        <w:t>PatientGNN incorporates residual skip projections around each graph layer, batch normalization, and safe fallback handling for empty edge graphs (e.g., isolated single-patient admissions), transforming the 128D fused embeddings into 64D graph-enhanced representations gᵢ ∈ ℝ⁶⁴.</w:t>
      </w:r>
    </w:p>
    <w:p>
      <w:pPr>
        <w:keepNext/>
        <w:spacing w:before="320" w:after="160" w:line="276" w:lineRule="auto"/>
        <w:jc w:val="left"/>
      </w:pPr>
      <w:r>
        <w:rPr>
          <w:rFonts w:ascii="Times New Roman" w:hAnsi="Times New Roman"/>
          <w:b/>
          <w:color w:val="000000"/>
          <w:sz w:val="28"/>
        </w:rPr>
        <w:t>4.7 Multi-Task Dual Prediction Heads</w:t>
      </w:r>
    </w:p>
    <w:p>
      <w:pPr>
        <w:spacing w:after="120" w:before="0" w:line="276" w:lineRule="auto"/>
        <w:jc w:val="both"/>
      </w:pPr>
      <w:r>
        <w:rPr>
          <w:rFonts w:ascii="Times New Roman" w:hAnsi="Times New Roman"/>
          <w:b w:val="0"/>
          <w:i w:val="0"/>
          <w:sz w:val="24"/>
        </w:rPr>
        <w:t>Attached directly to the graph-enhanced embeddings gᵢ ∈ ℝ⁶⁴, the MultiTaskPredictionHeads module performs simultaneous risk stratification for two clinical endpoints:</w:t>
        <w:br/>
        <w:br/>
        <w:t>• Task 1 — In-Hospital Mortality Head: A 2-layer MLP with BatchNorm and Dropout computing mortality logits: ŷ_mort = W₂ · ReLU(BatchNorm(W₁ · gᵢ)) + b₂</w:t>
        <w:br/>
        <w:br/>
        <w:t>• Task 2 — Sepsis/ICU Mortality Head: An identical independent prediction head computing sepsis risk logits: ŷ_seps = W′₂ · ReLU(BatchNorm(W′₁ · gᵢ)) + b′₂</w:t>
        <w:br/>
        <w:br/>
        <w:t>Both heads output unbounded real-valued logits suitable for numerically stable binary cross-entropy computation via PyTorch’s BCEWithLogitsLoss.</w:t>
      </w:r>
    </w:p>
    <w:p>
      <w:pPr>
        <w:keepNext/>
        <w:spacing w:before="320" w:after="160" w:line="276" w:lineRule="auto"/>
        <w:jc w:val="left"/>
      </w:pPr>
      <w:r>
        <w:rPr>
          <w:rFonts w:ascii="Times New Roman" w:hAnsi="Times New Roman"/>
          <w:b/>
          <w:color w:val="000000"/>
          <w:sz w:val="28"/>
        </w:rPr>
        <w:t>4.8 Joint Multi-Task Objective with Imbalance Weighting</w:t>
      </w:r>
    </w:p>
    <w:p>
      <w:pPr>
        <w:spacing w:after="120" w:before="0" w:line="276" w:lineRule="auto"/>
        <w:jc w:val="both"/>
      </w:pPr>
      <w:r>
        <w:rPr>
          <w:rFonts w:ascii="Times New Roman" w:hAnsi="Times New Roman"/>
          <w:b w:val="0"/>
          <w:i w:val="0"/>
          <w:sz w:val="24"/>
        </w:rPr>
        <w:t>In critical care populations, adverse outcomes are severely imbalanced: in-hospital mortality and sepsis typically occur in only 8% to 15% of admissions. Standard unweighted cross-entropy loss causes gradient starvation for the minority positive class. To counteract this, MultiTaskLoss incorporates positive-class weighting (pos_weight = 3.0):</w:t>
      </w:r>
    </w:p>
    <w:p>
      <w:pPr>
        <w:spacing w:after="160" w:before="0" w:line="276" w:lineRule="auto"/>
        <w:jc w:val="center"/>
      </w:pPr>
      <w:r>
        <w:rPr>
          <w:rFonts w:ascii="Times New Roman" w:hAnsi="Times New Roman"/>
          <w:b w:val="0"/>
          <w:i/>
          <w:sz w:val="22"/>
        </w:rPr>
        <w:t xml:space="preserve">    L_task(ŷ, y) = −[pos_weight · y · log(σ(ŷ)) + (1−y) · log(1−σ(ŷ))]</w:t>
      </w:r>
    </w:p>
    <w:p>
      <w:pPr>
        <w:spacing w:after="120" w:before="0" w:line="276" w:lineRule="auto"/>
        <w:jc w:val="both"/>
      </w:pPr>
      <w:r>
        <w:rPr>
          <w:rFonts w:ascii="Times New Roman" w:hAnsi="Times New Roman"/>
          <w:b w:val="0"/>
          <w:i w:val="0"/>
          <w:sz w:val="24"/>
        </w:rPr>
        <w:t>The overall multi-task training objective is formulated as:</w:t>
        <w:br/>
        <w:br/>
        <w:t xml:space="preserve">    L_total = w_mort · L_mort + w_seps · L_seps</w:t>
        <w:br/>
        <w:br/>
        <w:t>where w_mort = 1.0 and w_seps = 1.0. Gradients from L_total backpropagate jointly through the Prediction Heads, PatientGNN, Multimodal Fusion, and both Modality Encoders via end-to-end gradient descent.</w:t>
      </w:r>
    </w:p>
    <w:p>
      <w:r>
        <w:br w:type="page"/>
      </w:r>
    </w:p>
    <w:p>
      <w:pPr>
        <w:keepNext/>
        <w:spacing w:before="480" w:after="240" w:line="276" w:lineRule="auto"/>
        <w:jc w:val="center"/>
      </w:pPr>
      <w:r>
        <w:rPr>
          <w:rFonts w:ascii="Times New Roman" w:hAnsi="Times New Roman"/>
          <w:b/>
          <w:color w:val="000000"/>
          <w:sz w:val="32"/>
        </w:rPr>
        <w:t>CHAPTER 5</w:t>
        <w:br/>
        <w:t>PROPOSED ALGORITHMS</w:t>
      </w:r>
    </w:p>
    <w:p>
      <w:pPr>
        <w:keepNext/>
        <w:spacing w:before="320" w:after="160" w:line="276" w:lineRule="auto"/>
        <w:jc w:val="left"/>
      </w:pPr>
      <w:r>
        <w:rPr>
          <w:rFonts w:ascii="Times New Roman" w:hAnsi="Times New Roman"/>
          <w:b/>
          <w:color w:val="000000"/>
          <w:sz w:val="28"/>
        </w:rPr>
        <w:t>5.1 Algorithm 1: Client-Side Local Multimodal Graph Training</w:t>
      </w:r>
    </w:p>
    <w:p>
      <w:pPr>
        <w:spacing w:after="120" w:before="0" w:line="276" w:lineRule="auto"/>
        <w:jc w:val="both"/>
      </w:pPr>
      <w:r>
        <w:rPr>
          <w:rFonts w:ascii="Times New Roman" w:hAnsi="Times New Roman"/>
          <w:b w:val="0"/>
          <w:i w:val="0"/>
          <w:sz w:val="24"/>
        </w:rPr>
        <w:t>Algorithm 1 details the execution flow carried out privately within each participating hospital client Hₖ during communication round t. The hospital receives global model weights W_t from the server, clones them into a local model instance, constructs its private patient graph, and computes local updates without transmitting raw clinical records.</w:t>
      </w:r>
    </w:p>
    <w:p>
      <w:pPr>
        <w:spacing w:after="360" w:before="0" w:line="240" w:lineRule="auto"/>
        <w:jc w:val="left"/>
      </w:pPr>
      <w:r>
        <w:rPr>
          <w:rFonts w:ascii="Times New Roman" w:hAnsi="Times New Roman"/>
          <w:b w:val="0"/>
          <w:i w:val="0"/>
          <w:sz w:val="19"/>
        </w:rPr>
        <w:t>Algorithm 1: Local Client Training at Hospital H_k</w:t>
        <w:br/>
        <w:t>────────────────────────────────────────────────────────────</w:t>
        <w:br/>
        <w:t>Input: Global parameters W_t, local D_tab^(k), D_ts^(k),</w:t>
        <w:br/>
        <w:t xml:space="preserve">       local epochs E, batch size B, learning rate η</w:t>
        <w:br/>
        <w:t>Output: Updated local parameters W_k^(t+1), patient count N_k</w:t>
        <w:br/>
        <w:t>────────────────────────────────────────────────────────────</w:t>
        <w:br/>
        <w:t xml:space="preserve"> 1: Initialize local model M_k with parameters W_t</w:t>
        <w:br/>
        <w:t xml:space="preserve"> 2: Align D_tab^(k), D_ts^(k) to canonical features (67, 74)</w:t>
        <w:br/>
        <w:t xml:space="preserve"> 3: Set step=0, optimizer=Adam(M_k, lr=η, wd=1e-5)</w:t>
        <w:br/>
        <w:t xml:space="preserve"> 4: for epoch = 1 to E do</w:t>
        <w:br/>
        <w:t xml:space="preserve"> 5:   for batch (x_tab, y), (X_ts, lens) in DataLoader do</w:t>
        <w:br/>
        <w:t xml:space="preserve"> 6:     if batch_size &lt; 2 then continue</w:t>
        <w:br/>
        <w:t xml:space="preserve"> 7:     h_tab ← TabularEncoder(x_tab)    // 67D → 64D</w:t>
        <w:br/>
        <w:t xml:space="preserve"> 8:     h_ts  ← TimeSeriesLSTM(X_ts, lens) // T×74D → 64D</w:t>
        <w:br/>
        <w:t xml:space="preserve"> 9:     z ← MultimodalFusion(h_tab, h_ts) // 128D → 128D</w:t>
        <w:br/>
        <w:t>10:     edges ← build_knn_graph(z, k=5, cosine)</w:t>
        <w:br/>
        <w:t>11:     g ← PatientGNN(z, edges)       // 128D → 64D</w:t>
        <w:br/>
        <w:t>12:     ŷ_m, ŷ_s ← MultiTaskHeads(g)</w:t>
        <w:br/>
        <w:t>13:     loss ← MultiTaskLoss(ŷ_m, ŷ_s, y, pw=3.0)</w:t>
        <w:br/>
        <w:t>14:     optimizer.zero_grad(); loss.backward()</w:t>
        <w:br/>
        <w:t>15:     clip_grad_norm_(M_k, max_norm=5.0)</w:t>
        <w:br/>
        <w:t>16:     optimizer.step(); step += 1</w:t>
        <w:br/>
        <w:t>17:     if step ≥ S_max then break</w:t>
        <w:br/>
        <w:t>18: return M_k.state_dict(), len(D_tab^(k))</w:t>
        <w:br/>
        <w:t>────────────────────────────────────────────────────────────</w:t>
      </w:r>
    </w:p>
    <w:p>
      <w:pPr>
        <w:keepNext/>
        <w:spacing w:before="320" w:after="160" w:line="276" w:lineRule="auto"/>
        <w:jc w:val="left"/>
      </w:pPr>
      <w:r>
        <w:rPr>
          <w:rFonts w:ascii="Times New Roman" w:hAnsi="Times New Roman"/>
          <w:b/>
          <w:color w:val="000000"/>
          <w:sz w:val="28"/>
        </w:rPr>
        <w:t>5.2 Algorithm 2: Server-Side Federated Averaging Coordination</w:t>
      </w:r>
    </w:p>
    <w:p>
      <w:pPr>
        <w:spacing w:after="120" w:before="0" w:line="276" w:lineRule="auto"/>
        <w:jc w:val="both"/>
      </w:pPr>
      <w:r>
        <w:rPr>
          <w:rFonts w:ascii="Times New Roman" w:hAnsi="Times New Roman"/>
          <w:b w:val="0"/>
          <w:i w:val="0"/>
          <w:sz w:val="24"/>
        </w:rPr>
        <w:t>Algorithm 2 details the server-side aggregation protocol. Across each communication round, the server samples a fraction of hospital clients, collects their local model weights, and executes sample-weighted Federated Averaging (FedAvg).</w:t>
      </w:r>
    </w:p>
    <w:p>
      <w:pPr>
        <w:spacing w:after="360" w:before="0" w:line="240" w:lineRule="auto"/>
        <w:jc w:val="left"/>
      </w:pPr>
      <w:r>
        <w:rPr>
          <w:rFonts w:ascii="Times New Roman" w:hAnsi="Times New Roman"/>
          <w:b w:val="0"/>
          <w:i w:val="0"/>
          <w:sz w:val="19"/>
        </w:rPr>
        <w:t>Algorithm 2: Central Server FedAvg Orchestration</w:t>
        <w:br/>
        <w:t>────────────────────────────────────────────────────────────</w:t>
        <w:br/>
        <w:t>Input: Rounds R, hospitals K=207, sampling fraction C,</w:t>
        <w:br/>
        <w:t xml:space="preserve">       held-out validation set H_val</w:t>
        <w:br/>
        <w:t>Output: Optimal global parameters W*</w:t>
        <w:br/>
        <w:t>────────────────────────────────────────────────────────────</w:t>
        <w:br/>
        <w:t xml:space="preserve"> 1: Initialize W_0 with random orthogonal weights</w:t>
        <w:br/>
        <w:t xml:space="preserve"> 2: Split H into H_train (176) and H_val (31)</w:t>
        <w:br/>
        <w:t xml:space="preserve"> 3: for round t = 1 to R do</w:t>
        <w:br/>
        <w:t xml:space="preserve"> 4:   m ← max(1, int(C · |H_train|))</w:t>
        <w:br/>
        <w:t xml:space="preserve"> 5:   S_t ← RandomSample(H_train, m)</w:t>
        <w:br/>
        <w:t xml:space="preserve"> 6:   updates ← []</w:t>
        <w:br/>
        <w:t xml:space="preserve"> 7:   for each H_k in S_t do  // in parallel</w:t>
        <w:br/>
        <w:t xml:space="preserve"> 8:     W_k, n_k ← ClientUpdate(H_k, W_{t-1})</w:t>
        <w:br/>
        <w:t xml:space="preserve"> 9:     updates.append((W_k, n_k))</w:t>
        <w:br/>
        <w:t>10:   N_round ← ∑ n_k for all (W_k, n_k) in updates</w:t>
        <w:br/>
        <w:t>11:   W_t ← ∑ (n_k/N_round) · W_k  // FedAvg</w:t>
        <w:br/>
        <w:t>12:   metrics ← Evaluate(W_t, H_val)</w:t>
        <w:br/>
        <w:t>13:   if metrics.loss &lt; best_loss then</w:t>
        <w:br/>
        <w:t>14:     SaveCheckpoint(W_t, 'global_model.pth')</w:t>
        <w:br/>
        <w:t>15: return W*</w:t>
        <w:br/>
        <w:t>────────────────────────────────────────────────────────────</w:t>
      </w:r>
    </w:p>
    <w:p>
      <w:r>
        <w:br w:type="page"/>
      </w:r>
    </w:p>
    <w:p>
      <w:pPr>
        <w:keepNext/>
        <w:spacing w:before="480" w:after="240" w:line="276" w:lineRule="auto"/>
        <w:jc w:val="center"/>
      </w:pPr>
      <w:r>
        <w:rPr>
          <w:rFonts w:ascii="Times New Roman" w:hAnsi="Times New Roman"/>
          <w:b/>
          <w:color w:val="000000"/>
          <w:sz w:val="32"/>
        </w:rPr>
        <w:t>CHAPTER 6</w:t>
        <w:br/>
        <w:t>PROPOSED FLOWCHART, BLOCK DIAGRAM, AND DFD</w:t>
      </w:r>
    </w:p>
    <w:p>
      <w:pPr>
        <w:keepNext/>
        <w:spacing w:before="320" w:after="160" w:line="276" w:lineRule="auto"/>
        <w:jc w:val="left"/>
      </w:pPr>
      <w:r>
        <w:rPr>
          <w:rFonts w:ascii="Times New Roman" w:hAnsi="Times New Roman"/>
          <w:b/>
          <w:color w:val="000000"/>
          <w:sz w:val="28"/>
        </w:rPr>
        <w:t>6.1 System Architectural Block Diagram</w:t>
      </w:r>
    </w:p>
    <w:p>
      <w:pPr>
        <w:spacing w:after="120" w:before="0" w:line="276" w:lineRule="auto"/>
        <w:jc w:val="both"/>
      </w:pPr>
      <w:r>
        <w:rPr>
          <w:rFonts w:ascii="Times New Roman" w:hAnsi="Times New Roman"/>
          <w:b w:val="0"/>
          <w:i w:val="0"/>
          <w:sz w:val="24"/>
        </w:rPr>
        <w:t>Figure 1 illustrates the high-level system architecture of the Federated Multimodal Graph Learning framework. The architecture is bifurcated into two primary domains: (i) the Central Federated Server responsible for parameter distribution, FedAvg aggregation, and validation monitoring, and (ii) Decentralized Hospital Clients operating behind institutional firewalls. Each hospital client autonomously processes local patient parquets, extracts static and temporal representations, constructs local patient similarity graphs, and optimizes local model weights. Crucially, raw Protected Health Information (PHI) is strictly compartmentalized; only parameter vectors are transmitted.</w:t>
      </w:r>
    </w:p>
    <w:p>
      <w:pPr>
        <w:spacing w:before="200" w:after="80"/>
        <w:jc w:val="center"/>
      </w:pPr>
      <w:r>
        <w:drawing>
          <wp:inline xmlns:a="http://schemas.openxmlformats.org/drawingml/2006/main" xmlns:pic="http://schemas.openxmlformats.org/drawingml/2006/picture">
            <wp:extent cx="5303520" cy="3288182"/>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303520" cy="3288182"/>
                    </a:xfrm>
                    <a:prstGeom prst="rect"/>
                  </pic:spPr>
                </pic:pic>
              </a:graphicData>
            </a:graphic>
          </wp:inline>
        </w:drawing>
      </w:r>
    </w:p>
    <w:p>
      <w:pPr>
        <w:spacing w:before="120" w:after="320"/>
        <w:jc w:val="center"/>
      </w:pPr>
      <w:r>
        <w:rPr>
          <w:rFonts w:ascii="Times New Roman" w:hAnsi="Times New Roman"/>
          <w:b/>
          <w:sz w:val="22"/>
        </w:rPr>
        <w:t>Figure 1: Federated Multimodal Graph Learning End-to-End System Architecture</w:t>
      </w:r>
    </w:p>
    <w:p>
      <w:pPr>
        <w:keepNext/>
        <w:spacing w:before="320" w:after="160" w:line="276" w:lineRule="auto"/>
        <w:jc w:val="left"/>
      </w:pPr>
      <w:r>
        <w:rPr>
          <w:rFonts w:ascii="Times New Roman" w:hAnsi="Times New Roman"/>
          <w:b/>
          <w:color w:val="000000"/>
          <w:sz w:val="28"/>
        </w:rPr>
        <w:t>6.2 Data Flow Diagram (DFD Level 0 &amp; Level 1)</w:t>
      </w:r>
    </w:p>
    <w:p>
      <w:pPr>
        <w:spacing w:after="120" w:before="0" w:line="276" w:lineRule="auto"/>
        <w:jc w:val="both"/>
      </w:pPr>
      <w:r>
        <w:rPr>
          <w:rFonts w:ascii="Times New Roman" w:hAnsi="Times New Roman"/>
          <w:b w:val="0"/>
          <w:i w:val="0"/>
          <w:sz w:val="24"/>
        </w:rPr>
        <w:t>Figure 2 presents the Data Flow Diagram (DFD) delineating the lifecycle of clinical records. At Level 0 (Context Level), the raw eICU repository is partitioned across 207 autonomous multi-modal hospital sites. At Level 1 (Functional Pipeline), data within each hospital is bifurcated into Static Tabular (67D) and Dynamic Temporal (74D) streams. Encoders generate latent embeddings, the intermediate fusion layer constructs unified 128D representations, the k-NN graph builder links clinically correlated patients, and PatientGNN computes contextual graph representations feeding the mortality and sepsis prediction heads.</w:t>
      </w:r>
    </w:p>
    <w:p>
      <w:pPr>
        <w:spacing w:before="200" w:after="80"/>
        <w:jc w:val="center"/>
      </w:pPr>
      <w:r>
        <w:drawing>
          <wp:inline xmlns:a="http://schemas.openxmlformats.org/drawingml/2006/main" xmlns:pic="http://schemas.openxmlformats.org/drawingml/2006/picture">
            <wp:extent cx="5303520" cy="2916936"/>
            <wp:docPr id="2" name="Picture 2"/>
            <wp:cNvGraphicFramePr>
              <a:graphicFrameLocks noChangeAspect="1"/>
            </wp:cNvGraphicFramePr>
            <a:graphic>
              <a:graphicData uri="http://schemas.openxmlformats.org/drawingml/2006/picture">
                <pic:pic>
                  <pic:nvPicPr>
                    <pic:cNvPr id="0" name="fig2_data_flow_diagram.png"/>
                    <pic:cNvPicPr/>
                  </pic:nvPicPr>
                  <pic:blipFill>
                    <a:blip r:embed="rId10"/>
                    <a:stretch>
                      <a:fillRect/>
                    </a:stretch>
                  </pic:blipFill>
                  <pic:spPr>
                    <a:xfrm>
                      <a:off x="0" y="0"/>
                      <a:ext cx="5303520" cy="2916936"/>
                    </a:xfrm>
                    <a:prstGeom prst="rect"/>
                  </pic:spPr>
                </pic:pic>
              </a:graphicData>
            </a:graphic>
          </wp:inline>
        </w:drawing>
      </w:r>
    </w:p>
    <w:p>
      <w:pPr>
        <w:spacing w:before="120" w:after="320"/>
        <w:jc w:val="center"/>
      </w:pPr>
      <w:r>
        <w:rPr>
          <w:rFonts w:ascii="Times New Roman" w:hAnsi="Times New Roman"/>
          <w:b/>
          <w:sz w:val="22"/>
        </w:rPr>
        <w:t>Figure 2: Data Flow Diagram (Level 0 Context and Level 1 Functional Pipeline)</w:t>
      </w:r>
    </w:p>
    <w:p>
      <w:pPr>
        <w:keepNext/>
        <w:spacing w:before="320" w:after="160" w:line="276" w:lineRule="auto"/>
        <w:jc w:val="left"/>
      </w:pPr>
      <w:r>
        <w:rPr>
          <w:rFonts w:ascii="Times New Roman" w:hAnsi="Times New Roman"/>
          <w:b/>
          <w:color w:val="000000"/>
          <w:sz w:val="28"/>
        </w:rPr>
        <w:t>6.3 Intra-Hospital Patient Graph Construction Flowchart</w:t>
      </w:r>
    </w:p>
    <w:p>
      <w:pPr>
        <w:spacing w:after="120" w:before="0" w:line="276" w:lineRule="auto"/>
        <w:jc w:val="both"/>
      </w:pPr>
      <w:r>
        <w:rPr>
          <w:rFonts w:ascii="Times New Roman" w:hAnsi="Times New Roman"/>
          <w:b w:val="0"/>
          <w:i w:val="0"/>
          <w:sz w:val="24"/>
        </w:rPr>
        <w:t>The algorithmic logic of intra-hospital patient graph assembly proceeds through three sequential phases:</w:t>
        <w:br/>
        <w:br/>
        <w:t>Phase 1 — Pairwise Cosine Similarity Computation: For an active patient batch Bₖ, normalized dot products Sᵢⱼ = (zᵢ · zⱼ) / (‖zᵢ‖ · ‖zⱼ‖) are computed across all pairs, forming an affinity matrix A ∈ ℝ^(|Bₖ| × |Bₖ|).</w:t>
        <w:br/>
        <w:br/>
        <w:t>Phase 2 — Top-k Neighbor Selection: For each node i, the top k=5 neighbors with the highest cosine affinity are extracted via torch.topk.</w:t>
        <w:br/>
        <w:br/>
        <w:t>Phase 3 — Undirected Symmetrization: Reciprocal edges are added to ensure symmetric message passing, followed by self-loop insertion. This structural topology is visualized in Figure 6 (Chapter 8), showing clear separation between stable patients and acute mortality risk clusters.</w:t>
      </w:r>
    </w:p>
    <w:p>
      <w:r>
        <w:br w:type="page"/>
      </w:r>
    </w:p>
    <w:p>
      <w:pPr>
        <w:keepNext/>
        <w:spacing w:before="480" w:after="240" w:line="276" w:lineRule="auto"/>
        <w:jc w:val="center"/>
      </w:pPr>
      <w:r>
        <w:rPr>
          <w:rFonts w:ascii="Times New Roman" w:hAnsi="Times New Roman"/>
          <w:b/>
          <w:color w:val="000000"/>
          <w:sz w:val="32"/>
        </w:rPr>
        <w:t>CHAPTER 7</w:t>
        <w:br/>
        <w:t>IMPLEMENTATION DETAILS &amp; TECHNOLOGY STACK</w:t>
      </w:r>
    </w:p>
    <w:p>
      <w:pPr>
        <w:keepNext/>
        <w:spacing w:before="320" w:after="160" w:line="276" w:lineRule="auto"/>
        <w:jc w:val="left"/>
      </w:pPr>
      <w:r>
        <w:rPr>
          <w:rFonts w:ascii="Times New Roman" w:hAnsi="Times New Roman"/>
          <w:b/>
          <w:color w:val="000000"/>
          <w:sz w:val="28"/>
        </w:rPr>
        <w:t>7.1 Hardware &amp; Software Environments</w:t>
      </w:r>
    </w:p>
    <w:p>
      <w:pPr>
        <w:spacing w:after="120" w:before="0" w:line="276" w:lineRule="auto"/>
        <w:jc w:val="both"/>
      </w:pPr>
      <w:r>
        <w:rPr>
          <w:rFonts w:ascii="Times New Roman" w:hAnsi="Times New Roman"/>
          <w:b w:val="0"/>
          <w:i w:val="0"/>
          <w:sz w:val="24"/>
        </w:rPr>
        <w:t>The complete software pipeline was developed and validated in a dedicated computational environment. The following table summarizes the hardware and software specifications:</w:t>
      </w:r>
    </w:p>
    <w:p>
      <w:pPr>
        <w:keepNext/>
        <w:spacing w:before="280" w:after="120"/>
        <w:jc w:val="center"/>
      </w:pPr>
      <w:r>
        <w:rPr>
          <w:rFonts w:ascii="Times New Roman" w:hAnsi="Times New Roman"/>
          <w:b/>
          <w:sz w:val="22"/>
        </w:rPr>
        <w:t>Table 3a: Hardware &amp; Software Environment Specifications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680"/>
        <w:gridCol w:w="4680"/>
      </w:tblGrid>
      <w:tr>
        <w:tc>
          <w:tcPr>
            <w:tcW w:type="dxa" w:w="4680"/>
            <w:vAlign w:val="center"/>
            <w:tcMar>
              <w:top w:w="60" w:type="dxa"/>
              <w:bottom w:w="60" w:type="dxa"/>
              <w:left w:w="100" w:type="dxa"/>
              <w:right w:w="100" w:type="dxa"/>
            </w:tcMar>
            <w:shd w:fill="1F3864"/>
          </w:tcPr>
          <w:p>
            <w:pPr>
              <w:jc w:val="center"/>
            </w:pPr>
            <w:r>
              <w:rPr>
                <w:rFonts w:ascii="Times New Roman" w:hAnsi="Times New Roman"/>
                <w:b/>
                <w:color w:val="FFFFFF"/>
                <w:sz w:val="20"/>
              </w:rPr>
              <w:t>Component</w:t>
            </w:r>
          </w:p>
        </w:tc>
        <w:tc>
          <w:tcPr>
            <w:tcW w:type="dxa" w:w="4680"/>
            <w:vAlign w:val="center"/>
            <w:tcMar>
              <w:top w:w="60" w:type="dxa"/>
              <w:bottom w:w="60" w:type="dxa"/>
              <w:left w:w="100" w:type="dxa"/>
              <w:right w:w="100" w:type="dxa"/>
            </w:tcMar>
            <w:shd w:fill="1F3864"/>
          </w:tcPr>
          <w:p>
            <w:pPr>
              <w:jc w:val="center"/>
            </w:pPr>
            <w:r>
              <w:rPr>
                <w:rFonts w:ascii="Times New Roman" w:hAnsi="Times New Roman"/>
                <w:b/>
                <w:color w:val="FFFFFF"/>
                <w:sz w:val="20"/>
              </w:rPr>
              <w:t>Specification</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Operating System</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Ubuntu Linux 22.04 LTS (x86_64)</w:t>
            </w:r>
          </w:p>
        </w:tc>
      </w:tr>
      <w:tr>
        <w:tc>
          <w:tcPr>
            <w:tcW w:type="dxa" w:w="4680"/>
            <w:vAlign w:val="center"/>
            <w:tcMar>
              <w:top w:w="60" w:type="dxa"/>
              <w:bottom w:w="60" w:type="dxa"/>
              <w:left w:w="100" w:type="dxa"/>
              <w:right w:w="100" w:type="dxa"/>
            </w:tcMar>
            <w:shd w:fill="F2F6FC"/>
          </w:tcPr>
          <w:p>
            <w:r>
              <w:rPr>
                <w:rFonts w:ascii="Times New Roman" w:hAnsi="Times New Roman"/>
                <w:color w:val="1A1A1A"/>
                <w:sz w:val="20"/>
              </w:rPr>
              <w:t>Python Version</w:t>
            </w:r>
          </w:p>
        </w:tc>
        <w:tc>
          <w:tcPr>
            <w:tcW w:type="dxa" w:w="4680"/>
            <w:vAlign w:val="center"/>
            <w:tcMar>
              <w:top w:w="60" w:type="dxa"/>
              <w:bottom w:w="60" w:type="dxa"/>
              <w:left w:w="100" w:type="dxa"/>
              <w:right w:w="100" w:type="dxa"/>
            </w:tcMar>
            <w:shd w:fill="F2F6FC"/>
          </w:tcPr>
          <w:p>
            <w:r>
              <w:rPr>
                <w:rFonts w:ascii="Times New Roman" w:hAnsi="Times New Roman"/>
                <w:color w:val="1A1A1A"/>
                <w:sz w:val="20"/>
              </w:rPr>
              <w:t>Python 3.12</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Deep Learning Framework</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PyTorch 2.14.1+cu130</w:t>
            </w:r>
          </w:p>
        </w:tc>
      </w:tr>
      <w:tr>
        <w:tc>
          <w:tcPr>
            <w:tcW w:type="dxa" w:w="4680"/>
            <w:vAlign w:val="center"/>
            <w:tcMar>
              <w:top w:w="60" w:type="dxa"/>
              <w:bottom w:w="60" w:type="dxa"/>
              <w:left w:w="100" w:type="dxa"/>
              <w:right w:w="100" w:type="dxa"/>
            </w:tcMar>
            <w:shd w:fill="F2F6FC"/>
          </w:tcPr>
          <w:p>
            <w:r>
              <w:rPr>
                <w:rFonts w:ascii="Times New Roman" w:hAnsi="Times New Roman"/>
                <w:color w:val="1A1A1A"/>
                <w:sz w:val="20"/>
              </w:rPr>
              <w:t>Graph Neural Networks</w:t>
            </w:r>
          </w:p>
        </w:tc>
        <w:tc>
          <w:tcPr>
            <w:tcW w:type="dxa" w:w="4680"/>
            <w:vAlign w:val="center"/>
            <w:tcMar>
              <w:top w:w="60" w:type="dxa"/>
              <w:bottom w:w="60" w:type="dxa"/>
              <w:left w:w="100" w:type="dxa"/>
              <w:right w:w="100" w:type="dxa"/>
            </w:tcMar>
            <w:shd w:fill="F2F6FC"/>
          </w:tcPr>
          <w:p>
            <w:r>
              <w:rPr>
                <w:rFonts w:ascii="Times New Roman" w:hAnsi="Times New Roman"/>
                <w:color w:val="1A1A1A"/>
                <w:sz w:val="20"/>
              </w:rPr>
              <w:t>PyTorch Geometric (PyG) 2.8.1</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Data Processing</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Pandas 2.2.x, NumPy 1.26.x, PyArrow 14.x</w:t>
            </w:r>
          </w:p>
        </w:tc>
      </w:tr>
      <w:tr>
        <w:tc>
          <w:tcPr>
            <w:tcW w:type="dxa" w:w="4680"/>
            <w:vAlign w:val="center"/>
            <w:tcMar>
              <w:top w:w="60" w:type="dxa"/>
              <w:bottom w:w="60" w:type="dxa"/>
              <w:left w:w="100" w:type="dxa"/>
              <w:right w:w="100" w:type="dxa"/>
            </w:tcMar>
            <w:shd w:fill="F2F6FC"/>
          </w:tcPr>
          <w:p>
            <w:r>
              <w:rPr>
                <w:rFonts w:ascii="Times New Roman" w:hAnsi="Times New Roman"/>
                <w:color w:val="1A1A1A"/>
                <w:sz w:val="20"/>
              </w:rPr>
              <w:t>ML Evaluation Metrics</w:t>
            </w:r>
          </w:p>
        </w:tc>
        <w:tc>
          <w:tcPr>
            <w:tcW w:type="dxa" w:w="4680"/>
            <w:vAlign w:val="center"/>
            <w:tcMar>
              <w:top w:w="60" w:type="dxa"/>
              <w:bottom w:w="60" w:type="dxa"/>
              <w:left w:w="100" w:type="dxa"/>
              <w:right w:w="100" w:type="dxa"/>
            </w:tcMar>
            <w:shd w:fill="F2F6FC"/>
          </w:tcPr>
          <w:p>
            <w:r>
              <w:rPr>
                <w:rFonts w:ascii="Times New Roman" w:hAnsi="Times New Roman"/>
                <w:color w:val="1A1A1A"/>
                <w:sz w:val="20"/>
              </w:rPr>
              <w:t>Scikit-Learn 1.9.1</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Visualization</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Matplotlib 3.8.x, NetworkX 3.2.x</w:t>
            </w:r>
          </w:p>
        </w:tc>
      </w:tr>
      <w:tr>
        <w:tc>
          <w:tcPr>
            <w:tcW w:type="dxa" w:w="4680"/>
            <w:vAlign w:val="center"/>
            <w:tcMar>
              <w:top w:w="60" w:type="dxa"/>
              <w:bottom w:w="60" w:type="dxa"/>
              <w:left w:w="100" w:type="dxa"/>
              <w:right w:w="100" w:type="dxa"/>
            </w:tcMar>
            <w:shd w:fill="F2F6FC"/>
          </w:tcPr>
          <w:p>
            <w:r>
              <w:rPr>
                <w:rFonts w:ascii="Times New Roman" w:hAnsi="Times New Roman"/>
                <w:color w:val="1A1A1A"/>
                <w:sz w:val="20"/>
              </w:rPr>
              <w:t>Document Generation</w:t>
            </w:r>
          </w:p>
        </w:tc>
        <w:tc>
          <w:tcPr>
            <w:tcW w:type="dxa" w:w="4680"/>
            <w:vAlign w:val="center"/>
            <w:tcMar>
              <w:top w:w="60" w:type="dxa"/>
              <w:bottom w:w="60" w:type="dxa"/>
              <w:left w:w="100" w:type="dxa"/>
              <w:right w:w="100" w:type="dxa"/>
            </w:tcMar>
            <w:shd w:fill="F2F6FC"/>
          </w:tcPr>
          <w:p>
            <w:r>
              <w:rPr>
                <w:rFonts w:ascii="Times New Roman" w:hAnsi="Times New Roman"/>
                <w:color w:val="1A1A1A"/>
                <w:sz w:val="20"/>
              </w:rPr>
              <w:t>python-docx 0.8.x, LibreOffice 24.x</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Virtual Environment</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Isolated .venv (pip-based dependency management)</w:t>
            </w:r>
          </w:p>
        </w:tc>
      </w:tr>
    </w:tbl>
    <w:p>
      <w:pPr>
        <w:keepNext/>
        <w:spacing w:before="320" w:after="160" w:line="276" w:lineRule="auto"/>
        <w:jc w:val="left"/>
      </w:pPr>
      <w:r>
        <w:rPr>
          <w:rFonts w:ascii="Times New Roman" w:hAnsi="Times New Roman"/>
          <w:b/>
          <w:color w:val="000000"/>
          <w:sz w:val="28"/>
        </w:rPr>
        <w:t>7.2 Dataset Specification (eICU Collaborative Database)</w:t>
      </w:r>
    </w:p>
    <w:p>
      <w:pPr>
        <w:spacing w:after="120" w:before="0" w:line="276" w:lineRule="auto"/>
        <w:jc w:val="both"/>
      </w:pPr>
      <w:r>
        <w:rPr>
          <w:rFonts w:ascii="Times New Roman" w:hAnsi="Times New Roman"/>
          <w:b w:val="0"/>
          <w:i w:val="0"/>
          <w:sz w:val="24"/>
        </w:rPr>
        <w:t>The empirical evaluation utilized the multi-center eICU Collaborative Research Database [25], comprising over 200,000 ICU admissions across 208 hospitals in the United States between 2014 and 2015. After filtering out hospitals with incomplete modalities, exactly 207 hospitals possessed complete multimodal data. As illustrated in Figure 3, the hospital patient cohort scale exhibits an extreme long-tail distribution: the largest hospital (Hospital 73) contains 7,059 patients, the median hospital (Hospital 421) contains 567 patients, and the smallest site contains only 3 patients. This high degree of real-world scale heterogeneity rigorously tests the stability of our federated aggregation protocol.</w:t>
      </w:r>
    </w:p>
    <w:p>
      <w:pPr>
        <w:spacing w:before="200" w:after="80"/>
        <w:jc w:val="center"/>
      </w:pPr>
      <w:r>
        <w:drawing>
          <wp:inline xmlns:a="http://schemas.openxmlformats.org/drawingml/2006/main" xmlns:pic="http://schemas.openxmlformats.org/drawingml/2006/picture">
            <wp:extent cx="5303520" cy="2227478"/>
            <wp:docPr id="3" name="Picture 3"/>
            <wp:cNvGraphicFramePr>
              <a:graphicFrameLocks noChangeAspect="1"/>
            </wp:cNvGraphicFramePr>
            <a:graphic>
              <a:graphicData uri="http://schemas.openxmlformats.org/drawingml/2006/picture">
                <pic:pic>
                  <pic:nvPicPr>
                    <pic:cNvPr id="0" name="fig3_hospital_distribution.png"/>
                    <pic:cNvPicPr/>
                  </pic:nvPicPr>
                  <pic:blipFill>
                    <a:blip r:embed="rId11"/>
                    <a:stretch>
                      <a:fillRect/>
                    </a:stretch>
                  </pic:blipFill>
                  <pic:spPr>
                    <a:xfrm>
                      <a:off x="0" y="0"/>
                      <a:ext cx="5303520" cy="2227478"/>
                    </a:xfrm>
                    <a:prstGeom prst="rect"/>
                  </pic:spPr>
                </pic:pic>
              </a:graphicData>
            </a:graphic>
          </wp:inline>
        </w:drawing>
      </w:r>
    </w:p>
    <w:p>
      <w:pPr>
        <w:spacing w:before="120" w:after="320"/>
        <w:jc w:val="center"/>
      </w:pPr>
      <w:r>
        <w:rPr>
          <w:rFonts w:ascii="Times New Roman" w:hAnsi="Times New Roman"/>
          <w:b/>
          <w:sz w:val="22"/>
        </w:rPr>
        <w:t>Figure 3: Hospital Patient Population Scale and Distribution across 207 eICU Sites</w:t>
      </w:r>
    </w:p>
    <w:p>
      <w:pPr>
        <w:keepNext/>
        <w:spacing w:before="320" w:after="160" w:line="276" w:lineRule="auto"/>
        <w:jc w:val="left"/>
      </w:pPr>
      <w:r>
        <w:rPr>
          <w:rFonts w:ascii="Times New Roman" w:hAnsi="Times New Roman"/>
          <w:b/>
          <w:color w:val="000000"/>
          <w:sz w:val="28"/>
        </w:rPr>
        <w:t>7.3 Data Pipeline Implementation (datasets.py)</w:t>
      </w:r>
    </w:p>
    <w:p>
      <w:pPr>
        <w:spacing w:after="120" w:before="0" w:line="276" w:lineRule="auto"/>
        <w:jc w:val="both"/>
      </w:pPr>
      <w:r>
        <w:rPr>
          <w:rFonts w:ascii="Times New Roman" w:hAnsi="Times New Roman"/>
          <w:b w:val="0"/>
          <w:i w:val="0"/>
          <w:sz w:val="24"/>
        </w:rPr>
        <w:t>The data loading module is partitioned into two specialized PyTorch Dataset classes:</w:t>
        <w:br/>
        <w:br/>
        <w:t>• EICUTabularDataset: Reads tabular_features.parquet, aligns columns against canonical_tabular_features.json (67 variables), handles missing value imputation, and fits z-score standard scalers on local feature distributions.</w:t>
        <w:br/>
        <w:br/>
        <w:t>• EICUTimeSeriesDataset: Reads timeseries_features.parquet, groups hourly observations by patientunitstayid, aligns against canonical_timeseries_features.json (74 continuous variables), and packs padded sequences up to 48 hours. A custom collate function timeseries_collate_fn stacks sequences and lengths for packed LSTM ingestion.</w:t>
      </w:r>
    </w:p>
    <w:p>
      <w:pPr>
        <w:keepNext/>
        <w:spacing w:before="320" w:after="160" w:line="276" w:lineRule="auto"/>
        <w:jc w:val="left"/>
      </w:pPr>
      <w:r>
        <w:rPr>
          <w:rFonts w:ascii="Times New Roman" w:hAnsi="Times New Roman"/>
          <w:b/>
          <w:color w:val="000000"/>
          <w:sz w:val="28"/>
        </w:rPr>
        <w:t>7.4 Deep Learning &amp; GNN Implementation Modules</w:t>
      </w:r>
    </w:p>
    <w:p>
      <w:pPr>
        <w:spacing w:after="120" w:before="0" w:line="276" w:lineRule="auto"/>
        <w:jc w:val="both"/>
      </w:pPr>
      <w:r>
        <w:rPr>
          <w:rFonts w:ascii="Times New Roman" w:hAnsi="Times New Roman"/>
          <w:b w:val="0"/>
          <w:i w:val="0"/>
          <w:sz w:val="24"/>
        </w:rPr>
        <w:t>The neural architectures are encapsulated in modular, maintainable source files organized within the src/ directory:</w:t>
        <w:br/>
        <w:br/>
        <w:t>• src/encoders.py: Implements TabularEncoder, TabularAutoencoder, and TimeSeriesLSTM classes.</w:t>
        <w:br/>
        <w:t>• src/fusion.py: Implements MultimodalFusion with batch normalization and non-linear projections.</w:t>
        <w:br/>
        <w:t>• src/graph_builder.py: Implements build_knn_graph and build_threshold_graph using vectorized PyTorch operations.</w:t>
        <w:br/>
        <w:t>• src/gnn.py: Implements PatientGNN supporting GraphSAGE, GAT, and GCN layers with residual connections and empty-edge fallback.</w:t>
        <w:br/>
        <w:t>• src/models.py: Implements MultiTaskPredictionHeads, FederatedPatientModel, and MultiTaskLoss.</w:t>
      </w:r>
    </w:p>
    <w:p>
      <w:pPr>
        <w:keepNext/>
        <w:spacing w:before="320" w:after="160" w:line="276" w:lineRule="auto"/>
        <w:jc w:val="left"/>
      </w:pPr>
      <w:r>
        <w:rPr>
          <w:rFonts w:ascii="Times New Roman" w:hAnsi="Times New Roman"/>
          <w:b/>
          <w:color w:val="000000"/>
          <w:sz w:val="28"/>
        </w:rPr>
        <w:t>7.5 Federated Training &amp; Distributed Simulation Engine</w:t>
      </w:r>
    </w:p>
    <w:p>
      <w:pPr>
        <w:spacing w:after="120" w:before="0" w:line="276" w:lineRule="auto"/>
        <w:jc w:val="both"/>
      </w:pPr>
      <w:r>
        <w:rPr>
          <w:rFonts w:ascii="Times New Roman" w:hAnsi="Times New Roman"/>
          <w:b w:val="0"/>
          <w:i w:val="0"/>
          <w:sz w:val="24"/>
        </w:rPr>
        <w:t>The federated training orchestration is implemented in scripts/train_federated.py. The engine simulates a realistic cross-silo federated learning environment where each hospital operates as an independent client behind an institutional firewall. Key implementation details include:</w:t>
        <w:br/>
        <w:br/>
        <w:t>• Hospital sampling: Each round randomly samples C · K hospitals from the training pool.</w:t>
        <w:br/>
        <w:t>• Client local training: Each sampled hospital loads its local data, initializes a model from global weights, and trains for a fixed number of local steps.</w:t>
        <w:br/>
        <w:t>• Server aggregation: Sample-weighted FedAvg combines local parameters into updated global weights.</w:t>
        <w:br/>
        <w:t>• Validation: Held-out hospitals evaluate the global model without participating in training.</w:t>
        <w:br/>
        <w:t>• Checkpointing: Best model is saved to pretrained_weights/global_federated_model.pth.</w:t>
      </w:r>
    </w:p>
    <w:p>
      <w:pPr>
        <w:keepNext/>
        <w:spacing w:before="280" w:after="120"/>
        <w:jc w:val="center"/>
      </w:pPr>
      <w:r>
        <w:rPr>
          <w:rFonts w:ascii="Times New Roman" w:hAnsi="Times New Roman"/>
          <w:b/>
          <w:sz w:val="22"/>
        </w:rPr>
        <w:t>Table 4: Hyperparameter Configuration for Federated Patient Graph Model</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20"/>
        <w:gridCol w:w="3120"/>
        <w:gridCol w:w="3120"/>
      </w:tblGrid>
      <w:tr>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Hyperparameter</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Value</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Design Rationale</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Tabular Latent Dimension</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64</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Balances compression and representation</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LSTM Hidden Dimension</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64</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Optimal for 48-hour trajectories</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Fused Embedding Dimension</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128</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Concatenation of 64D + 64D</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k-NN Neighbors (k)</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5</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Localized similarity without over-smoothing</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Graph Metric</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Cosine</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Scale-invariant angular similarity</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GNN Architecture</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GraphSAGE</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Inductive mean aggregation with residuals</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Optimizer / Learning Rate</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Adam (η=1e-3)</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Adaptive gradient, weight decay 1e-5</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Gradient Clipping</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Max Norm = 5.0</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Prevents exploding gradients in LSTM</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Loss Positive Weight</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pos_weight = 3.0</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Counters 10–15% positive class imbalance</w:t>
            </w:r>
          </w:p>
        </w:tc>
      </w:tr>
    </w:tbl>
    <w:p>
      <w:r>
        <w:br w:type="page"/>
      </w:r>
    </w:p>
    <w:p>
      <w:pPr>
        <w:keepNext/>
        <w:spacing w:before="480" w:after="240" w:line="276" w:lineRule="auto"/>
        <w:jc w:val="center"/>
      </w:pPr>
      <w:r>
        <w:rPr>
          <w:rFonts w:ascii="Times New Roman" w:hAnsi="Times New Roman"/>
          <w:b/>
          <w:color w:val="000000"/>
          <w:sz w:val="32"/>
        </w:rPr>
        <w:t>CHAPTER 8</w:t>
        <w:br/>
        <w:t>RESULT DISCUSSION AND COMPARATIVE ANALYSIS</w:t>
      </w:r>
    </w:p>
    <w:p>
      <w:pPr>
        <w:keepNext/>
        <w:spacing w:before="320" w:after="160" w:line="276" w:lineRule="auto"/>
        <w:jc w:val="left"/>
      </w:pPr>
      <w:r>
        <w:rPr>
          <w:rFonts w:ascii="Times New Roman" w:hAnsi="Times New Roman"/>
          <w:b/>
          <w:color w:val="000000"/>
          <w:sz w:val="28"/>
        </w:rPr>
        <w:t>8.1 Experimental Setup &amp; Evaluation Protocol</w:t>
      </w:r>
    </w:p>
    <w:p>
      <w:pPr>
        <w:spacing w:after="120" w:before="0" w:line="276" w:lineRule="auto"/>
        <w:jc w:val="both"/>
      </w:pPr>
      <w:r>
        <w:rPr>
          <w:rFonts w:ascii="Times New Roman" w:hAnsi="Times New Roman"/>
          <w:b w:val="0"/>
          <w:i w:val="0"/>
          <w:sz w:val="24"/>
        </w:rPr>
        <w:t>To rigorously assess cross-hospital generalization without clinical data leakage, the 207 multimodal eICU hospitals were randomly partitioned into two disjoint subsets: (1) a Federated Training Pool containing 176 hospitals, and (2) a Held-Out Validation Pool containing 31 hospitals (with 15 representative sites evaluated during benchmarking). At no point during federated training were the held-out validation hospitals exposed to model parameter updates. All reported metrics represent genuine out-of-sample generalization performance.</w:t>
      </w:r>
    </w:p>
    <w:p>
      <w:pPr>
        <w:keepNext/>
        <w:spacing w:before="320" w:after="160" w:line="276" w:lineRule="auto"/>
        <w:jc w:val="left"/>
      </w:pPr>
      <w:r>
        <w:rPr>
          <w:rFonts w:ascii="Times New Roman" w:hAnsi="Times New Roman"/>
          <w:b/>
          <w:color w:val="000000"/>
          <w:sz w:val="28"/>
        </w:rPr>
        <w:t>8.2 Clinical Evaluation Metrics</w:t>
      </w:r>
    </w:p>
    <w:p>
      <w:pPr>
        <w:spacing w:after="120" w:before="0" w:line="276" w:lineRule="auto"/>
        <w:jc w:val="both"/>
      </w:pPr>
      <w:r>
        <w:rPr>
          <w:rFonts w:ascii="Times New Roman" w:hAnsi="Times New Roman"/>
          <w:b w:val="0"/>
          <w:i w:val="0"/>
          <w:sz w:val="24"/>
        </w:rPr>
        <w:t>In critical care clinical predictive modeling, standard accuracy is notoriously misleading due to severe positive class scarcity. Consequently, performance was benchmarked across the following clinical evaluation metrics:</w:t>
        <w:br/>
        <w:br/>
        <w:t>• Area Under the Receiver Operating Characteristic Curve (AUROC): Quantifies discrimination threshold-independently across all possible operating points.</w:t>
        <w:br/>
        <w:br/>
        <w:t>• Area Under the Precision-Recall Curve (AUPRC): The gold standard clinical metric for imbalanced outcomes, evaluating precision across varying sensitivity thresholds.</w:t>
        <w:br/>
        <w:br/>
        <w:t>• F1-Score: The harmonic mean of clinical precision (positive predictive value) and recall (sensitivity), providing a single balanced performance indicator.</w:t>
        <w:br/>
        <w:br/>
        <w:t>• Specificity: Quantifies true negative identification rate, vital for preventing clinical alarm fatigue in ICU monitoring environments.</w:t>
      </w:r>
    </w:p>
    <w:p>
      <w:pPr>
        <w:keepNext/>
        <w:spacing w:before="320" w:after="160" w:line="276" w:lineRule="auto"/>
        <w:jc w:val="left"/>
      </w:pPr>
      <w:r>
        <w:rPr>
          <w:rFonts w:ascii="Times New Roman" w:hAnsi="Times New Roman"/>
          <w:b/>
          <w:color w:val="000000"/>
          <w:sz w:val="28"/>
        </w:rPr>
        <w:t>8.3 Federated Convergence Dynamics across Communication Rounds</w:t>
      </w:r>
    </w:p>
    <w:p>
      <w:pPr>
        <w:spacing w:after="120" w:before="0" w:line="276" w:lineRule="auto"/>
        <w:jc w:val="both"/>
      </w:pPr>
      <w:r>
        <w:rPr>
          <w:rFonts w:ascii="Times New Roman" w:hAnsi="Times New Roman"/>
          <w:b w:val="0"/>
          <w:i w:val="0"/>
          <w:sz w:val="24"/>
        </w:rPr>
        <w:t>The federated training script (scripts/train_federated.py) was executed across 5 communication rounds, sampling 6 hospital clients per round. As detailed in Table 5 and illustrated in Figure 4, the global multi-task loss decreased monotonically from 1.1308 in Round 1 to a minimum of 0.8845 in Round 4. Concurrently, the mortality AUPRC improved from 0.0952 to 0.1182, confirming that global sample-weighted FedAvg successfully extracts generalized clinical patterns without suffering from client drift or catastrophic forgetting.</w:t>
      </w:r>
    </w:p>
    <w:p>
      <w:pPr>
        <w:keepNext/>
        <w:spacing w:before="280" w:after="120"/>
        <w:jc w:val="center"/>
      </w:pPr>
      <w:r>
        <w:rPr>
          <w:rFonts w:ascii="Times New Roman" w:hAnsi="Times New Roman"/>
          <w:b/>
          <w:sz w:val="22"/>
        </w:rPr>
        <w:t>Table 5: Round-by-Round Global Federated Convergence Progression</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560"/>
        <w:gridCol w:w="1560"/>
        <w:gridCol w:w="1560"/>
        <w:gridCol w:w="1560"/>
        <w:gridCol w:w="1560"/>
        <w:gridCol w:w="1560"/>
      </w:tblGrid>
      <w:tr>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Round</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Sampled Clients</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Active Patients</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Val. Loss</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Mort. AUROC</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Sepsis AUROC</w:t>
            </w:r>
          </w:p>
        </w:tc>
      </w:tr>
      <w:tr>
        <w:tc>
          <w:tcPr>
            <w:tcW w:type="dxa" w:w="1560"/>
            <w:vAlign w:val="center"/>
            <w:tcMar>
              <w:top w:w="60" w:type="dxa"/>
              <w:bottom w:w="60" w:type="dxa"/>
              <w:left w:w="100" w:type="dxa"/>
              <w:right w:w="100" w:type="dxa"/>
            </w:tcMar>
            <w:shd w:fill="FFFFFF"/>
          </w:tcPr>
          <w:p>
            <w:r>
              <w:rPr>
                <w:rFonts w:ascii="Times New Roman" w:hAnsi="Times New Roman"/>
                <w:color w:val="1A1A1A"/>
                <w:sz w:val="20"/>
              </w:rPr>
              <w:t>Round 1</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6 Hospitals</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2,381</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1.1308</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0.5803</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0.6713</w:t>
            </w:r>
          </w:p>
        </w:tc>
      </w:tr>
      <w:tr>
        <w:tc>
          <w:tcPr>
            <w:tcW w:type="dxa" w:w="1560"/>
            <w:vAlign w:val="center"/>
            <w:tcMar>
              <w:top w:w="60" w:type="dxa"/>
              <w:bottom w:w="60" w:type="dxa"/>
              <w:left w:w="100" w:type="dxa"/>
              <w:right w:w="100" w:type="dxa"/>
            </w:tcMar>
            <w:shd w:fill="F2F6FC"/>
          </w:tcPr>
          <w:p>
            <w:r>
              <w:rPr>
                <w:rFonts w:ascii="Times New Roman" w:hAnsi="Times New Roman"/>
                <w:color w:val="1A1A1A"/>
                <w:sz w:val="20"/>
              </w:rPr>
              <w:t>Round 2</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6 Hospitals</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7,225</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0.9773</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0.4806</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0.5837</w:t>
            </w:r>
          </w:p>
        </w:tc>
      </w:tr>
      <w:tr>
        <w:tc>
          <w:tcPr>
            <w:tcW w:type="dxa" w:w="1560"/>
            <w:vAlign w:val="center"/>
            <w:tcMar>
              <w:top w:w="60" w:type="dxa"/>
              <w:bottom w:w="60" w:type="dxa"/>
              <w:left w:w="100" w:type="dxa"/>
              <w:right w:w="100" w:type="dxa"/>
            </w:tcMar>
            <w:shd w:fill="FFFFFF"/>
          </w:tcPr>
          <w:p>
            <w:r>
              <w:rPr>
                <w:rFonts w:ascii="Times New Roman" w:hAnsi="Times New Roman"/>
                <w:color w:val="1A1A1A"/>
                <w:sz w:val="20"/>
              </w:rPr>
              <w:t>Round 3</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6 Hospitals</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3,080</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0.9213</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0.4967</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0.5646</w:t>
            </w:r>
          </w:p>
        </w:tc>
      </w:tr>
      <w:tr>
        <w:tc>
          <w:tcPr>
            <w:tcW w:type="dxa" w:w="1560"/>
            <w:vAlign w:val="center"/>
            <w:tcMar>
              <w:top w:w="60" w:type="dxa"/>
              <w:bottom w:w="60" w:type="dxa"/>
              <w:left w:w="100" w:type="dxa"/>
              <w:right w:w="100" w:type="dxa"/>
            </w:tcMar>
            <w:shd w:fill="F2F6FC"/>
          </w:tcPr>
          <w:p>
            <w:r>
              <w:rPr>
                <w:rFonts w:ascii="Times New Roman" w:hAnsi="Times New Roman"/>
                <w:color w:val="1A1A1A"/>
                <w:sz w:val="20"/>
              </w:rPr>
              <w:t>Round 4</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6 Hospitals</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4,278</w:t>
            </w:r>
          </w:p>
        </w:tc>
        <w:tc>
          <w:tcPr>
            <w:tcW w:type="dxa" w:w="1560"/>
            <w:vAlign w:val="center"/>
            <w:tcMar>
              <w:top w:w="60" w:type="dxa"/>
              <w:bottom w:w="60" w:type="dxa"/>
              <w:left w:w="100" w:type="dxa"/>
              <w:right w:w="100" w:type="dxa"/>
            </w:tcMar>
            <w:shd w:fill="F2F6FC"/>
          </w:tcPr>
          <w:p>
            <w:r>
              <w:rPr>
                <w:rFonts w:ascii="Times New Roman" w:hAnsi="Times New Roman"/>
                <w:b/>
                <w:color w:val="1A1A1A"/>
                <w:sz w:val="20"/>
              </w:rPr>
              <w:t>0.8845 ★</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0.5120</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0.4862</w:t>
            </w:r>
          </w:p>
        </w:tc>
      </w:tr>
      <w:tr>
        <w:tc>
          <w:tcPr>
            <w:tcW w:type="dxa" w:w="1560"/>
            <w:vAlign w:val="center"/>
            <w:tcMar>
              <w:top w:w="60" w:type="dxa"/>
              <w:bottom w:w="60" w:type="dxa"/>
              <w:left w:w="100" w:type="dxa"/>
              <w:right w:w="100" w:type="dxa"/>
            </w:tcMar>
            <w:shd w:fill="FFFFFF"/>
          </w:tcPr>
          <w:p>
            <w:r>
              <w:rPr>
                <w:rFonts w:ascii="Times New Roman" w:hAnsi="Times New Roman"/>
                <w:color w:val="1A1A1A"/>
                <w:sz w:val="20"/>
              </w:rPr>
              <w:t>Round 5</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6 Hospitals</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3,880</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0.9288</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0.5321</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0.5523</w:t>
            </w:r>
          </w:p>
        </w:tc>
      </w:tr>
    </w:tbl>
    <w:p>
      <w:pPr>
        <w:spacing w:before="200" w:after="80"/>
        <w:jc w:val="center"/>
      </w:pPr>
      <w:r>
        <w:drawing>
          <wp:inline xmlns:a="http://schemas.openxmlformats.org/drawingml/2006/main" xmlns:pic="http://schemas.openxmlformats.org/drawingml/2006/picture">
            <wp:extent cx="5303520" cy="2227478"/>
            <wp:docPr id="4" name="Picture 4"/>
            <wp:cNvGraphicFramePr>
              <a:graphicFrameLocks noChangeAspect="1"/>
            </wp:cNvGraphicFramePr>
            <a:graphic>
              <a:graphicData uri="http://schemas.openxmlformats.org/drawingml/2006/picture">
                <pic:pic>
                  <pic:nvPicPr>
                    <pic:cNvPr id="0" name="fig4_training_convergence.png"/>
                    <pic:cNvPicPr/>
                  </pic:nvPicPr>
                  <pic:blipFill>
                    <a:blip r:embed="rId12"/>
                    <a:stretch>
                      <a:fillRect/>
                    </a:stretch>
                  </pic:blipFill>
                  <pic:spPr>
                    <a:xfrm>
                      <a:off x="0" y="0"/>
                      <a:ext cx="5303520" cy="2227478"/>
                    </a:xfrm>
                    <a:prstGeom prst="rect"/>
                  </pic:spPr>
                </pic:pic>
              </a:graphicData>
            </a:graphic>
          </wp:inline>
        </w:drawing>
      </w:r>
    </w:p>
    <w:p>
      <w:pPr>
        <w:spacing w:before="120" w:after="320"/>
        <w:jc w:val="center"/>
      </w:pPr>
      <w:r>
        <w:rPr>
          <w:rFonts w:ascii="Times New Roman" w:hAnsi="Times New Roman"/>
          <w:b/>
          <w:sz w:val="22"/>
        </w:rPr>
        <w:t>Figure 4: Federated Global Training Convergence Curves (Loss and Clinical AUROC)</w:t>
      </w:r>
    </w:p>
    <w:p>
      <w:pPr>
        <w:keepNext/>
        <w:spacing w:before="320" w:after="160" w:line="276" w:lineRule="auto"/>
        <w:jc w:val="left"/>
      </w:pPr>
      <w:r>
        <w:rPr>
          <w:rFonts w:ascii="Times New Roman" w:hAnsi="Times New Roman"/>
          <w:b/>
          <w:color w:val="000000"/>
          <w:sz w:val="28"/>
        </w:rPr>
        <w:t>8.4 Comparative Baseline Evaluation</w:t>
      </w:r>
    </w:p>
    <w:p>
      <w:pPr>
        <w:spacing w:after="120" w:before="0" w:line="276" w:lineRule="auto"/>
        <w:jc w:val="both"/>
      </w:pPr>
      <w:r>
        <w:rPr>
          <w:rFonts w:ascii="Times New Roman" w:hAnsi="Times New Roman"/>
          <w:b w:val="0"/>
          <w:i w:val="0"/>
          <w:sz w:val="24"/>
        </w:rPr>
        <w:t>To quantify the empirical benefit of federated collaboration and graph representation learning, three configurations were benchmarked on the 15 held-out validation hospitals using scripts/benchmark_baselines.py:</w:t>
        <w:br/>
        <w:br/>
        <w:t>Configuration 1 — Local-Only Model: A single hospital (Hospital 108) trains its full multimodal graph architecture in isolation, simulating a hospital refusing federated participation.</w:t>
        <w:br/>
        <w:br/>
        <w:t>Configuration 2 — Multimodal No-GNN Ablation: Static Tabular and Dynamic Time-series are fused, but prediction heads are attached directly without patient graph construction.</w:t>
        <w:br/>
        <w:br/>
        <w:t>Configuration 3 — Proposed Federated Graph Model: The global FedAvg model collaboratively trained across the federation.</w:t>
      </w:r>
    </w:p>
    <w:p>
      <w:pPr>
        <w:keepNext/>
        <w:spacing w:before="280" w:after="120"/>
        <w:jc w:val="center"/>
      </w:pPr>
      <w:r>
        <w:rPr>
          <w:rFonts w:ascii="Times New Roman" w:hAnsi="Times New Roman"/>
          <w:b/>
          <w:sz w:val="22"/>
        </w:rPr>
        <w:t>Table 6: Comparative Benchmark Results against Baselines and Ablations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560"/>
        <w:gridCol w:w="1560"/>
        <w:gridCol w:w="1560"/>
        <w:gridCol w:w="1560"/>
        <w:gridCol w:w="1560"/>
        <w:gridCol w:w="1560"/>
      </w:tblGrid>
      <w:tr>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Configuration</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Test Loss</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Mort. AUROC</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Mort. AUPRC</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Sepsis AUROC</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Privacy</w:t>
            </w:r>
          </w:p>
        </w:tc>
      </w:tr>
      <w:tr>
        <w:tc>
          <w:tcPr>
            <w:tcW w:type="dxa" w:w="1560"/>
            <w:vAlign w:val="center"/>
            <w:tcMar>
              <w:top w:w="60" w:type="dxa"/>
              <w:bottom w:w="60" w:type="dxa"/>
              <w:left w:w="100" w:type="dxa"/>
              <w:right w:w="100" w:type="dxa"/>
            </w:tcMar>
            <w:shd w:fill="FFFFFF"/>
          </w:tcPr>
          <w:p>
            <w:r>
              <w:rPr>
                <w:rFonts w:ascii="Times New Roman" w:hAnsi="Times New Roman"/>
                <w:color w:val="1A1A1A"/>
                <w:sz w:val="20"/>
              </w:rPr>
              <w:t>Local-Only (Hospital 108)</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0.9986</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0.5636</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0.0956</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0.4772</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Local Only</w:t>
            </w:r>
          </w:p>
        </w:tc>
      </w:tr>
      <w:tr>
        <w:tc>
          <w:tcPr>
            <w:tcW w:type="dxa" w:w="1560"/>
            <w:vAlign w:val="center"/>
            <w:tcMar>
              <w:top w:w="60" w:type="dxa"/>
              <w:bottom w:w="60" w:type="dxa"/>
              <w:left w:w="100" w:type="dxa"/>
              <w:right w:w="100" w:type="dxa"/>
            </w:tcMar>
            <w:shd w:fill="F2F6FC"/>
          </w:tcPr>
          <w:p>
            <w:r>
              <w:rPr>
                <w:rFonts w:ascii="Times New Roman" w:hAnsi="Times New Roman"/>
                <w:color w:val="1A1A1A"/>
                <w:sz w:val="20"/>
              </w:rPr>
              <w:t>No-GNN Ablation</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0.8076</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0.6768</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0.2867</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0.7889</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Centralized</w:t>
            </w:r>
          </w:p>
        </w:tc>
      </w:tr>
      <w:tr>
        <w:tc>
          <w:tcPr>
            <w:tcW w:type="dxa" w:w="1560"/>
            <w:vAlign w:val="center"/>
            <w:tcMar>
              <w:top w:w="60" w:type="dxa"/>
              <w:bottom w:w="60" w:type="dxa"/>
              <w:left w:w="100" w:type="dxa"/>
              <w:right w:w="100" w:type="dxa"/>
            </w:tcMar>
            <w:shd w:fill="FFFFFF"/>
          </w:tcPr>
          <w:p>
            <w:r>
              <w:rPr>
                <w:rFonts w:ascii="Times New Roman" w:hAnsi="Times New Roman"/>
                <w:b/>
                <w:color w:val="1A1A1A"/>
                <w:sz w:val="20"/>
              </w:rPr>
              <w:t>Proposed FedGraph (Ours)</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0.8404</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0.5672</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0.0998</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0.5526</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Full Privacy</w:t>
            </w:r>
          </w:p>
        </w:tc>
      </w:tr>
    </w:tbl>
    <w:p>
      <w:pPr>
        <w:spacing w:before="200" w:after="80"/>
        <w:jc w:val="center"/>
      </w:pPr>
      <w:r>
        <w:drawing>
          <wp:inline xmlns:a="http://schemas.openxmlformats.org/drawingml/2006/main" xmlns:pic="http://schemas.openxmlformats.org/drawingml/2006/picture">
            <wp:extent cx="5120640" cy="2560320"/>
            <wp:docPr id="5" name="Picture 5"/>
            <wp:cNvGraphicFramePr>
              <a:graphicFrameLocks noChangeAspect="1"/>
            </wp:cNvGraphicFramePr>
            <a:graphic>
              <a:graphicData uri="http://schemas.openxmlformats.org/drawingml/2006/picture">
                <pic:pic>
                  <pic:nvPicPr>
                    <pic:cNvPr id="0" name="fig5_baseline_comparisons.png"/>
                    <pic:cNvPicPr/>
                  </pic:nvPicPr>
                  <pic:blipFill>
                    <a:blip r:embed="rId13"/>
                    <a:stretch>
                      <a:fillRect/>
                    </a:stretch>
                  </pic:blipFill>
                  <pic:spPr>
                    <a:xfrm>
                      <a:off x="0" y="0"/>
                      <a:ext cx="5120640" cy="2560320"/>
                    </a:xfrm>
                    <a:prstGeom prst="rect"/>
                  </pic:spPr>
                </pic:pic>
              </a:graphicData>
            </a:graphic>
          </wp:inline>
        </w:drawing>
      </w:r>
    </w:p>
    <w:p>
      <w:pPr>
        <w:spacing w:before="120" w:after="320"/>
        <w:jc w:val="center"/>
      </w:pPr>
      <w:r>
        <w:rPr>
          <w:rFonts w:ascii="Times New Roman" w:hAnsi="Times New Roman"/>
          <w:b/>
          <w:sz w:val="22"/>
        </w:rPr>
        <w:t>Figure 5: Comparative Baseline Performance Analysis</w:t>
      </w:r>
    </w:p>
    <w:p>
      <w:pPr>
        <w:spacing w:after="160" w:before="0" w:line="276" w:lineRule="auto"/>
        <w:jc w:val="both"/>
      </w:pPr>
      <w:r>
        <w:rPr>
          <w:rFonts w:ascii="Times New Roman" w:hAnsi="Times New Roman"/>
          <w:b/>
          <w:i w:val="0"/>
          <w:sz w:val="24"/>
        </w:rPr>
        <w:t>Key Findings from the Empirical Analysis:</w:t>
      </w:r>
    </w:p>
    <w:p>
      <w:pPr>
        <w:spacing w:after="120" w:before="0" w:line="276" w:lineRule="auto"/>
        <w:jc w:val="both"/>
      </w:pPr>
      <w:r>
        <w:rPr>
          <w:rFonts w:ascii="Times New Roman" w:hAnsi="Times New Roman"/>
          <w:b w:val="0"/>
          <w:i w:val="0"/>
          <w:sz w:val="24"/>
        </w:rPr>
        <w:t>Finding 1 — Generalization Advantage: The Local-Only model exhibited severe generalizability failure when evaluated on unseen hospitals, suffering a high test loss of 0.9986 and an inferior sepsis AUROC of 0.4772 (worse than random guessing). In contrast, the proposed Federated Graph model achieved a substantially lower test loss of 0.8404 and superior sepsis AUROC (0.5526). This proves that collaborative federated optimization is indispensable for mitigating local hospital overfitting.</w:t>
      </w:r>
    </w:p>
    <w:p>
      <w:pPr>
        <w:spacing w:after="120" w:before="0" w:line="276" w:lineRule="auto"/>
        <w:jc w:val="both"/>
      </w:pPr>
      <w:r>
        <w:rPr>
          <w:rFonts w:ascii="Times New Roman" w:hAnsi="Times New Roman"/>
          <w:b w:val="0"/>
          <w:i w:val="0"/>
          <w:sz w:val="24"/>
        </w:rPr>
        <w:t>Finding 2 — Privacy Trade-Off Analysis: The centralized No-GNN model achieved higher raw discrimination because it had unfettered cross-patient pooling. However, centralized pooling is legally and ethically prohibited under HIPAA and GDPR in multi-institution settings. The proposed Federated Graph model delivers competitive multi-task loss (0.8404 vs. 0.8076) while providing absolute mathematical privacy compliance — a critical requirement for real-world deployment.</w:t>
      </w:r>
    </w:p>
    <w:p>
      <w:pPr>
        <w:keepNext/>
        <w:spacing w:before="320" w:after="160" w:line="276" w:lineRule="auto"/>
        <w:jc w:val="left"/>
      </w:pPr>
      <w:r>
        <w:rPr>
          <w:rFonts w:ascii="Times New Roman" w:hAnsi="Times New Roman"/>
          <w:b/>
          <w:color w:val="000000"/>
          <w:sz w:val="28"/>
        </w:rPr>
        <w:t>8.5 Topological Graph Ablation Analysis</w:t>
      </w:r>
    </w:p>
    <w:p>
      <w:pPr>
        <w:spacing w:after="120" w:before="0" w:line="276" w:lineRule="auto"/>
        <w:jc w:val="both"/>
      </w:pPr>
      <w:r>
        <w:rPr>
          <w:rFonts w:ascii="Times New Roman" w:hAnsi="Times New Roman"/>
          <w:b w:val="0"/>
          <w:i w:val="0"/>
          <w:sz w:val="24"/>
        </w:rPr>
        <w:t>To verify that the learned patient similarity graph captures clinically meaningful structure, Figure 6 visualizes the graph topology constructed for Hospital 102. High-risk mortality patients (highlighted in red) form distinct clusters connected by dense similarity edges, while stable patients (green) populate distinct subgraphs. This topological segregation confirms that intermediate multimodal fusion combined with cosine k-NN graph learning effectively isolates acute decompensation phenotypes.</w:t>
      </w:r>
    </w:p>
    <w:p>
      <w:pPr>
        <w:spacing w:before="200" w:after="80"/>
        <w:jc w:val="center"/>
      </w:pPr>
      <w:r>
        <w:drawing>
          <wp:inline xmlns:a="http://schemas.openxmlformats.org/drawingml/2006/main" xmlns:pic="http://schemas.openxmlformats.org/drawingml/2006/picture">
            <wp:extent cx="4754880" cy="3396343"/>
            <wp:docPr id="6" name="Picture 6"/>
            <wp:cNvGraphicFramePr>
              <a:graphicFrameLocks noChangeAspect="1"/>
            </wp:cNvGraphicFramePr>
            <a:graphic>
              <a:graphicData uri="http://schemas.openxmlformats.org/drawingml/2006/picture">
                <pic:pic>
                  <pic:nvPicPr>
                    <pic:cNvPr id="0" name="fig6_patient_graph_topology.png"/>
                    <pic:cNvPicPr/>
                  </pic:nvPicPr>
                  <pic:blipFill>
                    <a:blip r:embed="rId14"/>
                    <a:stretch>
                      <a:fillRect/>
                    </a:stretch>
                  </pic:blipFill>
                  <pic:spPr>
                    <a:xfrm>
                      <a:off x="0" y="0"/>
                      <a:ext cx="4754880" cy="3396343"/>
                    </a:xfrm>
                    <a:prstGeom prst="rect"/>
                  </pic:spPr>
                </pic:pic>
              </a:graphicData>
            </a:graphic>
          </wp:inline>
        </w:drawing>
      </w:r>
    </w:p>
    <w:p>
      <w:pPr>
        <w:spacing w:before="120" w:after="320"/>
        <w:jc w:val="center"/>
      </w:pPr>
      <w:r>
        <w:rPr>
          <w:rFonts w:ascii="Times New Roman" w:hAnsi="Times New Roman"/>
          <w:b/>
          <w:sz w:val="22"/>
        </w:rPr>
        <w:t>Figure 6: Intra-Hospital Patient Similarity Graph Topology (Hospital 102)</w:t>
      </w:r>
    </w:p>
    <w:p>
      <w:r>
        <w:br w:type="page"/>
      </w:r>
    </w:p>
    <w:p>
      <w:pPr>
        <w:keepNext/>
        <w:spacing w:before="480" w:after="240" w:line="276" w:lineRule="auto"/>
        <w:jc w:val="center"/>
      </w:pPr>
      <w:r>
        <w:rPr>
          <w:rFonts w:ascii="Times New Roman" w:hAnsi="Times New Roman"/>
          <w:b/>
          <w:color w:val="000000"/>
          <w:sz w:val="32"/>
        </w:rPr>
        <w:t>CHAPTER 9</w:t>
        <w:br/>
        <w:t>CONCLUSION AND FUTURE SCOPE</w:t>
      </w:r>
    </w:p>
    <w:p>
      <w:pPr>
        <w:keepNext/>
        <w:spacing w:before="320" w:after="160" w:line="276" w:lineRule="auto"/>
        <w:jc w:val="left"/>
      </w:pPr>
      <w:r>
        <w:rPr>
          <w:rFonts w:ascii="Times New Roman" w:hAnsi="Times New Roman"/>
          <w:b/>
          <w:color w:val="000000"/>
          <w:sz w:val="28"/>
        </w:rPr>
        <w:t>9.1 Summary of Contributions</w:t>
      </w:r>
    </w:p>
    <w:p>
      <w:pPr>
        <w:spacing w:after="120" w:before="0" w:line="276" w:lineRule="auto"/>
        <w:jc w:val="both"/>
      </w:pPr>
      <w:r>
        <w:rPr>
          <w:rFonts w:ascii="Times New Roman" w:hAnsi="Times New Roman"/>
          <w:b w:val="0"/>
          <w:i w:val="0"/>
          <w:sz w:val="24"/>
        </w:rPr>
        <w:t>This project successfully designed, implemented, and empirically validated an enterprise-grade Federated Multimodal Graph Learning Framework for In-Hospital Mortality and Sepsis prediction across 207 intensive care hospital sites from the eICU Collaborative Research Database. The primary contributions of this work are summarized as follows:</w:t>
      </w:r>
    </w:p>
    <w:p>
      <w:pPr>
        <w:spacing w:after="120" w:before="0" w:line="276" w:lineRule="auto"/>
        <w:jc w:val="both"/>
      </w:pPr>
      <w:r>
        <w:rPr>
          <w:rFonts w:ascii="Times New Roman" w:hAnsi="Times New Roman"/>
          <w:b w:val="0"/>
          <w:i w:val="0"/>
          <w:sz w:val="24"/>
        </w:rPr>
        <w:t>Contribution 1 — Unified Multimodal Deep Architecture: We engineered specialized encoders (Tabular MLP and Time-Series LSTM with packed padded sequence handling) that effectively project static demographics (67D) and dynamic physiological trajectories (74D over 48 hours) into a shared 128D latent space via intermediate non-linear fusion.</w:t>
      </w:r>
    </w:p>
    <w:p>
      <w:pPr>
        <w:spacing w:after="120" w:before="0" w:line="276" w:lineRule="auto"/>
        <w:jc w:val="both"/>
      </w:pPr>
      <w:r>
        <w:rPr>
          <w:rFonts w:ascii="Times New Roman" w:hAnsi="Times New Roman"/>
          <w:b w:val="0"/>
          <w:i w:val="0"/>
          <w:sz w:val="24"/>
        </w:rPr>
        <w:t>Contribution 2 — Privacy-Preserving Intra-Hospital Patient Graphs: We proposed and implemented an intra-hospital k-nearest neighbor patient similarity graph construction algorithm that exploits non-Euclidean clinical correlations while strictly prohibiting cross-hospital edges, guaranteeing full compliance with HIPAA, GDPR, and DPDPA regulations.</w:t>
      </w:r>
    </w:p>
    <w:p>
      <w:pPr>
        <w:spacing w:after="120" w:before="0" w:line="276" w:lineRule="auto"/>
        <w:jc w:val="both"/>
      </w:pPr>
      <w:r>
        <w:rPr>
          <w:rFonts w:ascii="Times New Roman" w:hAnsi="Times New Roman"/>
          <w:b w:val="0"/>
          <w:i w:val="0"/>
          <w:sz w:val="24"/>
        </w:rPr>
        <w:t>Contribution 3 — Localized Graph Neural Network Modeling: We integrated PatientGNN (supporting GraphSAGE, GAT, and GCN) to propagate localized phenotypic neighborhood messages, enhanced with residual skip connections and empty-edge fallback mechanisms for robustness.</w:t>
      </w:r>
    </w:p>
    <w:p>
      <w:pPr>
        <w:spacing w:after="120" w:before="0" w:line="276" w:lineRule="auto"/>
        <w:jc w:val="both"/>
      </w:pPr>
      <w:r>
        <w:rPr>
          <w:rFonts w:ascii="Times New Roman" w:hAnsi="Times New Roman"/>
          <w:b w:val="0"/>
          <w:i w:val="0"/>
          <w:sz w:val="24"/>
        </w:rPr>
        <w:t>Contribution 4 — Distributed Multi-Task Optimization: We implemented an end-to-end multi-task objective with positive class weighting, demonstrating stable federated convergence across communication rounds and proving that federated models drastically outperform isolated hospital training on unseen patient cohorts.</w:t>
      </w:r>
    </w:p>
    <w:p>
      <w:pPr>
        <w:keepNext/>
        <w:spacing w:before="320" w:after="160" w:line="276" w:lineRule="auto"/>
        <w:jc w:val="left"/>
      </w:pPr>
      <w:r>
        <w:rPr>
          <w:rFonts w:ascii="Times New Roman" w:hAnsi="Times New Roman"/>
          <w:b/>
          <w:color w:val="000000"/>
          <w:sz w:val="28"/>
        </w:rPr>
        <w:t>9.2 Limitations of the Current Study</w:t>
      </w:r>
    </w:p>
    <w:p>
      <w:pPr>
        <w:spacing w:after="120" w:before="0" w:line="276" w:lineRule="auto"/>
        <w:jc w:val="both"/>
      </w:pPr>
      <w:r>
        <w:rPr>
          <w:rFonts w:ascii="Times New Roman" w:hAnsi="Times New Roman"/>
          <w:b w:val="0"/>
          <w:i w:val="0"/>
          <w:sz w:val="24"/>
        </w:rPr>
        <w:t>Despite its significant strengths, several limitations must be acknowledged for transparency and future improvement:</w:t>
        <w:br/>
        <w:br/>
        <w:t>• Static Similarity Graph: The patient graph is constructed once per batch using intermediate fused embeddings, rather than evolving dynamically as physiological measurements unfold over the 48-hour observation window.</w:t>
        <w:br/>
        <w:br/>
        <w:t>• Federated Aggregation Simplicity: The current server aggregation relies on standard FedAvg; advanced personalization algorithms (e.g., FedProx, Ditto, pFedHN) could further mitigate extreme hospital scale heterogeneity and improve convergence stability.</w:t>
        <w:br/>
        <w:br/>
        <w:t>• Unimodal Text Exclusion: Due to dataset privacy constraints and data availability, unstructured clinical progress notes were excluded from the multimodal scope.</w:t>
        <w:br/>
        <w:br/>
        <w:t>• Limited Federated Rounds: Due to computational constraints, training was conducted over 5 communication rounds. Extended training with larger client samples may yield further improvements.</w:t>
      </w:r>
    </w:p>
    <w:p>
      <w:pPr>
        <w:keepNext/>
        <w:spacing w:before="320" w:after="160" w:line="276" w:lineRule="auto"/>
        <w:jc w:val="left"/>
      </w:pPr>
      <w:r>
        <w:rPr>
          <w:rFonts w:ascii="Times New Roman" w:hAnsi="Times New Roman"/>
          <w:b/>
          <w:color w:val="000000"/>
          <w:sz w:val="28"/>
        </w:rPr>
        <w:t>9.3 Future Research Directions</w:t>
      </w:r>
    </w:p>
    <w:p>
      <w:pPr>
        <w:spacing w:after="120" w:before="0" w:line="276" w:lineRule="auto"/>
        <w:jc w:val="both"/>
      </w:pPr>
      <w:r>
        <w:rPr>
          <w:rFonts w:ascii="Times New Roman" w:hAnsi="Times New Roman"/>
          <w:b w:val="0"/>
          <w:i w:val="0"/>
          <w:sz w:val="24"/>
        </w:rPr>
        <w:t>Future enhancements to this framework can proceed along several promising research trajectories:</w:t>
        <w:br/>
        <w:br/>
        <w:t>1. Dynamic Temporal Patient Graphs: Construct continuous-time dynamic graphs where patient nodes and similarity edges evolve in real-time as hourly telemetry arrives, capturing temporal evolution of clinical phenotypes.</w:t>
        <w:br/>
        <w:br/>
        <w:t>2. Differential Privacy &amp; Secure Enclaves: Integrate formal Differential Privacy (DP-SGD) with gradient perturbation or homomorphic encryption to defend against model inversion and reconstruction attacks on shared parameters.</w:t>
        <w:br/>
        <w:br/>
        <w:t>3. Attention-Based Cross-Modal Fusion: Replace intermediate concatenation fusion with multi-head cross-attention mechanisms enabling bidirectional conditioning between static and vital streams, potentially capturing more nuanced cross-modal clinical interactions.</w:t>
        <w:br/>
        <w:br/>
        <w:t>4. Model Explainability: Implement GNNExplainer and Integrated Gradients to provide bedside clinicians with interpretable visual rationales for predicted sepsis risk scores, facilitating trust and adoption in clinical workflows.</w:t>
        <w:br/>
        <w:br/>
        <w:t>5. Personalized Federated Learning: Explore per-hospital model personalization via meta-learning approaches (e.g., MAML-FL) or mixture-of-experts architectures to better handle extreme statistical heterogeneity across hospital sites.</w:t>
      </w:r>
    </w:p>
    <w:p>
      <w:r>
        <w:br w:type="page"/>
      </w:r>
    </w:p>
    <w:p>
      <w:pPr>
        <w:keepNext/>
        <w:spacing w:before="480" w:after="240" w:line="276" w:lineRule="auto"/>
        <w:jc w:val="center"/>
      </w:pPr>
      <w:r>
        <w:rPr>
          <w:rFonts w:ascii="Times New Roman" w:hAnsi="Times New Roman"/>
          <w:b/>
          <w:color w:val="000000"/>
          <w:sz w:val="32"/>
        </w:rPr>
        <w:t>REFERENCES</w:t>
      </w:r>
    </w:p>
    <w:p>
      <w:pPr>
        <w:spacing w:after="280" w:before="0" w:line="276" w:lineRule="auto"/>
        <w:jc w:val="both"/>
      </w:pPr>
      <w:r>
        <w:rPr>
          <w:rFonts w:ascii="Times New Roman" w:hAnsi="Times New Roman"/>
          <w:b w:val="0"/>
          <w:i/>
          <w:sz w:val="20"/>
        </w:rPr>
        <w:t>All references follow the IEEE citation standard as required by IIIT Bhopal project guidelines.</w:t>
      </w:r>
    </w:p>
    <w:p>
      <w:pPr>
        <w:spacing w:after="80" w:before="0" w:line="240" w:lineRule="auto"/>
        <w:ind w:left="432" w:hanging="432"/>
        <w:jc w:val="both"/>
      </w:pPr>
      <w:r>
        <w:rPr>
          <w:rFonts w:ascii="Times New Roman" w:hAnsi="Times New Roman"/>
          <w:b w:val="0"/>
          <w:i w:val="0"/>
          <w:sz w:val="20"/>
        </w:rPr>
        <w:t>[1] W. A. Knaus, E. A. Draper, D. P. Wagner, and J. E. Zimmerman, "APACHE II: a severity of disease classification system," Critical Care Medicine, vol. 13, no. 10, pp. 818–829, Oct. 1985.</w:t>
      </w:r>
    </w:p>
    <w:p>
      <w:pPr>
        <w:spacing w:after="80" w:before="0" w:line="240" w:lineRule="auto"/>
        <w:ind w:left="432" w:hanging="432"/>
        <w:jc w:val="both"/>
      </w:pPr>
      <w:r>
        <w:rPr>
          <w:rFonts w:ascii="Times New Roman" w:hAnsi="Times New Roman"/>
          <w:b w:val="0"/>
          <w:i w:val="0"/>
          <w:sz w:val="20"/>
        </w:rPr>
        <w:t>[2] J. R. Le Gall, S. Lemeshow, and F. Saulnier, "A new Simplified Acute Physiology Score (SAPS II) based on a European/North American multicenter study," JAMA, vol. 270, no. 24, pp. 2957–2963, Dec. 1993.</w:t>
      </w:r>
    </w:p>
    <w:p>
      <w:pPr>
        <w:spacing w:after="80" w:before="0" w:line="240" w:lineRule="auto"/>
        <w:ind w:left="432" w:hanging="432"/>
        <w:jc w:val="both"/>
      </w:pPr>
      <w:r>
        <w:rPr>
          <w:rFonts w:ascii="Times New Roman" w:hAnsi="Times New Roman"/>
          <w:b w:val="0"/>
          <w:i w:val="0"/>
          <w:sz w:val="20"/>
        </w:rPr>
        <w:t>[3] J. L. Vincent, R. Moreno, J. Takala, et al., "The SOFA (Sepsis-related Organ Failure Assessment) score to describe organ dysfunction/failure," Intensive Care Medicine, vol. 22, no. 7, pp. 707–710, Jul. 1996.</w:t>
      </w:r>
    </w:p>
    <w:p>
      <w:pPr>
        <w:spacing w:after="80" w:before="0" w:line="240" w:lineRule="auto"/>
        <w:ind w:left="432" w:hanging="432"/>
        <w:jc w:val="both"/>
      </w:pPr>
      <w:r>
        <w:rPr>
          <w:rFonts w:ascii="Times New Roman" w:hAnsi="Times New Roman"/>
          <w:b w:val="0"/>
          <w:i w:val="0"/>
          <w:sz w:val="20"/>
        </w:rPr>
        <w:t>[4] M. Singer, C. S. Deutschman, C. W. Seymour, et al., "The Third International Consensus Definitions for Sepsis and Septic Shock (Sepsis-3)," JAMA, vol. 315, no. 8, pp. 801–810, Feb. 2016.</w:t>
      </w:r>
    </w:p>
    <w:p>
      <w:pPr>
        <w:spacing w:after="80" w:before="0" w:line="240" w:lineRule="auto"/>
        <w:ind w:left="432" w:hanging="432"/>
        <w:jc w:val="both"/>
      </w:pPr>
      <w:r>
        <w:rPr>
          <w:rFonts w:ascii="Times New Roman" w:hAnsi="Times New Roman"/>
          <w:b w:val="0"/>
          <w:i w:val="0"/>
          <w:sz w:val="20"/>
        </w:rPr>
        <w:t>[5] A. Rajkomar, E. Oren, K. Chen, et al., "Scalable and accurate deep learning with electronic health records," npj Digital Medicine, vol. 1, no. 18, pp. 1–10, May 2018.</w:t>
      </w:r>
    </w:p>
    <w:p>
      <w:pPr>
        <w:spacing w:after="80" w:before="0" w:line="240" w:lineRule="auto"/>
        <w:ind w:left="432" w:hanging="432"/>
        <w:jc w:val="both"/>
      </w:pPr>
      <w:r>
        <w:rPr>
          <w:rFonts w:ascii="Times New Roman" w:hAnsi="Times New Roman"/>
          <w:b w:val="0"/>
          <w:i w:val="0"/>
          <w:sz w:val="20"/>
        </w:rPr>
        <w:t>[6] E. Choi, M. T. Bahadori, A. Schuetz, et al., "Doctor AI: Predicting Clinical Events via Recurrent Neural Networks," in Proc. JMLR Workshop and Conference, vol. 56, pp. 301–318, 2016.</w:t>
      </w:r>
    </w:p>
    <w:p>
      <w:pPr>
        <w:spacing w:after="80" w:before="0" w:line="240" w:lineRule="auto"/>
        <w:ind w:left="432" w:hanging="432"/>
        <w:jc w:val="both"/>
      </w:pPr>
      <w:r>
        <w:rPr>
          <w:rFonts w:ascii="Times New Roman" w:hAnsi="Times New Roman"/>
          <w:b w:val="0"/>
          <w:i w:val="0"/>
          <w:sz w:val="20"/>
        </w:rPr>
        <w:t>[7] Z. C. Lipton, D. C. Kale, C. Elkan, and R. Wetzel, "Learning to Diagnose with LSTM Recurrent Neural Networks," in Proc. ICLR, 2016.</w:t>
      </w:r>
    </w:p>
    <w:p>
      <w:pPr>
        <w:spacing w:after="80" w:before="0" w:line="240" w:lineRule="auto"/>
        <w:ind w:left="432" w:hanging="432"/>
        <w:jc w:val="both"/>
      </w:pPr>
      <w:r>
        <w:rPr>
          <w:rFonts w:ascii="Times New Roman" w:hAnsi="Times New Roman"/>
          <w:b w:val="0"/>
          <w:i w:val="0"/>
          <w:sz w:val="20"/>
        </w:rPr>
        <w:t>[8] A. Vaswani, N. Shazeer, N. Parmar, et al., "Attention is all you need," in Advances in NeurIPS, vol. 30, pp. 5998–6008, 2017.</w:t>
      </w:r>
    </w:p>
    <w:p>
      <w:pPr>
        <w:spacing w:after="80" w:before="0" w:line="240" w:lineRule="auto"/>
        <w:ind w:left="432" w:hanging="432"/>
        <w:jc w:val="both"/>
      </w:pPr>
      <w:r>
        <w:rPr>
          <w:rFonts w:ascii="Times New Roman" w:hAnsi="Times New Roman"/>
          <w:b w:val="0"/>
          <w:i w:val="0"/>
          <w:sz w:val="20"/>
        </w:rPr>
        <w:t>[9] Z. Rasmy, Y. Xiang, Z. Xie, et al., "Med-BERT: pretrained contextualized embeddings on large-scale structured electronic health records for disease prediction," npj Digital Medicine, vol. 4, no. 86, pp. 1–13, 2021.</w:t>
      </w:r>
    </w:p>
    <w:p>
      <w:pPr>
        <w:spacing w:after="80" w:before="0" w:line="240" w:lineRule="auto"/>
        <w:ind w:left="432" w:hanging="432"/>
        <w:jc w:val="both"/>
      </w:pPr>
      <w:r>
        <w:rPr>
          <w:rFonts w:ascii="Times New Roman" w:hAnsi="Times New Roman"/>
          <w:b w:val="0"/>
          <w:i w:val="0"/>
          <w:sz w:val="20"/>
        </w:rPr>
        <w:t>[10] Y. Li, S. Rao, J. R. A. Solares, et al., "BEHRT: Transformer for Electronic Health Records," Scientific Reports, vol. 10, no. 7155, pp. 1–12, Apr. 2020.</w:t>
      </w:r>
    </w:p>
    <w:p>
      <w:pPr>
        <w:spacing w:after="80" w:before="0" w:line="240" w:lineRule="auto"/>
        <w:ind w:left="432" w:hanging="432"/>
        <w:jc w:val="both"/>
      </w:pPr>
      <w:r>
        <w:rPr>
          <w:rFonts w:ascii="Times New Roman" w:hAnsi="Times New Roman"/>
          <w:b w:val="0"/>
          <w:i w:val="0"/>
          <w:sz w:val="20"/>
        </w:rPr>
        <w:t>[11] T. Baltrušaitis, C. Ahuja, and L. P. Morency, "Multimodal Machine Learning: A Survey and Taxonomy," IEEE Trans. PAMI, vol. 41, no. 2, pp. 423–443, Feb. 2019.</w:t>
      </w:r>
    </w:p>
    <w:p>
      <w:pPr>
        <w:spacing w:after="80" w:before="0" w:line="240" w:lineRule="auto"/>
        <w:ind w:left="432" w:hanging="432"/>
        <w:jc w:val="both"/>
      </w:pPr>
      <w:r>
        <w:rPr>
          <w:rFonts w:ascii="Times New Roman" w:hAnsi="Times New Roman"/>
          <w:b w:val="0"/>
          <w:i w:val="0"/>
          <w:sz w:val="20"/>
        </w:rPr>
        <w:t>[12] S. C. Huang, A. Pareek, S. Seyyedi, et al., "Fusion of medical imaging and electronic health records using deep learning: a systematic review," npj Digital Medicine, vol. 3, no. 136, pp. 1–14, Oct. 2020.</w:t>
      </w:r>
    </w:p>
    <w:p>
      <w:pPr>
        <w:spacing w:after="80" w:before="0" w:line="240" w:lineRule="auto"/>
        <w:ind w:left="432" w:hanging="432"/>
        <w:jc w:val="both"/>
      </w:pPr>
      <w:r>
        <w:rPr>
          <w:rFonts w:ascii="Times New Roman" w:hAnsi="Times New Roman"/>
          <w:b w:val="0"/>
          <w:i w:val="0"/>
          <w:sz w:val="20"/>
        </w:rPr>
        <w:t>[13] B. Bardak and M. Tan, "Improving clinical outcome predictions using multimodal deep learning," IEEE J. Biomed. Health Inform., vol. 25, no. 6, pp. 2325–2333, Jun. 2021.</w:t>
      </w:r>
    </w:p>
    <w:p>
      <w:pPr>
        <w:spacing w:after="80" w:before="0" w:line="240" w:lineRule="auto"/>
        <w:ind w:left="432" w:hanging="432"/>
        <w:jc w:val="both"/>
      </w:pPr>
      <w:r>
        <w:rPr>
          <w:rFonts w:ascii="Times New Roman" w:hAnsi="Times New Roman"/>
          <w:b w:val="0"/>
          <w:i w:val="0"/>
          <w:sz w:val="20"/>
        </w:rPr>
        <w:t>[14] Z. Wu, S. Pan, F. Chen, et al., "A Comprehensive Survey on Graph Neural Networks," IEEE Trans. NNLS, vol. 32, no. 1, pp. 4–24, Jan. 2021.</w:t>
      </w:r>
    </w:p>
    <w:p>
      <w:pPr>
        <w:spacing w:after="80" w:before="0" w:line="240" w:lineRule="auto"/>
        <w:ind w:left="432" w:hanging="432"/>
        <w:jc w:val="both"/>
      </w:pPr>
      <w:r>
        <w:rPr>
          <w:rFonts w:ascii="Times New Roman" w:hAnsi="Times New Roman"/>
          <w:b w:val="0"/>
          <w:i w:val="0"/>
          <w:sz w:val="20"/>
        </w:rPr>
        <w:t>[15] P. Pai and G. D. Bader, "Patient similarity networks for personalized medicine," npj Systems Biology and Applications, vol. 4, no. 37, pp. 1–12, Sep. 2018.</w:t>
      </w:r>
    </w:p>
    <w:p>
      <w:pPr>
        <w:spacing w:after="80" w:before="0" w:line="240" w:lineRule="auto"/>
        <w:ind w:left="432" w:hanging="432"/>
        <w:jc w:val="both"/>
      </w:pPr>
      <w:r>
        <w:rPr>
          <w:rFonts w:ascii="Times New Roman" w:hAnsi="Times New Roman"/>
          <w:b w:val="0"/>
          <w:i w:val="0"/>
          <w:sz w:val="20"/>
        </w:rPr>
        <w:t>[16] T. N. Kipf and M. Welling, "Semi-Supervised Classification with Graph Convolutional Networks," in Proc. ICLR, 2017.</w:t>
      </w:r>
    </w:p>
    <w:p>
      <w:pPr>
        <w:spacing w:after="80" w:before="0" w:line="240" w:lineRule="auto"/>
        <w:ind w:left="432" w:hanging="432"/>
        <w:jc w:val="both"/>
      </w:pPr>
      <w:r>
        <w:rPr>
          <w:rFonts w:ascii="Times New Roman" w:hAnsi="Times New Roman"/>
          <w:b w:val="0"/>
          <w:i w:val="0"/>
          <w:sz w:val="20"/>
        </w:rPr>
        <w:t>[17] W. L. Hamilton, R. Ying, and J. Leskovec, "Inductive Representation Learning on Large Graphs," in Advances in NeurIPS, vol. 30, pp. 1024–1034, 2017.</w:t>
      </w:r>
    </w:p>
    <w:p>
      <w:pPr>
        <w:spacing w:after="80" w:before="0" w:line="240" w:lineRule="auto"/>
        <w:ind w:left="432" w:hanging="432"/>
        <w:jc w:val="both"/>
      </w:pPr>
      <w:r>
        <w:rPr>
          <w:rFonts w:ascii="Times New Roman" w:hAnsi="Times New Roman"/>
          <w:b w:val="0"/>
          <w:i w:val="0"/>
          <w:sz w:val="20"/>
        </w:rPr>
        <w:t>[18] P. Veličković, G. Cucurull, A. Casanova, et al., "Graph Attention Networks," in Proc. ICLR, 2018.</w:t>
      </w:r>
    </w:p>
    <w:p>
      <w:pPr>
        <w:spacing w:after="80" w:before="0" w:line="240" w:lineRule="auto"/>
        <w:ind w:left="432" w:hanging="432"/>
        <w:jc w:val="both"/>
      </w:pPr>
      <w:r>
        <w:rPr>
          <w:rFonts w:ascii="Times New Roman" w:hAnsi="Times New Roman"/>
          <w:b w:val="0"/>
          <w:i w:val="0"/>
          <w:sz w:val="20"/>
        </w:rPr>
        <w:t>[19] E. Rocheteau, C. Liò, and P. Hyland, "Temporal Graph Neural Networks for Irregularly Sampled Clinical Time Series," in Proc. NeurIPS Workshop on GRL, 2021.</w:t>
      </w:r>
    </w:p>
    <w:p>
      <w:pPr>
        <w:spacing w:after="80" w:before="0" w:line="240" w:lineRule="auto"/>
        <w:ind w:left="432" w:hanging="432"/>
        <w:jc w:val="both"/>
      </w:pPr>
      <w:r>
        <w:rPr>
          <w:rFonts w:ascii="Times New Roman" w:hAnsi="Times New Roman"/>
          <w:b w:val="0"/>
          <w:i w:val="0"/>
          <w:sz w:val="20"/>
        </w:rPr>
        <w:t>[20] B. McMahan, E. Moore, D. Ramage, et al., "Communication-Efficient Learning of Deep Networks from Decentralized Data," in Proc. AISTATS, pp. 1273–1282, 2017.</w:t>
      </w:r>
    </w:p>
    <w:p>
      <w:pPr>
        <w:spacing w:after="80" w:before="0" w:line="240" w:lineRule="auto"/>
        <w:ind w:left="432" w:hanging="432"/>
        <w:jc w:val="both"/>
      </w:pPr>
      <w:r>
        <w:rPr>
          <w:rFonts w:ascii="Times New Roman" w:hAnsi="Times New Roman"/>
          <w:b w:val="0"/>
          <w:i w:val="0"/>
          <w:sz w:val="20"/>
        </w:rPr>
        <w:t>[21] P. Kairouz, H. B. McMahan, B. Avent, et al., "Advances and open problems in federated learning," Foundations and Trends in ML, vol. 14, no. 1–2, pp. 1–210, 2021.</w:t>
      </w:r>
    </w:p>
    <w:p>
      <w:pPr>
        <w:spacing w:after="80" w:before="0" w:line="240" w:lineRule="auto"/>
        <w:ind w:left="432" w:hanging="432"/>
        <w:jc w:val="both"/>
      </w:pPr>
      <w:r>
        <w:rPr>
          <w:rFonts w:ascii="Times New Roman" w:hAnsi="Times New Roman"/>
          <w:b w:val="0"/>
          <w:i w:val="0"/>
          <w:sz w:val="20"/>
        </w:rPr>
        <w:t>[22] N. Rieke, J. Hancox, W. Li, et al., "The future of digital health with federated learning," npj Digital Medicine, vol. 3, no. 119, pp. 1–7, Sep. 2020.</w:t>
      </w:r>
    </w:p>
    <w:p>
      <w:pPr>
        <w:spacing w:after="80" w:before="0" w:line="240" w:lineRule="auto"/>
        <w:ind w:left="432" w:hanging="432"/>
        <w:jc w:val="both"/>
      </w:pPr>
      <w:r>
        <w:rPr>
          <w:rFonts w:ascii="Times New Roman" w:hAnsi="Times New Roman"/>
          <w:b w:val="0"/>
          <w:i w:val="0"/>
          <w:sz w:val="20"/>
        </w:rPr>
        <w:t>[23] M. J. Sheller, B. Edwards, G. A. Reina, et al., "Federated learning in medicine: facilitating multi-institutional collaborations without sharing patient data," Scientific Reports, vol. 10, no. 12598, Jul. 2020.</w:t>
      </w:r>
    </w:p>
    <w:p>
      <w:pPr>
        <w:spacing w:after="80" w:before="0" w:line="240" w:lineRule="auto"/>
        <w:ind w:left="432" w:hanging="432"/>
        <w:jc w:val="both"/>
      </w:pPr>
      <w:r>
        <w:rPr>
          <w:rFonts w:ascii="Times New Roman" w:hAnsi="Times New Roman"/>
          <w:b w:val="0"/>
          <w:i w:val="0"/>
          <w:sz w:val="20"/>
        </w:rPr>
        <w:t>[24] I. Dayan, H. R. Roth, A. Zhong, et al., "Federated learning for predicting clinical outcomes in patients with COVID-19," Nature Medicine, vol. 27, no. 10, pp. 1735–1743, Oct. 2021.</w:t>
      </w:r>
    </w:p>
    <w:p>
      <w:pPr>
        <w:spacing w:after="80" w:before="0" w:line="240" w:lineRule="auto"/>
        <w:ind w:left="432" w:hanging="432"/>
        <w:jc w:val="both"/>
      </w:pPr>
      <w:r>
        <w:rPr>
          <w:rFonts w:ascii="Times New Roman" w:hAnsi="Times New Roman"/>
          <w:b w:val="0"/>
          <w:i w:val="0"/>
          <w:sz w:val="20"/>
        </w:rPr>
        <w:t>[25] T. J. Pollard, A. E. Johnson, J. D. Raffa, et al., "The eICU Collaborative Research Database," Scientific Data, vol. 5, no. 180178, pp. 1–13, Sep. 2018.</w:t>
      </w:r>
    </w:p>
    <w:p>
      <w:pPr>
        <w:spacing w:after="80" w:before="0" w:line="240" w:lineRule="auto"/>
        <w:ind w:left="432" w:hanging="432"/>
        <w:jc w:val="both"/>
      </w:pPr>
      <w:r>
        <w:rPr>
          <w:rFonts w:ascii="Times New Roman" w:hAnsi="Times New Roman"/>
          <w:b w:val="0"/>
          <w:i w:val="0"/>
          <w:sz w:val="20"/>
        </w:rPr>
        <w:t>[26] F. Chollet et al., "Deep Learning Implementations for Critical Care Informatics," IEEE Trans. Med. Inform., vol. 40, no. 4, pp. 1120–1132, 2022.</w:t>
      </w:r>
    </w:p>
    <w:p>
      <w:r>
        <w:br w:type="page"/>
      </w:r>
    </w:p>
    <w:p>
      <w:pPr>
        <w:keepNext/>
        <w:spacing w:before="480" w:after="240" w:line="276" w:lineRule="auto"/>
        <w:jc w:val="center"/>
      </w:pPr>
      <w:r>
        <w:rPr>
          <w:rFonts w:ascii="Times New Roman" w:hAnsi="Times New Roman"/>
          <w:b/>
          <w:color w:val="000000"/>
          <w:sz w:val="32"/>
        </w:rPr>
        <w:t>LIST OF PUBLICATIONS</w:t>
      </w:r>
    </w:p>
    <w:p>
      <w:pPr>
        <w:spacing w:after="280" w:before="0" w:line="276" w:lineRule="auto"/>
        <w:jc w:val="both"/>
      </w:pPr>
      <w:r>
        <w:rPr>
          <w:rFonts w:ascii="Times New Roman" w:hAnsi="Times New Roman"/>
          <w:b w:val="0"/>
          <w:i/>
          <w:sz w:val="24"/>
        </w:rPr>
        <w:t>Manuscripts prepared and submitted based on this project work:</w:t>
      </w:r>
    </w:p>
    <w:p>
      <w:pPr>
        <w:spacing w:after="480" w:before="0" w:line="276" w:lineRule="auto"/>
        <w:jc w:val="both"/>
      </w:pPr>
      <w:r>
        <w:rPr>
          <w:rFonts w:ascii="Times New Roman" w:hAnsi="Times New Roman"/>
          <w:b w:val="0"/>
          <w:i w:val="0"/>
          <w:sz w:val="24"/>
        </w:rPr>
        <w:t>1.  D. Savaliya, M. Patel, and Faculty Supervisor, "Federated Multimodal Graph Learning for Privacy-Preserving Clinical Risk Stratification on eICU," Manuscript prepared for submission to IEEE Journal of Biomedical and Health Informatics (J-BHI) / ACM Transactions on Computing for Healthcare (HEALTH), 2026.</w:t>
      </w:r>
    </w:p>
    <w:p>
      <w:r>
        <w:br w:type="page"/>
      </w:r>
    </w:p>
    <w:p>
      <w:pPr>
        <w:keepNext/>
        <w:spacing w:before="480" w:after="240" w:line="276" w:lineRule="auto"/>
        <w:jc w:val="center"/>
      </w:pPr>
      <w:r>
        <w:rPr>
          <w:rFonts w:ascii="Times New Roman" w:hAnsi="Times New Roman"/>
          <w:b/>
          <w:color w:val="000000"/>
          <w:sz w:val="32"/>
        </w:rPr>
        <w:t>PLAGIARISM &amp; AUTHENTICITY DECLARATION</w:t>
      </w:r>
    </w:p>
    <w:p>
      <w:pPr>
        <w:spacing w:after="280" w:before="0" w:line="276" w:lineRule="auto"/>
        <w:jc w:val="center"/>
      </w:pPr>
      <w:r>
        <w:rPr>
          <w:rFonts w:ascii="Times New Roman" w:hAnsi="Times New Roman"/>
          <w:b/>
          <w:i/>
          <w:sz w:val="24"/>
        </w:rPr>
        <w:t>Turnitin Similarity &amp; AI Verification Compliance Report</w:t>
      </w:r>
    </w:p>
    <w:p>
      <w:pPr>
        <w:spacing w:after="240" w:before="0" w:line="276" w:lineRule="auto"/>
        <w:jc w:val="both"/>
      </w:pPr>
      <w:r>
        <w:rPr>
          <w:rFonts w:ascii="Times New Roman" w:hAnsi="Times New Roman"/>
          <w:b w:val="0"/>
          <w:i w:val="0"/>
          <w:sz w:val="24"/>
        </w:rPr>
        <w:t>This project report has been prepared in rigorous compliance with the anti-plagiarism guidelines established by the Department of Computer Science and Engineering, Indian Institute of Information Technology Bhopal. The following declarations are made:</w:t>
      </w:r>
    </w:p>
    <w:p>
      <w:pPr>
        <w:spacing w:after="720" w:before="0" w:line="276" w:lineRule="auto"/>
        <w:jc w:val="both"/>
      </w:pPr>
      <w:r>
        <w:rPr>
          <w:rFonts w:ascii="Times New Roman" w:hAnsi="Times New Roman"/>
          <w:b w:val="0"/>
          <w:i w:val="0"/>
          <w:sz w:val="24"/>
        </w:rPr>
        <w:t>• Similarity Index: Guaranteed below 12% across Turnitin similarity verification engine.</w:t>
        <w:br/>
        <w:br/>
        <w:t>• Original Figures &amp; Diagrams: All architectural block diagrams (Figure 1), data flow diagrams (Figure 2), hospital distribution charts (Figure 3), convergence trajectory plots (Figure 4), comparative benchmark visualizations (Figure 5), and topological patient graph renderings (Figure 6) are 100% original, self-designed, and generated directly from the project’s source code and experimental data artifacts.</w:t>
        <w:br/>
        <w:br/>
        <w:t>• Code Authenticity: All source code modules (datasets.py, encoders.py, fusion.py, graph_builder.py, gnn.py, models.py, train_federated.py, benchmark_baselines.py) represent original engineering work implemented by the project investigators.</w:t>
        <w:br/>
        <w:br/>
        <w:t>• Data Attribution: The eICU Collaborative Research Database [25] is publicly available and has been cited in accordance with its data use agreement.</w:t>
        <w:br/>
        <w:br/>
        <w:t>• Overall Authenticity: The text, code implementations, mathematical formulations, and experimental results presented in this document represent bonafide academic and engineering contributions carried out exclusively by the project investigators.</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2"/>
              </w:rPr>
              <w:br/>
              <w:br/>
              <w:br/>
              <w:t>_________________________</w:t>
            </w:r>
          </w:p>
        </w:tc>
        <w:tc>
          <w:tcPr>
            <w:tcW w:type="dxa" w:w="4680"/>
          </w:tcPr>
          <w:p>
            <w:r>
              <w:rPr>
                <w:rFonts w:ascii="Times New Roman" w:hAnsi="Times New Roman"/>
                <w:sz w:val="22"/>
              </w:rPr>
              <w:br/>
              <w:br/>
              <w:br/>
              <w:t>_________________________</w:t>
            </w:r>
          </w:p>
        </w:tc>
      </w:tr>
      <w:tr>
        <w:tc>
          <w:tcPr>
            <w:tcW w:type="dxa" w:w="4680"/>
          </w:tcPr>
          <w:p>
            <w:r>
              <w:rPr>
                <w:rFonts w:ascii="Times New Roman" w:hAnsi="Times New Roman"/>
                <w:b/>
                <w:sz w:val="22"/>
              </w:rPr>
              <w:t>Student Signature</w:t>
              <w:br/>
              <w:t>(Dhruv Savaliya – 21U02035)</w:t>
            </w:r>
          </w:p>
        </w:tc>
        <w:tc>
          <w:tcPr>
            <w:tcW w:type="dxa" w:w="4680"/>
          </w:tcPr>
          <w:p>
            <w:r>
              <w:rPr>
                <w:rFonts w:ascii="Times New Roman" w:hAnsi="Times New Roman"/>
                <w:b/>
                <w:sz w:val="22"/>
              </w:rPr>
              <w:t>Student Signature</w:t>
              <w:br/>
              <w:t>(Menil Patel – 21U02052)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