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Remote Work Policy</w:t>
      </w:r>
    </w:p>
    <w:p>
      <w:r>
        <w:br/>
      </w:r>
    </w:p>
    <w:p>
      <w:pPr>
        <w:jc w:val="center"/>
      </w:pPr>
      <w:r>
        <w:t>Department: hr</w:t>
        <w:br/>
      </w:r>
      <w:r>
        <w:t>Version: v1</w:t>
        <w:br/>
      </w:r>
      <w:r>
        <w:t>Generated On: 2026-02-25</w:t>
        <w:br/>
      </w:r>
    </w:p>
    <w:p>
      <w:r>
        <w:br/>
        <w:br/>
      </w:r>
    </w:p>
    <w:p>
      <w:r>
        <w:br w:type="page"/>
      </w:r>
    </w:p>
    <w:p>
      <w:pPr>
        <w:pStyle w:val="Heading1"/>
      </w:pPr>
      <w:r>
        <w:rPr>
          <w:b/>
        </w:rPr>
        <w:t>Title</w:t>
      </w:r>
    </w:p>
    <w:p/>
    <w:p>
      <w:r>
        <w:t>AI Solution Remote Work Policy</w:t>
      </w:r>
    </w:p>
    <w:p>
      <w:r>
        <w:t>This policy outlines the guidelines and requirements for employees eligible to work remotely within AI Solution, a SaaS company operating in Gujarat, Republic of India. It ensures compliance with SOC2 standards and addresses the high-risk nature of remote work arrangements.</w:t>
      </w:r>
    </w:p>
    <w:p>
      <w:r>
        <w:t>The policy is effective from 2026-02-25 and is overseen by the Head of Human Resources (HR Director), who is responsible for policy compliance and review. It applies to employees in roles that do not require physical presence, including Engineering, Product, HR, Finance, and Marketing.</w:t>
      </w:r>
    </w:p>
    <w:p>
      <w:r>
        <w:t>Remote work is permitted only within approved regions where the company operates legally, and employees must adhere to all security protocols, including mandatory VPN use.</w:t>
      </w:r>
    </w:p>
    <w:p>
      <w:pPr>
        <w:pStyle w:val="Heading1"/>
      </w:pPr>
      <w:r>
        <w:rPr>
          <w:b/>
        </w:rPr>
        <w:t>Purpose</w:t>
      </w:r>
    </w:p>
    <w:p/>
    <w:p>
      <w:r>
        <w:t>This policy establishes the framework for managing high-risk operations within AI solution, a SaaS company operating in Gujarat, India. It aims to ensure compliance with SOC 2 standards, safeguard company assets, and protect sensitive data. The policy defines roles, responsibilities, and controls necessary to mitigate risks associated with our business activities. It applies to all employees, particularly those in remote roles, to maintain operational integrity and regulatory adherence. Regular review and enforcement of this policy support the company’s commitment to security, reliability, and trustworthiness in delivering AI-driven solutions.</w:t>
      </w:r>
    </w:p>
    <w:p>
      <w:pPr>
        <w:pStyle w:val="Heading1"/>
      </w:pPr>
      <w:r>
        <w:rPr>
          <w:b/>
        </w:rPr>
        <w:t>Scope</w:t>
      </w:r>
    </w:p>
    <w:p/>
    <w:p>
      <w:r>
        <w:t>This policy applies to all employees of AI solution, a SaaS company operating in Gujarat, Republic of India. It covers personnel in roles eligible for remote work, including Engineering, Product, HR, Finance, and Marketing. The scope includes employees working remotely within approved regions where the company operates legally. The policy is designed to ensure compliance with SOC2 requirements and addresses high-risk operational areas. It is applicable regardless of employee tenure and governs activities related to maintaining security, confidentiality, and operational integrity in remote work environments.</w:t>
      </w:r>
    </w:p>
    <w:p>
      <w:pPr>
        <w:pStyle w:val="Heading1"/>
      </w:pPr>
      <w:r>
        <w:rPr>
          <w:b/>
        </w:rPr>
        <w:t>Definitions</w:t>
      </w:r>
    </w:p>
    <w:p/>
    <w:p>
      <w:pPr>
        <w:pStyle w:val="ListBullet"/>
      </w:pPr>
      <w:r>
        <w:t>AI Solution: The company providing SaaS products and services, headquartered in Gujarat, Republic of India.</w:t>
      </w:r>
    </w:p>
    <w:p>
      <w:pPr>
        <w:pStyle w:val="ListBullet"/>
      </w:pPr>
      <w:r>
        <w:t>SOC 2 Compliance: A framework for managing data based on five trust service criteria relevant to security, availability, processing integrity, confidentiality, and privacy.</w:t>
      </w:r>
    </w:p>
    <w:p>
      <w:pPr>
        <w:pStyle w:val="ListBullet"/>
      </w:pPr>
      <w:r>
        <w:t>Eligible Roles: Job positions within AI Solution that do not require physical presence, including Engineering, Product, HR, Finance, and Marketing.</w:t>
      </w:r>
    </w:p>
    <w:p>
      <w:pPr>
        <w:pStyle w:val="ListBullet"/>
      </w:pPr>
      <w:r>
        <w:t>Policy Owner: Head of Human Resources (HR Director), responsible for policy oversight and compliance.</w:t>
      </w:r>
    </w:p>
    <w:p>
      <w:pPr>
        <w:pStyle w:val="ListBullet"/>
      </w:pPr>
      <w:r>
        <w:t>Applicable Locations: Approved regions where AI Solution operates legally and employees are permitted to work remotely.</w:t>
      </w:r>
    </w:p>
    <w:p>
      <w:pPr>
        <w:pStyle w:val="ListBullet"/>
      </w:pPr>
      <w:r>
        <w:t>Minimum Tenure: The minimum employment duration required to be eligible for certain policy benefits, set at 0.0 months.</w:t>
      </w:r>
    </w:p>
    <w:p>
      <w:pPr>
        <w:pStyle w:val="ListBullet"/>
      </w:pPr>
      <w:r>
        <w:t>Risk Level: Classification of the policy’s impact and priority, designated as HIGH for this document.</w:t>
      </w:r>
    </w:p>
    <w:p>
      <w:pPr>
        <w:pStyle w:val="Heading1"/>
      </w:pPr>
      <w:r>
        <w:rPr>
          <w:b/>
        </w:rPr>
        <w:t>Eligibility</w:t>
      </w:r>
    </w:p>
    <w:p/>
    <w:p>
      <w:r>
        <w:t>for participation in this policy is limited to employees holding roles that do not require physical presence, including Engineering, Product, HR, Finance, and Marketing. Employees must be working remotely within approved regions where the company operates legally, specifically within India. There is no minimum tenure requirement for eligibility. All eligible employees must comply with company security standards, including mandatory VPN usage during remote work. This policy applies to all eligible employees effective from 2026-02-25 and will be reviewed annually or as required due to regulatory or operational changes.</w:t>
      </w:r>
    </w:p>
    <w:p>
      <w:pPr>
        <w:pStyle w:val="Heading1"/>
      </w:pPr>
      <w:r>
        <w:rPr>
          <w:b/>
        </w:rPr>
        <w:t>Work Hours &amp; Availability</w:t>
      </w:r>
    </w:p>
    <w:p/>
    <w:p>
      <w:r>
        <w:t>Employees are expected to be available during core working hours from 10:00 AM to 4:00 PM local office time, Monday to Friday. Roles eligible for remote work include Engineering, Product, HR, Finance, and Marketing. Response times must adhere to within 2 business hours during core hours, with urgent matters addressed within 30 minutes. VPN usage is mandatory for secure access to company resources. Availability outside core hours may be required based on project needs or operational demands, subject to prior approval. Work hours and availability are monitored to ensure compliance with SOC2 requirements and to maintain operational integrity across all functions.</w:t>
      </w:r>
    </w:p>
    <w:p>
      <w:pPr>
        <w:pStyle w:val="Heading1"/>
      </w:pPr>
      <w:r>
        <w:rPr>
          <w:b/>
        </w:rPr>
        <w:t>Equipment &amp; Data Security</w:t>
      </w:r>
    </w:p>
    <w:p/>
    <w:p>
      <w:r>
        <w:t>All company equipment must be securely stored and used exclusively for business purposes. Employees are required to use VPN connections when accessing company systems remotely to ensure data confidentiality and integrity. Devices must have up-to-date security software, including antivirus and encryption, to protect against unauthorized access. Access to sensitive data is restricted based on role eligibility, and multi-factor authentication is mandatory for all systems handling critical information. Regular backups of data must be performed and stored securely to prevent loss. Any loss, theft, or suspected compromise of equipment or data must be reported immediately to the Head of Human Resources (HR Director) for prompt investigation and remediation.</w:t>
      </w:r>
    </w:p>
    <w:p>
      <w:pPr>
        <w:pStyle w:val="Heading1"/>
      </w:pPr>
      <w:r>
        <w:rPr>
          <w:b/>
        </w:rPr>
        <w:t>Performance &amp; Monitoring</w:t>
      </w:r>
    </w:p>
    <w:p/>
    <w:p>
      <w:r>
        <w:t>AI solution implements continuous performance monitoring to ensure compliance with SOC2 requirements and maintain high service quality. Key performance indicators are tracked regularly to identify deviations and enable prompt corrective actions. Monitoring tools are configured to generate alerts for anomalies or breaches, ensuring timely response within the defined response time of within 2 business hours during core hours and urgent matters within 30 minutes. Annual reviews are conducted to assess policy effectiveness and incorporate necessary updates based on regulatory or operational changes. The Head of Human Resources (HR Director) oversees performance monitoring and compliance adherence.</w:t>
      </w:r>
    </w:p>
    <w:p>
      <w:pPr>
        <w:pStyle w:val="Heading1"/>
      </w:pPr>
      <w:r>
        <w:rPr>
          <w:b/>
        </w:rPr>
        <w:t>Compliance &amp; Enforcement</w:t>
      </w:r>
    </w:p>
    <w:p/>
    <w:p>
      <w:r>
        <w:t>AI solution is committed to strict adherence to SOC 2 compliance requirements and all applicable laws in Gujarat, Republic of India. The Head of Human Resources (HR Director) is responsible for policy oversight and ensuring ongoing compliance. Enforcement actions for violations include corrective measures, retraining, and disciplinary actions up to termination. Compliance will be reviewed annually or as required due to regulatory or operational changes. Employees working remotely within approved regions must comply with all relevant policies and controls. Regular audits and monitoring will be conducted to ensure adherence, with prompt investigation of any breaches. Non-compliance risks are mitigated through continuous training, clear communication, and enforcement of established protocols.</w:t>
      </w:r>
    </w:p>
    <w:p>
      <w:pPr>
        <w:pStyle w:val="Heading1"/>
      </w:pPr>
      <w:r>
        <w:rPr>
          <w:b/>
        </w:rPr>
        <w:t>Review &amp; Revision History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Revision Date</w:t>
            </w:r>
          </w:p>
        </w:tc>
        <w:tc>
          <w:tcPr>
            <w:tcW w:type="dxa" w:w="2160"/>
          </w:tcPr>
          <w:p>
            <w:r>
              <w:t>Version</w:t>
            </w:r>
          </w:p>
        </w:tc>
        <w:tc>
          <w:tcPr>
            <w:tcW w:type="dxa" w:w="2160"/>
          </w:tcPr>
          <w:p>
            <w:r>
              <w:t>Description of Changes</w:t>
            </w:r>
          </w:p>
        </w:tc>
        <w:tc>
          <w:tcPr>
            <w:tcW w:type="dxa" w:w="2160"/>
          </w:tcPr>
          <w:p>
            <w:r>
              <w:t>Approved By</w:t>
            </w:r>
          </w:p>
        </w:tc>
      </w:tr>
      <w:tr>
        <w:tc>
          <w:tcPr>
            <w:tcW w:type="dxa" w:w="2160"/>
          </w:tcPr>
          <w:p>
            <w:r>
              <w:t>2026-02-25</w:t>
            </w:r>
          </w:p>
        </w:tc>
        <w:tc>
          <w:tcPr>
            <w:tcW w:type="dxa" w:w="2160"/>
          </w:tcPr>
          <w:p>
            <w:r>
              <w:t>1.0</w:t>
            </w:r>
          </w:p>
        </w:tc>
        <w:tc>
          <w:tcPr>
            <w:tcW w:type="dxa" w:w="2160"/>
          </w:tcPr>
          <w:p>
            <w:r>
              <w:t>Initial creation</w:t>
            </w:r>
          </w:p>
        </w:tc>
        <w:tc>
          <w:tcPr>
            <w:tcW w:type="dxa" w:w="2160"/>
          </w:tcPr>
          <w:p>
            <w:r>
              <w:t>Head of Human Resources (HR Director)</w:t>
            </w:r>
          </w:p>
        </w:tc>
      </w:tr>
    </w:tbl>
    <w:p>
      <w:pPr>
        <w:pStyle w:val="Heading1"/>
      </w:pPr>
      <w:r>
        <w:rPr>
          <w:b/>
        </w:rPr>
        <w:t>Remote Work Agreement</w:t>
      </w:r>
    </w:p>
    <w:p/>
    <w:p>
      <w:r>
        <w:t>Employees eligible for remote work must hold roles that do not require physical presence, such as Engineering, Product, HR, Finance, and Marketing. Remote work is permitted only within approved regions where the company operates legally. All remote employees must adhere to the company's security protocols, including mandatory VPN usage to protect data integrity and confidentiality. The remote work agreement requires employees to maintain a professional workspace and ensure reliable internet connectivity to meet operational demands. This agreement is subject to annual review or as required by regulatory or operational changes. The Head of Human Resources oversees compliance and enforcement of this policy.</w:t>
      </w:r>
    </w:p>
    <w:p>
      <w:pPr>
        <w:pStyle w:val="Heading1"/>
      </w:pPr>
      <w:r>
        <w:rPr>
          <w:b/>
        </w:rPr>
        <w:t>Acknowledgement</w:t>
      </w:r>
    </w:p>
    <w:p/>
    <w:p>
      <w:r>
        <w:rPr>
          <w:b/>
        </w:rPr>
        <w:t xml:space="preserve">Employee Name: </w:t>
      </w:r>
      <w:r>
        <w:t xml:space="preserve"> ____________________________</w:t>
      </w:r>
    </w:p>
    <w:p>
      <w:r>
        <w:rPr>
          <w:b/>
        </w:rPr>
        <w:t xml:space="preserve">Employee ID: </w:t>
      </w:r>
      <w:r>
        <w:t xml:space="preserve"> ____________________________</w:t>
      </w:r>
    </w:p>
    <w:p>
      <w:r>
        <w:rPr>
          <w:b/>
        </w:rPr>
        <w:t xml:space="preserve">Designation: </w:t>
      </w:r>
      <w:r>
        <w:t xml:space="preserve"> ____________________________</w:t>
      </w:r>
    </w:p>
    <w:p>
      <w:r>
        <w:rPr>
          <w:b/>
        </w:rPr>
        <w:t xml:space="preserve">Signature: </w:t>
      </w:r>
      <w:r>
        <w:t xml:space="preserve"> ____________________________</w:t>
      </w:r>
    </w:p>
    <w:p>
      <w:r>
        <w:rPr>
          <w:b/>
        </w:rPr>
        <w:t xml:space="preserve">Date: </w:t>
      </w:r>
      <w:r>
        <w:t xml:space="preserv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