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3A5F"/>
          <w:sz w:val="28"/>
        </w:rPr>
        <w:t>Enterprise Multi-Domain Agentic RAG with Graph-Augmented Retrieval, OCR Ingestion, and Governed Access</w:t>
      </w:r>
    </w:p>
    <w:p>
      <w:pPr>
        <w:spacing w:after="100"/>
        <w:jc w:val="center"/>
      </w:pPr>
      <w:r>
        <w:rPr>
          <w:b/>
          <w:color w:val="555555"/>
          <w:sz w:val="21"/>
        </w:rPr>
        <w:t>Project Brief — Request for Academic Mentorship</w:t>
      </w:r>
    </w:p>
    <w:p>
      <w:pPr>
        <w:spacing w:after="40"/>
        <w:jc w:val="center"/>
      </w:pPr>
      <w:r>
        <w:rPr>
          <w:b/>
          <w:sz w:val="21"/>
        </w:rPr>
        <w:t>Vipra Patel  ·  Prathav Kevadiya  ·  Tanmay Bhat</w:t>
      </w:r>
    </w:p>
    <w:p>
      <w:pPr>
        <w:spacing w:after="40"/>
        <w:jc w:val="center"/>
      </w:pPr>
      <w:r>
        <w:rPr>
          <w:b w:val="0"/>
          <w:color w:val="555555"/>
          <w:sz w:val="19"/>
        </w:rPr>
        <w:t>Master of IT (Data Analytics), University of Technology Sydney</w:t>
      </w:r>
    </w:p>
    <w:p>
      <w:pPr>
        <w:spacing w:after="120"/>
        <w:jc w:val="center"/>
      </w:pPr>
      <w:r>
        <w:rPr>
          <w:b w:val="0"/>
          <w:color w:val="555555"/>
          <w:sz w:val="19"/>
        </w:rPr>
        <w:t>July 2026  ·  Contact: vipra042@gmail.com</w:t>
      </w:r>
    </w:p>
    <w:p>
      <w:pPr>
        <w:spacing w:before="140" w:after="40"/>
      </w:pPr>
      <w:r>
        <w:rPr>
          <w:b/>
          <w:color w:val="1F3A5F"/>
          <w:sz w:val="20"/>
        </w:rPr>
        <w:t>SUMMARY</w:t>
      </w:r>
    </w:p>
    <w:p>
      <w:r>
        <w:t>We are building a production-pattern, enterprise-grade Retrieval-Augmented Generation (RAG) system that answers questions over a four-domain corporate corpus (Finance, HR, Legal, Engineering). The corpus is fully synthetic and fully ground-truthed: because we generate the underlying relational world first, every document, entity, relationship, and test query has a known correct answer — enabling a standard of evaluation rigor that real-world corpora cannot offer.</w:t>
      </w:r>
    </w:p>
    <w:p>
      <w:pPr>
        <w:spacing w:before="140" w:after="40"/>
      </w:pPr>
      <w:r>
        <w:rPr>
          <w:b/>
          <w:color w:val="1F3A5F"/>
          <w:sz w:val="20"/>
        </w:rPr>
        <w:t>PROBLEM &amp; MOTIVATION</w:t>
      </w:r>
    </w:p>
    <w:p>
      <w:r>
        <w:t>Enterprise RAG systems are widely deployed but rarely evaluated honestly. On real corpora there is no ground truth for whether retrieval surfaced the right passages, whether a knowledge graph was extracted correctly, how much OCR noise damaged downstream answers, or whether access controls actually prevented information leakage. This project inverts the usual order: the relational world is generated first and every document derived from it, so the truth is known before the system ever runs.</w:t>
      </w:r>
    </w:p>
    <w:p>
      <w:pPr>
        <w:spacing w:before="140" w:after="40"/>
      </w:pPr>
      <w:r>
        <w:rPr>
          <w:b/>
          <w:color w:val="1F3A5F"/>
          <w:sz w:val="20"/>
        </w:rPr>
        <w:t>SYSTEM WORKFLOW</w:t>
      </w:r>
    </w:p>
    <w:p>
      <w:pPr>
        <w:pStyle w:val="ListNumber"/>
        <w:spacing w:after="40"/>
      </w:pPr>
      <w:r>
        <w:rPr>
          <w:b/>
        </w:rPr>
        <w:t xml:space="preserve">Data foundry — </w:t>
      </w:r>
      <w:r>
        <w:t>a seeded relational backbone (12 linked tables — employees, projects, budgets, contracts, systems) is generated with dbldatagen/PySpark; joined table contexts are written into 100 realistic corporate documents by an LLM, each shipping with a ground-truth sidecar (entities, relationships, answerable facts). Sidecars aggregate into the true knowledge graph and an 80-query test set.</w:t>
      </w:r>
    </w:p>
    <w:p>
      <w:pPr>
        <w:pStyle w:val="ListNumber"/>
        <w:spacing w:after="40"/>
      </w:pPr>
      <w:r>
        <w:rPr>
          <w:b/>
        </w:rPr>
        <w:t xml:space="preserve">Ingestion — </w:t>
      </w:r>
      <w:r>
        <w:t>60 documents remain clean digital PDFs; 40 are degraded into scan-like documents and recovered with GPU OCR, with recovery measured against ground truth (error rates, entity survival). All text is chunked, enriched with contextual summaries, embedded (bge-m3), and indexed three ways: vector database (Qdrant), BM25 keyword index, and a knowledge graph.</w:t>
      </w:r>
    </w:p>
    <w:p>
      <w:pPr>
        <w:pStyle w:val="ListNumber"/>
        <w:spacing w:after="40"/>
      </w:pPr>
      <w:r>
        <w:rPr>
          <w:b/>
        </w:rPr>
        <w:t xml:space="preserve">Query time — </w:t>
      </w:r>
      <w:r>
        <w:t>a nine-node LangGraph agent handles each question: access-control filter (ABAC) → domain routing → hybrid dense+keyword retrieval → cross-encoder re-ranking → corrective chunk grading (CRAG) with bounded retry → knowledge-graph multi-hop augmentation (GraphRAG) → grounded generation on a local open-weight model (Qwen3-4B) → hallucination check with honest abstention. Every node is timed and traced.</w:t>
      </w:r>
    </w:p>
    <w:p>
      <w:pPr>
        <w:pStyle w:val="ListNumber"/>
        <w:spacing w:after="40"/>
      </w:pPr>
      <w:r>
        <w:rPr>
          <w:b/>
        </w:rPr>
        <w:t xml:space="preserve">Evaluation — </w:t>
      </w:r>
      <w:r>
        <w:t>the same 80 queries run across six ablation configurations, measuring each component's contribution in isolation (details below).</w:t>
      </w:r>
    </w:p>
    <w:p>
      <w:pPr>
        <w:pStyle w:val="ListNumber"/>
        <w:spacing w:after="40"/>
      </w:pPr>
      <w:r>
        <w:rPr>
          <w:b/>
        </w:rPr>
        <w:t xml:space="preserve">Serving — </w:t>
      </w:r>
      <w:r>
        <w:t>the system deploys with Docker on Oracle Cloud's free tier behind a React dashboard exposing the live agent trace, a corpus explorer, the knowledge graph, and an evaluation lab — delivered on a 10-week phased plan.</w:t>
      </w:r>
    </w:p>
    <w:p>
      <w:pPr>
        <w:spacing w:before="140" w:after="40"/>
      </w:pPr>
      <w:r>
        <w:rPr>
          <w:b/>
          <w:color w:val="1F3A5F"/>
          <w:sz w:val="20"/>
        </w:rPr>
        <w:t>EVALUATION METHODOLOGY</w:t>
      </w:r>
    </w:p>
    <w:p>
      <w:pPr>
        <w:pStyle w:val="ListBullet"/>
        <w:spacing w:after="40"/>
      </w:pPr>
      <w:r>
        <w:rPr>
          <w:b/>
        </w:rPr>
        <w:t xml:space="preserve">Ablation ladder — </w:t>
      </w:r>
      <w:r>
        <w:t>six configurations from vanilla RAG to the full system, isolating the measured contribution of each architectural component.</w:t>
      </w:r>
    </w:p>
    <w:p>
      <w:pPr>
        <w:pStyle w:val="ListBullet"/>
        <w:spacing w:after="40"/>
      </w:pPr>
      <w:r>
        <w:rPr>
          <w:b/>
        </w:rPr>
        <w:t xml:space="preserve">Ground-truth scoring — </w:t>
      </w:r>
      <w:r>
        <w:t>RAGAS generation metrics; retrieval precision/recall against known source chunks; knowledge-graph precision/recall against the true graph, split by clean vs OCR-recovered documents.</w:t>
      </w:r>
    </w:p>
    <w:p>
      <w:pPr>
        <w:pStyle w:val="ListBullet"/>
        <w:spacing w:after="40"/>
      </w:pPr>
      <w:r>
        <w:rPr>
          <w:b/>
        </w:rPr>
        <w:t xml:space="preserve">Hard test slices — </w:t>
      </w:r>
      <w:r>
        <w:t>an 80-query evaluation set with dedicated multi-hop, unanswerable, and access-denied slices — scoring abstention honesty and governance leakage (zero tolerance), not just answer quality.</w:t>
      </w:r>
    </w:p>
    <w:p>
      <w:pPr>
        <w:pStyle w:val="ListBullet"/>
        <w:spacing w:after="40"/>
      </w:pPr>
      <w:r>
        <w:rPr>
          <w:b/>
        </w:rPr>
        <w:t xml:space="preserve">Latency methodology — </w:t>
      </w:r>
      <w:r>
        <w:t>warm-start protocol, p50/p95, per-node breakdown, reported on two hardware environments.</w:t>
      </w:r>
    </w:p>
    <w:p>
      <w:pPr>
        <w:spacing w:before="140" w:after="40"/>
      </w:pPr>
      <w:r>
        <w:rPr>
          <w:b/>
          <w:color w:val="1F3A5F"/>
          <w:sz w:val="20"/>
        </w:rPr>
        <w:t>MENTORSHIP REQUEST</w:t>
      </w:r>
    </w:p>
    <w:p>
      <w:r>
        <w:t>We are seeking academic mentorship: guidance on the evaluation methodology, feedback on framing the work for an academic audience, and periodic review as the build progresses. A detailed implementation plan — architecture, decision log, and evaluation design — is available on request, and we would welcome the opportunity to present it in person.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