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jc w:val="center"/>
      </w:pPr>
      <w:r>
        <w:rPr>
          <w:b/>
          <w:color w:val="1F3A5F"/>
          <w:sz w:val="28"/>
        </w:rPr>
        <w:t>Enterprise Multi-Domain Agentic RAG with Graph-Augmented Retrieval, OCR Ingestion, and Governed Access</w:t>
      </w:r>
    </w:p>
    <w:p>
      <w:pPr>
        <w:spacing w:after="100"/>
        <w:jc w:val="center"/>
      </w:pPr>
      <w:r>
        <w:rPr>
          <w:b/>
          <w:color w:val="555555"/>
          <w:sz w:val="21"/>
        </w:rPr>
        <w:t>Project Brief — Request for Academic Mentorship</w:t>
      </w:r>
    </w:p>
    <w:p>
      <w:pPr>
        <w:spacing w:after="40"/>
        <w:jc w:val="center"/>
      </w:pPr>
      <w:r>
        <w:rPr>
          <w:b/>
          <w:sz w:val="21"/>
        </w:rPr>
        <w:t>Vipra Patel  ·  Prathav Kevadiya  ·  Tanmay Bhat</w:t>
      </w:r>
    </w:p>
    <w:p>
      <w:pPr>
        <w:spacing w:after="40"/>
        <w:jc w:val="center"/>
      </w:pPr>
      <w:r>
        <w:rPr>
          <w:b w:val="0"/>
          <w:color w:val="555555"/>
          <w:sz w:val="19"/>
        </w:rPr>
        <w:t>Master of IT (Data Analytics), University of Technology Sydney</w:t>
      </w:r>
    </w:p>
    <w:p>
      <w:pPr>
        <w:spacing w:after="120"/>
        <w:jc w:val="center"/>
      </w:pPr>
      <w:r>
        <w:rPr>
          <w:b w:val="0"/>
          <w:color w:val="555555"/>
          <w:sz w:val="19"/>
        </w:rPr>
        <w:t>July 2026  ·  Contact: vipra042@gmail.com</w:t>
      </w:r>
    </w:p>
    <w:p>
      <w:pPr>
        <w:spacing w:before="140" w:after="40"/>
      </w:pPr>
      <w:r>
        <w:rPr>
          <w:b/>
          <w:color w:val="1F3A5F"/>
          <w:sz w:val="20"/>
        </w:rPr>
        <w:t>SUMMARY</w:t>
      </w:r>
    </w:p>
    <w:p>
      <w:r>
        <w:t>We are building a production-pattern, enterprise-grade Retrieval-Augmented Generation (RAG) system that delivers accurate, access-governed answers over a four-domain corporate corpus (Finance, HR, Legal, Engineering). Because the corpus is synthetic and generated from a known relational backbone, every document, entity, and relationship has a ground-truth answer — letting us verify that the system is accurate and leak-free to a degree real-world deployments cannot.</w:t>
      </w:r>
    </w:p>
    <w:p>
      <w:pPr>
        <w:spacing w:before="140" w:after="40"/>
      </w:pPr>
      <w:r>
        <w:rPr>
          <w:b/>
          <w:color w:val="1F3A5F"/>
          <w:sz w:val="20"/>
        </w:rPr>
        <w:t>PROBLEM &amp; MOTIVATION</w:t>
      </w:r>
    </w:p>
    <w:p>
      <w:r>
        <w:t>Enterprise knowledge is split across departments — finance, HR, legal, engineering — each with its own jargon and strict rules on who may see what, and much of it lives in scanned files rather than clean text. A trustworthy answer to a question that spans these silos must retrieve the right passages, reason across documents, respect every access boundary, and abstain when the evidence is absent. RAG systems struggle on all four fronts, and real corpora carry no ground truth to measure where they fail. We build a multi-domain agentic RAG system engineered for accuracy and governed access, over a corpus we generate ourselves so that every passage, relationship, and access decision can be verified against known truth.</w:t>
      </w:r>
    </w:p>
    <w:p>
      <w:pPr>
        <w:spacing w:before="140" w:after="40"/>
      </w:pPr>
      <w:r>
        <w:rPr>
          <w:b/>
          <w:color w:val="1F3A5F"/>
          <w:sz w:val="20"/>
        </w:rPr>
        <w:t>SYSTEM WORKFLOW</w:t>
      </w:r>
    </w:p>
    <w:p>
      <w:pPr>
        <w:pStyle w:val="ListNumber"/>
        <w:spacing w:after="40"/>
      </w:pPr>
      <w:r>
        <w:rPr>
          <w:b/>
        </w:rPr>
        <w:t xml:space="preserve">Data foundry — </w:t>
      </w:r>
      <w:r>
        <w:t>a seeded relational backbone of 12 linked tables is generated with dbldatagen; joined table contexts become 100 LLM-written corporate documents, each carrying a ground-truth sidecar (entities, relationships, answerable facts). Sidecars aggregate into the true knowledge graph and an 80-query test set.</w:t>
      </w:r>
    </w:p>
    <w:p>
      <w:pPr>
        <w:pStyle w:val="ListNumber"/>
        <w:spacing w:after="40"/>
      </w:pPr>
      <w:r>
        <w:rPr>
          <w:b/>
        </w:rPr>
        <w:t xml:space="preserve">Ingestion — </w:t>
      </w:r>
      <w:r>
        <w:t>60 documents stay clean digital PDFs; 40 are degraded into scan-like images and recovered with GPU OCR, recovery measured against ground truth (error rates, entity survival). All text is chunked, contextualized, embedded (bge-m3), and indexed three ways — vectors (Qdrant), BM25, and a knowledge graph.</w:t>
      </w:r>
    </w:p>
    <w:p>
      <w:pPr>
        <w:pStyle w:val="ListNumber"/>
        <w:spacing w:after="40"/>
      </w:pPr>
      <w:r>
        <w:rPr>
          <w:b/>
        </w:rPr>
        <w:t xml:space="preserve">Query time — </w:t>
      </w:r>
      <w:r>
        <w:t>a nine-node LangGraph agent handles each question: access-control filter (ABAC) → domain routing → hybrid dense+keyword retrieval → cross-encoder re-ranking → corrective chunk grading (CRAG) with bounded retry → knowledge-graph multi-hop augmentation (GraphRAG) → grounded local generation (Qwen3-4B) → hallucination check with honest abstention — every node traced.</w:t>
      </w:r>
    </w:p>
    <w:p>
      <w:pPr>
        <w:pStyle w:val="ListNumber"/>
        <w:spacing w:after="40"/>
      </w:pPr>
      <w:r>
        <w:rPr>
          <w:b/>
        </w:rPr>
        <w:t xml:space="preserve">Serving — </w:t>
      </w:r>
      <w:r>
        <w:t>the system deploys with Docker on Oracle Cloud's free tier behind a React dashboard exposing the live agent trace, a corpus explorer, the knowledge graph, and an evaluation lab — delivered on a 10-week phased plan.</w:t>
      </w:r>
    </w:p>
    <w:p>
      <w:pPr>
        <w:spacing w:before="140" w:after="40"/>
      </w:pPr>
      <w:r>
        <w:rPr>
          <w:b/>
          <w:color w:val="1F3A5F"/>
          <w:sz w:val="20"/>
        </w:rPr>
        <w:t>EVALUATION METHODOLOGY</w:t>
      </w:r>
    </w:p>
    <w:p>
      <w:pPr>
        <w:pStyle w:val="ListBullet"/>
        <w:spacing w:after="40"/>
      </w:pPr>
      <w:r>
        <w:rPr>
          <w:b/>
        </w:rPr>
        <w:t xml:space="preserve">Ablation ladder — </w:t>
      </w:r>
      <w:r>
        <w:t>six configurations from vanilla RAG to the full system, isolating the measured contribution of each architectural component.</w:t>
      </w:r>
    </w:p>
    <w:p>
      <w:pPr>
        <w:pStyle w:val="ListBullet"/>
        <w:spacing w:after="40"/>
      </w:pPr>
      <w:r>
        <w:rPr>
          <w:b/>
        </w:rPr>
        <w:t xml:space="preserve">Ground-truth scoring — </w:t>
      </w:r>
      <w:r>
        <w:t>RAGAS generation metrics; retrieval precision/recall against known source chunks; knowledge-graph precision/recall against the true graph, split by clean vs OCR-recovered documents.</w:t>
      </w:r>
    </w:p>
    <w:p>
      <w:pPr>
        <w:pStyle w:val="ListBullet"/>
        <w:spacing w:after="40"/>
      </w:pPr>
      <w:r>
        <w:rPr>
          <w:b/>
        </w:rPr>
        <w:t xml:space="preserve">Hard test slices — </w:t>
      </w:r>
      <w:r>
        <w:t>an 80-query evaluation set with dedicated multi-hop, unanswerable, and access-denied slices — scoring abstention honesty and governance leakage (zero tolerance), not just answer quality.</w:t>
      </w:r>
    </w:p>
    <w:p>
      <w:pPr>
        <w:pStyle w:val="ListBullet"/>
        <w:spacing w:after="40"/>
      </w:pPr>
      <w:r>
        <w:rPr>
          <w:b/>
        </w:rPr>
        <w:t xml:space="preserve">Latency methodology — </w:t>
      </w:r>
      <w:r>
        <w:t>warm-start protocol, p50/p95, per-node breakdown, reported on two hardware environments.</w:t>
      </w:r>
    </w:p>
    <w:p>
      <w:pPr>
        <w:spacing w:before="140" w:after="40"/>
      </w:pPr>
      <w:r>
        <w:rPr>
          <w:b/>
          <w:color w:val="1F3A5F"/>
          <w:sz w:val="20"/>
        </w:rPr>
        <w:t>MENTORSHIP REQUEST</w:t>
      </w:r>
    </w:p>
    <w:p>
      <w:r>
        <w:t>We are seeking academic mentorship: guidance on the evaluation methodology, feedback on framing the work for an academic audience, and periodic review as the build progresses. A detailed implementation plan — architecture, decision log, and evaluation design — is available on request, and we would welcome the opportunity to present it in person.</w:t>
      </w:r>
    </w:p>
    <w:sectPr w:rsidR="00FC693F" w:rsidRPr="0006063C" w:rsidSect="00034616">
      <w:pgSz w:w="11906" w:h="16838"/>
      <w:pgMar w:top="850" w:right="1077" w:bottom="850"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