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1F3A5F"/>
          <w:sz w:val="28"/>
        </w:rPr>
        <w:t>Enterprise Multi-Domain Agentic RAG with Graph-Augmented Retrieval, OCR Ingestion, and Governed Access</w:t>
      </w:r>
    </w:p>
    <w:p>
      <w:pPr>
        <w:spacing w:after="100"/>
        <w:jc w:val="center"/>
      </w:pPr>
      <w:r>
        <w:rPr>
          <w:b/>
          <w:color w:val="555555"/>
          <w:sz w:val="21"/>
        </w:rPr>
        <w:t>Project Brief — Request for Academic Mentorship</w:t>
      </w:r>
    </w:p>
    <w:p>
      <w:pPr>
        <w:spacing w:after="40"/>
        <w:jc w:val="center"/>
      </w:pPr>
      <w:r>
        <w:rPr>
          <w:b/>
          <w:sz w:val="21"/>
        </w:rPr>
        <w:t>Vipra Patel  ·  Prathav Kevadiya  ·  Tanmay Bhat</w:t>
      </w:r>
    </w:p>
    <w:p>
      <w:pPr>
        <w:spacing w:after="40"/>
        <w:jc w:val="center"/>
      </w:pPr>
      <w:r>
        <w:rPr>
          <w:b w:val="0"/>
          <w:color w:val="555555"/>
          <w:sz w:val="19"/>
        </w:rPr>
        <w:t>Master of IT (Data Analytics), University of Technology Sydney</w:t>
      </w:r>
    </w:p>
    <w:p>
      <w:pPr>
        <w:spacing w:after="120"/>
        <w:jc w:val="center"/>
      </w:pPr>
      <w:r>
        <w:rPr>
          <w:b w:val="0"/>
          <w:color w:val="555555"/>
          <w:sz w:val="19"/>
        </w:rPr>
        <w:t>July 2026  ·  Contact: vipra042@gmail.com</w:t>
      </w:r>
    </w:p>
    <w:p>
      <w:pPr>
        <w:spacing w:before="140" w:after="40"/>
      </w:pPr>
      <w:r>
        <w:rPr>
          <w:b/>
          <w:color w:val="1F3A5F"/>
          <w:sz w:val="20"/>
        </w:rPr>
        <w:t>SUMMARY</w:t>
      </w:r>
    </w:p>
    <w:p>
      <w:r>
        <w:t>We are building a production-pattern, enterprise-grade Retrieval-Augmented Generation (RAG) system that answers questions over a four-domain corporate corpus (Finance, HR, Legal, Engineering). The corpus is fully synthetic and fully ground-truthed: because we generate the underlying relational world first, every document, entity, relationship, and test query has a known correct answer — enabling a standard of evaluation rigor that real-world corpora cannot offer.</w:t>
      </w:r>
    </w:p>
    <w:p>
      <w:pPr>
        <w:spacing w:before="140" w:after="40"/>
      </w:pPr>
      <w:r>
        <w:rPr>
          <w:b/>
          <w:color w:val="1F3A5F"/>
          <w:sz w:val="20"/>
        </w:rPr>
        <w:t>PROBLEM &amp; MOTIVATION</w:t>
      </w:r>
    </w:p>
    <w:p>
      <w:r>
        <w:t>Enterprise RAG systems are widely deployed but rarely evaluated honestly. On real corpora there is no ground truth for whether retrieval surfaced the right passages, whether a knowledge graph was extracted correctly, how much OCR noise damaged downstream answers, or whether access controls actually prevented information leakage. This project inverts the usual order: a seeded relational backbone (12 tables — employees, projects, budgets, contracts, systems) is generated first, and 100 realistic corporate documents are derived from it, so the truth is known before the system ever runs.</w:t>
      </w:r>
    </w:p>
    <w:p>
      <w:pPr>
        <w:spacing w:before="140" w:after="40"/>
      </w:pPr>
      <w:r>
        <w:rPr>
          <w:b/>
          <w:color w:val="1F3A5F"/>
          <w:sz w:val="20"/>
        </w:rPr>
        <w:t>APPROACH</w:t>
      </w:r>
    </w:p>
    <w:p>
      <w:pPr>
        <w:pStyle w:val="ListBullet"/>
        <w:spacing w:after="40"/>
      </w:pPr>
      <w:r>
        <w:rPr>
          <w:b/>
        </w:rPr>
        <w:t xml:space="preserve">Data foundry — </w:t>
      </w:r>
      <w:r>
        <w:t>seeded synthetic tables (dbldatagen/PySpark) expanded into 100 LLM-written corporate documents, each with a machine-readable ground-truth sidecar (entities, relationships, answerable facts) and an aggregated true knowledge graph.</w:t>
      </w:r>
    </w:p>
    <w:p>
      <w:pPr>
        <w:pStyle w:val="ListBullet"/>
        <w:spacing w:after="40"/>
      </w:pPr>
      <w:r>
        <w:rPr>
          <w:b/>
        </w:rPr>
        <w:t xml:space="preserve">Realistic ingestion — </w:t>
      </w:r>
      <w:r>
        <w:t>40% of the corpus is degraded into scan-like PDFs and recovered with GPU OCR; recovery quality is measured (character/word error rate, entity-survival rate) against ground truth.</w:t>
      </w:r>
    </w:p>
    <w:p>
      <w:pPr>
        <w:pStyle w:val="ListBullet"/>
        <w:spacing w:after="40"/>
      </w:pPr>
      <w:r>
        <w:rPr>
          <w:b/>
        </w:rPr>
        <w:t xml:space="preserve">Agentic query pipeline — </w:t>
      </w:r>
      <w:r>
        <w:t>a nine-node LangGraph agent: domain routing, attribute-based access control (ABAC), hybrid dense+BM25 retrieval with cross-encoder re-ranking, corrective retrieval (CRAG), knowledge-graph multi-hop augmentation (GraphRAG), and grounded generation with confidence-aware abstention.</w:t>
      </w:r>
    </w:p>
    <w:p>
      <w:pPr>
        <w:pStyle w:val="ListBullet"/>
        <w:spacing w:after="40"/>
      </w:pPr>
      <w:r>
        <w:rPr>
          <w:b/>
        </w:rPr>
        <w:t xml:space="preserve">Local inference — </w:t>
      </w:r>
      <w:r>
        <w:t>query-time models are open-weight (Qwen3-4B, bge-m3) on commodity hardware; paid APIs are used only one-off during ingestion (under A$10 total).</w:t>
      </w:r>
    </w:p>
    <w:p>
      <w:pPr>
        <w:spacing w:before="140" w:after="40"/>
      </w:pPr>
      <w:r>
        <w:rPr>
          <w:b/>
          <w:color w:val="1F3A5F"/>
          <w:sz w:val="20"/>
        </w:rPr>
        <w:t>EVALUATION METHODOLOGY</w:t>
      </w:r>
    </w:p>
    <w:p>
      <w:pPr>
        <w:pStyle w:val="ListBullet"/>
        <w:spacing w:after="40"/>
      </w:pPr>
      <w:r>
        <w:rPr>
          <w:b/>
        </w:rPr>
        <w:t xml:space="preserve">Ablation ladder — </w:t>
      </w:r>
      <w:r>
        <w:t>six configurations from vanilla RAG to the full system, isolating the measured contribution of each architectural component.</w:t>
      </w:r>
    </w:p>
    <w:p>
      <w:pPr>
        <w:pStyle w:val="ListBullet"/>
        <w:spacing w:after="40"/>
      </w:pPr>
      <w:r>
        <w:rPr>
          <w:b/>
        </w:rPr>
        <w:t xml:space="preserve">Ground-truth scoring — </w:t>
      </w:r>
      <w:r>
        <w:t>RAGAS generation metrics; retrieval precision/recall against known source chunks; knowledge-graph precision/recall against the true graph, split by clean vs OCR-recovered documents.</w:t>
      </w:r>
    </w:p>
    <w:p>
      <w:pPr>
        <w:pStyle w:val="ListBullet"/>
        <w:spacing w:after="40"/>
      </w:pPr>
      <w:r>
        <w:rPr>
          <w:b/>
        </w:rPr>
        <w:t xml:space="preserve">Hard test slices — </w:t>
      </w:r>
      <w:r>
        <w:t>an 80-query evaluation set with dedicated multi-hop, unanswerable, and access-denied slices — scoring abstention honesty and governance leakage (zero tolerance), not just answer quality.</w:t>
      </w:r>
    </w:p>
    <w:p>
      <w:pPr>
        <w:pStyle w:val="ListBullet"/>
        <w:spacing w:after="40"/>
      </w:pPr>
      <w:r>
        <w:rPr>
          <w:b/>
        </w:rPr>
        <w:t xml:space="preserve">Latency methodology — </w:t>
      </w:r>
      <w:r>
        <w:t>warm-start protocol, p50/p95, per-node breakdown, reported on two hardware environments.</w:t>
      </w:r>
    </w:p>
    <w:p>
      <w:pPr>
        <w:spacing w:before="140" w:after="40"/>
      </w:pPr>
      <w:r>
        <w:rPr>
          <w:b/>
          <w:color w:val="1F3A5F"/>
          <w:sz w:val="20"/>
        </w:rPr>
        <w:t>CURRENT STATUS &amp; TIMELINE</w:t>
      </w:r>
    </w:p>
    <w:p>
      <w:r>
        <w:t>Phase 1 of 7 is complete and machine-validated: the seeded data foundry, 100 documents with ground-truth sidecars, the true knowledge graph (321 nodes / 358 edges), the 80-query evaluation set, and rendered PDFs — all passing an automated 11-check validation suite that gates progress between phases. The remaining phases (OCR ingestion, indexing, the agent pipeline, evaluation, dashboard, and public cloud deployment with a live demo) follow a 10-week plan.</w:t>
      </w:r>
    </w:p>
    <w:p>
      <w:pPr>
        <w:spacing w:before="140" w:after="40"/>
      </w:pPr>
      <w:r>
        <w:rPr>
          <w:b/>
          <w:color w:val="1F3A5F"/>
          <w:sz w:val="20"/>
        </w:rPr>
        <w:t>MENTORSHIP REQUEST</w:t>
      </w:r>
    </w:p>
    <w:p>
      <w:r>
        <w:t>We are seeking academic mentorship: guidance on the evaluation methodology, feedback on framing the work for an academic audience, and periodic review as phases complete. The repository — code, validation suite, and all artifacts — and a live demo are available on request. We would welcome the opportunity to present the project in person.</w:t>
      </w:r>
    </w:p>
    <w:sectPr w:rsidR="00FC693F" w:rsidRPr="0006063C" w:rsidSect="00034616">
      <w:pgSz w:w="11906" w:h="16838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