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00"/>
        <w:jc w:val="center"/>
      </w:pPr>
      <w:r>
        <w:rPr>
          <w:rFonts w:ascii="Times New Roman" w:cs="Times New Roman" w:eastAsia="Times New Roman" w:hAnsi="Times New Roman"/>
          <w:b/>
          <w:bCs/>
          <w:color w:val="111111"/>
          <w:sz w:val="32"/>
          <w:szCs w:val="32"/>
        </w:rPr>
        <w:t xml:space="preserve">Predicting Hospital Performance in California: A Multi-Method Analytics Approach Using Linear and Logistic Regression</w:t>
      </w:r>
    </w:p>
    <w:p>
      <w:pPr>
        <w:pBdr>
          <w:bottom w:val="single" w:color="CCCCCC" w:sz="6" w:space="1"/>
        </w:pBdr>
        <w:spacing w:after="80" w:before="80"/>
      </w:pPr>
    </w:p>
    <w:p>
      <w:pPr>
        <w:spacing w:after="160"/>
      </w:pPr>
      <w:r>
        <w:t xml:space="preserve"/>
      </w:r>
    </w:p>
    <w:p>
      <w:pPr>
        <w:spacing w:after="80"/>
        <w:jc w:val="center"/>
      </w:pPr>
      <w:r>
        <w:rPr>
          <w:rFonts w:ascii="Times New Roman" w:cs="Times New Roman" w:eastAsia="Times New Roman" w:hAnsi="Times New Roman"/>
          <w:b/>
          <w:bCs/>
          <w:color w:val="111111"/>
          <w:sz w:val="24"/>
          <w:szCs w:val="24"/>
        </w:rPr>
        <w:t xml:space="preserve">Sahil Patel</w:t>
      </w:r>
    </w:p>
    <w:p>
      <w:pPr>
        <w:spacing w:after="60"/>
        <w:jc w:val="center"/>
      </w:pPr>
      <w:r>
        <w:rPr>
          <w:rFonts w:ascii="Times New Roman" w:cs="Times New Roman" w:eastAsia="Times New Roman" w:hAnsi="Times New Roman"/>
          <w:i/>
          <w:iCs/>
          <w:color w:val="111111"/>
          <w:sz w:val="22"/>
          <w:szCs w:val="22"/>
        </w:rPr>
        <w:t xml:space="preserve">Department of Health Data Science, Saint Louis University</w:t>
      </w:r>
    </w:p>
    <w:p>
      <w:pPr>
        <w:spacing w:after="60"/>
        <w:jc w:val="center"/>
      </w:pPr>
      <w:r>
        <w:rPr>
          <w:rFonts w:ascii="Times New Roman" w:cs="Times New Roman" w:eastAsia="Times New Roman" w:hAnsi="Times New Roman"/>
          <w:i/>
          <w:iCs/>
          <w:color w:val="111111"/>
          <w:sz w:val="22"/>
          <w:szCs w:val="22"/>
        </w:rPr>
        <w:t xml:space="preserve">patelsahils9099@gmail.com</w:t>
      </w:r>
    </w:p>
    <w:p>
      <w:pPr>
        <w:spacing w:after="160"/>
        <w:jc w:val="center"/>
      </w:pPr>
      <w:hyperlink w:history="1" r:id="rIdadpor50yewq0itfvrgny8">
        <w:r>
          <w:rPr>
            <w:rFonts w:ascii="Times New Roman" w:cs="Times New Roman" w:eastAsia="Times New Roman" w:hAnsi="Times New Roman"/>
            <w:color w:val="2E5F9E"/>
            <w:sz w:val="22"/>
            <w:szCs w:val="22"/>
            <w:u w:val="single"/>
          </w:rPr>
          <w:t xml:space="preserve">github.com/patelsahils9099-alt</w:t>
        </w:r>
      </w:hyperlink>
    </w:p>
    <w:p>
      <w:pPr>
        <w:pBdr>
          <w:bottom w:val="single" w:color="CCCCCC" w:sz="6" w:space="1"/>
        </w:pBdr>
        <w:spacing w:after="80" w:before="80"/>
      </w:pPr>
    </w:p>
    <w:p>
      <w:r>
        <w:br w:type="page"/>
      </w:r>
    </w:p>
    <w:p>
      <w:pPr>
        <w:spacing w:after="160" w:before="240"/>
        <w:jc w:val="center"/>
      </w:pPr>
      <w:r>
        <w:rPr>
          <w:rFonts w:ascii="Times New Roman" w:cs="Times New Roman" w:eastAsia="Times New Roman" w:hAnsi="Times New Roman"/>
          <w:b/>
          <w:bCs/>
          <w:color w:val="111111"/>
          <w:sz w:val="24"/>
          <w:szCs w:val="24"/>
        </w:rPr>
        <w:t xml:space="preserve">Abstract</w:t>
      </w:r>
    </w:p>
    <w:p>
      <w:pPr>
        <w:spacing w:after="120" w:line="360"/>
        <w:ind w:left="720" w:right="720"/>
        <w:jc w:val="both"/>
      </w:pPr>
      <w:r>
        <w:rPr>
          <w:rFonts w:ascii="Times New Roman" w:cs="Times New Roman" w:eastAsia="Times New Roman" w:hAnsi="Times New Roman"/>
          <w:color w:val="111111"/>
          <w:sz w:val="22"/>
          <w:szCs w:val="22"/>
        </w:rPr>
        <w:t xml:space="preserve">This study applies a full-stack analytics pipeline to 120 California hospitals with empirically computed statistics. Linear regression yielded R² = −0.24 (CV R² = −0.15), indicating the available predictors explain negligible variance in Performance Rating. Logistic regression achieved 56.7% accuracy and AUC = 0.638. North/West regions and General hospital type were the strongest positive predictors; adverse event rate was the strongest negative predictor. All code: github.com/patelsahils9099-alt.</w:t>
      </w:r>
    </w:p>
    <w:p>
      <w:pPr>
        <w:spacing w:after="80"/>
        <w:ind w:left="720" w:right="720"/>
      </w:pPr>
      <w:r>
        <w:rPr>
          <w:rFonts w:ascii="Times New Roman" w:cs="Times New Roman" w:eastAsia="Times New Roman" w:hAnsi="Times New Roman"/>
          <w:i/>
          <w:iCs/>
          <w:color w:val="111111"/>
          <w:sz w:val="22"/>
          <w:szCs w:val="22"/>
        </w:rPr>
        <w:t xml:space="preserve">Keywords: </w:t>
      </w:r>
      <w:r>
        <w:rPr>
          <w:rFonts w:ascii="Times New Roman" w:cs="Times New Roman" w:eastAsia="Times New Roman" w:hAnsi="Times New Roman"/>
          <w:color w:val="111111"/>
          <w:sz w:val="22"/>
          <w:szCs w:val="22"/>
        </w:rPr>
        <w:t xml:space="preserve">hospital performance, regression, healthcare analytics, scikit-learn, ggplot2, BigQuery ML, Saint Louis University</w:t>
      </w:r>
    </w:p>
    <w:p>
      <w:pPr>
        <w:pBdr>
          <w:bottom w:val="single" w:color="CCCCCC" w:sz="6" w:space="1"/>
        </w:pBdr>
        <w:spacing w:after="80" w:before="80"/>
      </w:pPr>
    </w:p>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1. Introduction</w:t>
      </w:r>
    </w:p>
    <w:p>
      <w:pPr>
        <w:spacing w:after="100" w:line="360"/>
        <w:ind w:firstLine="720"/>
        <w:jc w:val="both"/>
      </w:pPr>
      <w:r>
        <w:rPr>
          <w:rFonts w:ascii="Times New Roman" w:cs="Times New Roman" w:eastAsia="Times New Roman" w:hAnsi="Times New Roman"/>
          <w:color w:val="111111"/>
          <w:sz w:val="22"/>
          <w:szCs w:val="22"/>
        </w:rPr>
        <w:t xml:space="preserve">Hospital performance ratings serve as composite proxies for care quality, patient safety, and clinical outcomes (Jha et al., 2012). This paper addresses two research questions:</w:t>
      </w:r>
    </w:p>
    <w:p>
      <w:pPr>
        <w:spacing w:after="80" w:line="360"/>
        <w:ind w:left="1080"/>
        <w:jc w:val="both"/>
      </w:pPr>
      <w:r>
        <w:rPr>
          <w:rFonts w:ascii="Times New Roman" w:cs="Times New Roman" w:eastAsia="Times New Roman" w:hAnsi="Times New Roman"/>
          <w:b/>
          <w:bCs/>
          <w:color w:val="111111"/>
          <w:sz w:val="22"/>
          <w:szCs w:val="22"/>
        </w:rPr>
        <w:t xml:space="preserve">RQ1: </w:t>
      </w:r>
      <w:r>
        <w:rPr>
          <w:rFonts w:ascii="Times New Roman" w:cs="Times New Roman" w:eastAsia="Times New Roman" w:hAnsi="Times New Roman"/>
          <w:color w:val="111111"/>
          <w:sz w:val="22"/>
          <w:szCs w:val="22"/>
        </w:rPr>
        <w:t xml:space="preserve">Which hospital-level characteristics are most strongly associated with overall performance rating?</w:t>
      </w:r>
    </w:p>
    <w:p>
      <w:pPr>
        <w:spacing w:after="160" w:line="360"/>
        <w:ind w:left="1080"/>
        <w:jc w:val="both"/>
      </w:pPr>
      <w:r>
        <w:rPr>
          <w:rFonts w:ascii="Times New Roman" w:cs="Times New Roman" w:eastAsia="Times New Roman" w:hAnsi="Times New Roman"/>
          <w:b/>
          <w:bCs/>
          <w:color w:val="111111"/>
          <w:sz w:val="22"/>
          <w:szCs w:val="22"/>
        </w:rPr>
        <w:t xml:space="preserve">RQ2: </w:t>
      </w:r>
      <w:r>
        <w:rPr>
          <w:rFonts w:ascii="Times New Roman" w:cs="Times New Roman" w:eastAsia="Times New Roman" w:hAnsi="Times New Roman"/>
          <w:color w:val="111111"/>
          <w:sz w:val="22"/>
          <w:szCs w:val="22"/>
        </w:rPr>
        <w:t xml:space="preserve">To what extent can logistic regression classify hospitals as high performers (Rating ≥ 75)?</w:t>
      </w:r>
    </w:p>
    <w:p>
      <w:pPr>
        <w:spacing w:after="100" w:line="360"/>
        <w:jc w:val="both"/>
      </w:pPr>
      <w:r>
        <w:rPr>
          <w:rFonts w:ascii="Times New Roman" w:cs="Times New Roman" w:eastAsia="Times New Roman" w:hAnsi="Times New Roman"/>
          <w:color w:val="111111"/>
          <w:sz w:val="22"/>
          <w:szCs w:val="22"/>
        </w:rPr>
        <w:t xml:space="preserve">Complete codebase: </w:t>
      </w:r>
      <w:hyperlink w:history="1" r:id="rIdmy5ilhqxr4yljwu3hwntz">
        <w:r>
          <w:rPr>
            <w:rFonts w:ascii="Times New Roman" w:cs="Times New Roman" w:eastAsia="Times New Roman" w:hAnsi="Times New Roman"/>
            <w:color w:val="2E5F9E"/>
            <w:sz w:val="22"/>
            <w:szCs w:val="22"/>
            <w:u w:val="single"/>
          </w:rPr>
          <w:t xml:space="preserve">github.com/patelsahils9099-alt</w:t>
        </w:r>
      </w:hyperlink>
      <w:r>
        <w:rPr>
          <w:rFonts w:ascii="Times New Roman" w:cs="Times New Roman" w:eastAsia="Times New Roman" w:hAnsi="Times New Roman"/>
          <w:color w:val="111111"/>
          <w:sz w:val="22"/>
          <w:szCs w:val="22"/>
        </w:rPr>
        <w:t xml:space="preserve">.</w:t>
      </w:r>
    </w:p>
    <w:p>
      <w:pPr>
        <w:pStyle w:val="Heading1"/>
        <w:spacing w:after="160" w:before="280"/>
        <w:jc w:val="center"/>
      </w:pPr>
      <w:r>
        <w:rPr>
          <w:rFonts w:ascii="Times New Roman" w:cs="Times New Roman" w:eastAsia="Times New Roman" w:hAnsi="Times New Roman"/>
          <w:b/>
          <w:bCs/>
          <w:color w:val="111111"/>
          <w:sz w:val="24"/>
          <w:szCs w:val="24"/>
        </w:rPr>
        <w:t xml:space="preserve">2. Literature Review</w:t>
      </w:r>
    </w:p>
    <w:p>
      <w:pPr>
        <w:pStyle w:val="Heading2"/>
        <w:spacing w:after="120" w:before="200"/>
      </w:pPr>
      <w:r>
        <w:rPr>
          <w:rFonts w:ascii="Times New Roman" w:cs="Times New Roman" w:eastAsia="Times New Roman" w:hAnsi="Times New Roman"/>
          <w:b/>
          <w:bCs/>
          <w:color w:val="111111"/>
          <w:sz w:val="23"/>
          <w:szCs w:val="23"/>
        </w:rPr>
        <w:t xml:space="preserve">2.1 Hospital Performance Measurement</w:t>
      </w:r>
    </w:p>
    <w:p>
      <w:pPr>
        <w:spacing w:after="100" w:line="360"/>
        <w:ind w:firstLine="720"/>
        <w:jc w:val="both"/>
      </w:pPr>
      <w:r>
        <w:rPr>
          <w:rFonts w:ascii="Times New Roman" w:cs="Times New Roman" w:eastAsia="Times New Roman" w:hAnsi="Times New Roman"/>
          <w:color w:val="111111"/>
          <w:sz w:val="22"/>
          <w:szCs w:val="22"/>
        </w:rPr>
        <w:t xml:space="preserve">Teaching hospitals exhibit superior outcomes for complex conditions (Burke et al., 2020). Specialty hospitals show mixed evidence (Mitchell, 2014). Composite indices combine patient experience, process adherence, and safety events (Shwartz et al., 2015).</w:t>
      </w:r>
    </w:p>
    <w:p>
      <w:pPr>
        <w:pStyle w:val="Heading2"/>
        <w:spacing w:after="120" w:before="200"/>
      </w:pPr>
      <w:r>
        <w:rPr>
          <w:rFonts w:ascii="Times New Roman" w:cs="Times New Roman" w:eastAsia="Times New Roman" w:hAnsi="Times New Roman"/>
          <w:b/>
          <w:bCs/>
          <w:color w:val="111111"/>
          <w:sz w:val="23"/>
          <w:szCs w:val="23"/>
        </w:rPr>
        <w:t xml:space="preserve">2.2 Risk Adjustment</w:t>
      </w:r>
    </w:p>
    <w:p>
      <w:pPr>
        <w:spacing w:after="100" w:line="360"/>
        <w:ind w:firstLine="720"/>
        <w:jc w:val="both"/>
      </w:pPr>
      <w:r>
        <w:rPr>
          <w:rFonts w:ascii="Times New Roman" w:cs="Times New Roman" w:eastAsia="Times New Roman" w:hAnsi="Times New Roman"/>
          <w:color w:val="111111"/>
          <w:sz w:val="22"/>
          <w:szCs w:val="22"/>
        </w:rPr>
        <w:t xml:space="preserve">Risk adjustment controls for patient severity to ensure performance differences reflect institutional quality (Iezzoni, 1997; Werner &amp; Bradlow, 2006).</w:t>
      </w:r>
    </w:p>
    <w:p>
      <w:pPr>
        <w:pStyle w:val="Heading2"/>
        <w:spacing w:after="120" w:before="200"/>
      </w:pPr>
      <w:r>
        <w:rPr>
          <w:rFonts w:ascii="Times New Roman" w:cs="Times New Roman" w:eastAsia="Times New Roman" w:hAnsi="Times New Roman"/>
          <w:b/>
          <w:bCs/>
          <w:color w:val="111111"/>
          <w:sz w:val="23"/>
          <w:szCs w:val="23"/>
        </w:rPr>
        <w:t xml:space="preserve">2.3 Predictive Modeling</w:t>
      </w:r>
    </w:p>
    <w:p>
      <w:pPr>
        <w:spacing w:after="100" w:line="360"/>
        <w:ind w:firstLine="720"/>
        <w:jc w:val="both"/>
      </w:pPr>
      <w:r>
        <w:rPr>
          <w:rFonts w:ascii="Times New Roman" w:cs="Times New Roman" w:eastAsia="Times New Roman" w:hAnsi="Times New Roman"/>
          <w:color w:val="111111"/>
          <w:sz w:val="22"/>
          <w:szCs w:val="22"/>
        </w:rPr>
        <w:t xml:space="preserve">Linear regression predicts continuous quality scores (Ash et al., 2012); logistic regression classifies facilities (Mukamel et al., 2008). BigQuery ML enables SQL-based model training (Google Cloud, 2023).</w:t>
      </w:r>
    </w:p>
    <w:p>
      <w:pPr>
        <w:pStyle w:val="Heading2"/>
        <w:spacing w:after="120" w:before="200"/>
      </w:pPr>
      <w:r>
        <w:rPr>
          <w:rFonts w:ascii="Times New Roman" w:cs="Times New Roman" w:eastAsia="Times New Roman" w:hAnsi="Times New Roman"/>
          <w:b/>
          <w:bCs/>
          <w:color w:val="111111"/>
          <w:sz w:val="23"/>
          <w:szCs w:val="23"/>
        </w:rPr>
        <w:t xml:space="preserve">2.4 Multi-Tool Workflows</w:t>
      </w:r>
    </w:p>
    <w:p>
      <w:pPr>
        <w:spacing w:after="100" w:line="360"/>
        <w:ind w:firstLine="720"/>
        <w:jc w:val="both"/>
      </w:pPr>
      <w:r>
        <w:rPr>
          <w:rFonts w:ascii="Times New Roman" w:cs="Times New Roman" w:eastAsia="Times New Roman" w:hAnsi="Times New Roman"/>
          <w:color w:val="111111"/>
          <w:sz w:val="22"/>
          <w:szCs w:val="22"/>
        </w:rPr>
        <w:t xml:space="preserve">Integrated BigQuery, Python, R, and Looker pipelines improve reproducibility in healthcare analytics (Reis &amp; Housley, 2022; Simpao et al., 2014).</w:t>
      </w:r>
    </w:p>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3. Methodology</w:t>
      </w:r>
    </w:p>
    <w:p>
      <w:pPr>
        <w:pStyle w:val="Heading2"/>
        <w:spacing w:after="120" w:before="200"/>
      </w:pPr>
      <w:r>
        <w:rPr>
          <w:rFonts w:ascii="Times New Roman" w:cs="Times New Roman" w:eastAsia="Times New Roman" w:hAnsi="Times New Roman"/>
          <w:b/>
          <w:bCs/>
          <w:color w:val="111111"/>
          <w:sz w:val="23"/>
          <w:szCs w:val="23"/>
        </w:rPr>
        <w:t xml:space="preserve">3.1 Data Source</w:t>
      </w:r>
    </w:p>
    <w:p>
      <w:pPr>
        <w:spacing w:after="100" w:line="360"/>
        <w:jc w:val="both"/>
      </w:pPr>
      <w:r>
        <w:rPr>
          <w:rFonts w:ascii="Times New Roman" w:cs="Times New Roman" w:eastAsia="Times New Roman" w:hAnsi="Times New Roman"/>
          <w:color w:val="111111"/>
          <w:sz w:val="22"/>
          <w:szCs w:val="22"/>
        </w:rPr>
        <w:t xml:space="preserve">Dataset: 120 California hospitals, 7 variables. All statistics computed via Python (pandas). Code at </w:t>
      </w:r>
      <w:hyperlink w:history="1" r:id="rIdei-r4wxhwg0cm-81lmhg4">
        <w:r>
          <w:rPr>
            <w:rFonts w:ascii="Times New Roman" w:cs="Times New Roman" w:eastAsia="Times New Roman" w:hAnsi="Times New Roman"/>
            <w:color w:val="2E5F9E"/>
            <w:sz w:val="22"/>
            <w:szCs w:val="22"/>
            <w:u w:val="single"/>
          </w:rPr>
          <w:t xml:space="preserve">github.com/patelsahils9099-alt</w:t>
        </w:r>
      </w:hyperlink>
      <w:r>
        <w:rPr>
          <w:rFonts w:ascii="Times New Roman" w:cs="Times New Roman" w:eastAsia="Times New Roman" w:hAnsi="Times New Roman"/>
          <w:color w:val="111111"/>
          <w:sz w:val="22"/>
          <w:szCs w:val="22"/>
        </w:rPr>
        <w:t xml:space="preserve">.</w:t>
      </w:r>
    </w:p>
    <w:p>
      <w:pPr>
        <w:spacing w:after="80" w:before="160"/>
        <w:jc w:val="center"/>
      </w:pPr>
      <w:r>
        <w:rPr>
          <w:rFonts w:ascii="Times New Roman" w:cs="Times New Roman" w:eastAsia="Times New Roman" w:hAnsi="Times New Roman"/>
          <w:i/>
          <w:iCs/>
          <w:color w:val="111111"/>
          <w:sz w:val="20"/>
          <w:szCs w:val="20"/>
        </w:rPr>
        <w:t xml:space="preserve">Table 1
Dataset Variables and Descriptive Statistics (n = 120)</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500"/>
        <w:gridCol w:w="900"/>
        <w:gridCol w:w="6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Variable</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Type</w:t>
            </w:r>
          </w:p>
        </w:tc>
        <w:tc>
          <w:tcPr>
            <w:tcW w:type="dxa" w:w="2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Range / Values</w:t>
            </w:r>
          </w:p>
        </w:tc>
        <w:tc>
          <w:tcPr>
            <w:tcW w:type="dxa" w:w="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Mean</w:t>
            </w:r>
          </w:p>
        </w:tc>
        <w:tc>
          <w:tcPr>
            <w:tcW w:type="dxa" w:w="6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SD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Performance_Rating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Continuous</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55.8 – 100.0</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75.50</w:t>
            </w:r>
          </w:p>
        </w:tc>
        <w:tc>
          <w:tcPr>
            <w:tcW w:type="dxa" w:w="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9.43</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Risk_Adjusted_Rate</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Continuous</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 – 8.97</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5.58</w:t>
            </w:r>
          </w:p>
        </w:tc>
        <w:tc>
          <w:tcPr>
            <w:tcW w:type="dxa" w:w="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1.46</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Cases</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Integer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253 – 346</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295.4</w:t>
            </w:r>
          </w:p>
        </w:tc>
        <w:tc>
          <w:tcPr>
            <w:tcW w:type="dxa" w:w="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18.23</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Adverse_Events</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Integer</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 – 14</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6.08</w:t>
            </w:r>
          </w:p>
        </w:tc>
        <w:tc>
          <w:tcPr>
            <w:tcW w:type="dxa" w:w="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2.97</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Hospital_Type</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Categorical</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General 45%, Teaching 18.3%, Community 20%, Specialty 16.7%</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t>
            </w:r>
          </w:p>
        </w:tc>
        <w:tc>
          <w:tcPr>
            <w:tcW w:type="dxa" w:w="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Adverse_Rate*</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Engineered</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0.000 – 0.046</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0.021</w:t>
            </w:r>
          </w:p>
        </w:tc>
        <w:tc>
          <w:tcPr>
            <w:tcW w:type="dxa" w:w="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0.010</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High_Performer*</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Binary</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 if Rating ≥ 75 (55.8% High, 44.2% Low)</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t>
            </w:r>
          </w:p>
        </w:tc>
        <w:tc>
          <w:tcPr>
            <w:tcW w:type="dxa" w:w="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t>
            </w:r>
          </w:p>
        </w:tc>
      </w:tr>
    </w:tbl>
    <w:p>
      <w:pPr>
        <w:spacing w:after="100" w:line="360"/>
        <w:jc w:val="both"/>
      </w:pPr>
      <w:r>
        <w:rPr>
          <w:rFonts w:ascii="Times New Roman" w:cs="Times New Roman" w:eastAsia="Times New Roman" w:hAnsi="Times New Roman"/>
          <w:i/>
          <w:iCs/>
          <w:color w:val="111111"/>
          <w:sz w:val="22"/>
          <w:szCs w:val="22"/>
        </w:rPr>
        <w:t xml:space="preserve">Note. </w:t>
      </w:r>
      <w:r>
        <w:rPr>
          <w:rFonts w:ascii="Times New Roman" w:cs="Times New Roman" w:eastAsia="Times New Roman" w:hAnsi="Times New Roman"/>
          <w:color w:val="111111"/>
          <w:sz w:val="22"/>
          <w:szCs w:val="22"/>
        </w:rPr>
        <w:t xml:space="preserve">* = engineered. Adverse_Rate = Adverse_Events / Cases.</w:t>
      </w:r>
    </w:p>
    <w:p>
      <w:pPr>
        <w:pStyle w:val="Heading2"/>
        <w:spacing w:after="120" w:before="200"/>
      </w:pPr>
      <w:r>
        <w:rPr>
          <w:rFonts w:ascii="Times New Roman" w:cs="Times New Roman" w:eastAsia="Times New Roman" w:hAnsi="Times New Roman"/>
          <w:b/>
          <w:bCs/>
          <w:color w:val="111111"/>
          <w:sz w:val="23"/>
          <w:szCs w:val="23"/>
        </w:rPr>
        <w:t xml:space="preserve">3.2 Data Cleaning</w:t>
      </w:r>
    </w:p>
    <w:p>
      <w:pPr>
        <w:spacing w:after="100" w:line="360"/>
        <w:ind w:firstLine="720"/>
        <w:jc w:val="both"/>
      </w:pPr>
      <w:r>
        <w:rPr>
          <w:rFonts w:ascii="Times New Roman" w:cs="Times New Roman" w:eastAsia="Times New Roman" w:hAnsi="Times New Roman"/>
          <w:color w:val="111111"/>
          <w:sz w:val="22"/>
          <w:szCs w:val="22"/>
        </w:rPr>
        <w:t xml:space="preserve">Zero missing values, zero duplicates. Raw Adverse_Events and Cases excluded from regression to prevent multicollinearity; Adverse_Rate retained. One-hot encoded with Community (type) and East (region) as references.</w:t>
      </w:r>
    </w:p>
    <w:p>
      <w:pPr>
        <w:pStyle w:val="Heading2"/>
        <w:spacing w:after="120" w:before="200"/>
      </w:pPr>
      <w:r>
        <w:rPr>
          <w:rFonts w:ascii="Times New Roman" w:cs="Times New Roman" w:eastAsia="Times New Roman" w:hAnsi="Times New Roman"/>
          <w:b/>
          <w:bCs/>
          <w:color w:val="111111"/>
          <w:sz w:val="23"/>
          <w:szCs w:val="23"/>
        </w:rPr>
        <w:t xml:space="preserve">3.3 EDA and Dashboards</w:t>
      </w:r>
    </w:p>
    <w:p>
      <w:pPr>
        <w:spacing w:after="100" w:line="360"/>
        <w:jc w:val="both"/>
      </w:pPr>
      <w:r>
        <w:rPr>
          <w:rFonts w:ascii="Times New Roman" w:cs="Times New Roman" w:eastAsia="Times New Roman" w:hAnsi="Times New Roman"/>
          <w:color w:val="111111"/>
          <w:sz w:val="22"/>
          <w:szCs w:val="22"/>
        </w:rPr>
        <w:t xml:space="preserve">EDA: Python (matplotlib, seaborn) and R (ggplot2, corrplot). Dashboards in Power BI Desktop and Tableau Desktop. Published Tableau workbook: </w:t>
      </w:r>
      <w:hyperlink w:history="1" r:id="rIdr_ebdti7gzplmnjsm1czi">
        <w:r>
          <w:rPr>
            <w:rFonts w:ascii="Times New Roman" w:cs="Times New Roman" w:eastAsia="Times New Roman" w:hAnsi="Times New Roman"/>
            <w:color w:val="2E5F9E"/>
            <w:sz w:val="22"/>
            <w:szCs w:val="22"/>
            <w:u w:val="single"/>
          </w:rPr>
          <w:t xml:space="preserve">public.tableau.com/app/profile/sahil.patel</w:t>
        </w:r>
      </w:hyperlink>
      <w:r>
        <w:rPr>
          <w:rFonts w:ascii="Times New Roman" w:cs="Times New Roman" w:eastAsia="Times New Roman" w:hAnsi="Times New Roman"/>
          <w:color w:val="111111"/>
          <w:sz w:val="22"/>
          <w:szCs w:val="22"/>
        </w:rPr>
        <w:t xml:space="preserve"> (replace with your actual Tableau Public URL). Looker Studio connects to BigQuery for live-refresh reporting.</w:t>
      </w:r>
    </w:p>
    <w:p>
      <w:pPr>
        <w:pStyle w:val="Heading2"/>
        <w:spacing w:after="120" w:before="200"/>
      </w:pPr>
      <w:r>
        <w:rPr>
          <w:rFonts w:ascii="Times New Roman" w:cs="Times New Roman" w:eastAsia="Times New Roman" w:hAnsi="Times New Roman"/>
          <w:b/>
          <w:bCs/>
          <w:color w:val="111111"/>
          <w:sz w:val="23"/>
          <w:szCs w:val="23"/>
        </w:rPr>
        <w:t xml:space="preserve">3.4 Models</w:t>
      </w:r>
    </w:p>
    <w:p>
      <w:pPr>
        <w:pStyle w:val="Heading3"/>
        <w:spacing w:after="80" w:before="160"/>
        <w:ind w:left="360"/>
      </w:pPr>
      <w:r>
        <w:rPr>
          <w:rFonts w:ascii="Times New Roman" w:cs="Times New Roman" w:eastAsia="Times New Roman" w:hAnsi="Times New Roman"/>
          <w:b/>
          <w:bCs/>
          <w:i/>
          <w:iCs/>
          <w:color w:val="111111"/>
          <w:sz w:val="22"/>
          <w:szCs w:val="22"/>
        </w:rPr>
        <w:t xml:space="preserve">3.4.1 Linear Regression</w:t>
      </w:r>
    </w:p>
    <w:p>
      <w:pPr>
        <w:spacing w:after="100" w:line="360"/>
        <w:ind w:firstLine="720"/>
        <w:jc w:val="both"/>
      </w:pPr>
      <w:r>
        <w:rPr>
          <w:rFonts w:ascii="Times New Roman" w:cs="Times New Roman" w:eastAsia="Times New Roman" w:hAnsi="Times New Roman"/>
          <w:color w:val="111111"/>
          <w:sz w:val="22"/>
          <w:szCs w:val="22"/>
        </w:rPr>
        <w:t xml:space="preserve">Outcome: Performance_Rating. Features: Risk_Adjusted_Rate, Adverse_Rate, 6 binary indicators. All z-score normalised. Evaluated via R², MAE, RMSE (n_test=30) and 5-fold CV. Also trained via BigQuery ML and R lm().</w:t>
      </w:r>
    </w:p>
    <w:p>
      <w:pPr>
        <w:pStyle w:val="Heading3"/>
        <w:spacing w:after="80" w:before="160"/>
        <w:ind w:left="360"/>
      </w:pPr>
      <w:r>
        <w:rPr>
          <w:rFonts w:ascii="Times New Roman" w:cs="Times New Roman" w:eastAsia="Times New Roman" w:hAnsi="Times New Roman"/>
          <w:b/>
          <w:bCs/>
          <w:i/>
          <w:iCs/>
          <w:color w:val="111111"/>
          <w:sz w:val="22"/>
          <w:szCs w:val="22"/>
        </w:rPr>
        <w:t xml:space="preserve">3.4.2 Logistic Regression</w:t>
      </w:r>
    </w:p>
    <w:p>
      <w:pPr>
        <w:spacing w:after="100" w:line="360"/>
        <w:ind w:firstLine="720"/>
        <w:jc w:val="both"/>
      </w:pPr>
      <w:r>
        <w:rPr>
          <w:rFonts w:ascii="Times New Roman" w:cs="Times New Roman" w:eastAsia="Times New Roman" w:hAnsi="Times New Roman"/>
          <w:color w:val="111111"/>
          <w:sz w:val="22"/>
          <w:szCs w:val="22"/>
        </w:rPr>
        <w:t xml:space="preserve">Outcome: High_Performer (0/1). L2-regularised LogisticRegression (C=1.0, max_iter=1000). Evaluated via accuracy, AUC, precision, recall, F1. Also via R glm() and BigQuery ML.</w:t>
      </w:r>
    </w:p>
    <w:p>
      <w:pPr>
        <w:pStyle w:val="Heading2"/>
        <w:spacing w:after="120" w:before="200"/>
      </w:pPr>
      <w:r>
        <w:rPr>
          <w:rFonts w:ascii="Times New Roman" w:cs="Times New Roman" w:eastAsia="Times New Roman" w:hAnsi="Times New Roman"/>
          <w:b/>
          <w:bCs/>
          <w:color w:val="111111"/>
          <w:sz w:val="23"/>
          <w:szCs w:val="23"/>
        </w:rPr>
        <w:t xml:space="preserve">3.5 Reproducibility</w:t>
      </w:r>
    </w:p>
    <w:p>
      <w:pPr>
        <w:spacing w:after="100" w:line="360"/>
        <w:jc w:val="both"/>
      </w:pPr>
      <w:r>
        <w:rPr>
          <w:rFonts w:ascii="Times New Roman" w:cs="Times New Roman" w:eastAsia="Times New Roman" w:hAnsi="Times New Roman"/>
          <w:color w:val="111111"/>
          <w:sz w:val="22"/>
          <w:szCs w:val="22"/>
        </w:rPr>
        <w:t xml:space="preserve">Python 3.10, R 4.3.0, BigQuery ML, Power BI, Tableau 2024.1, Looker Studio. All code: </w:t>
      </w:r>
      <w:hyperlink w:history="1" r:id="rIdqpbmavewnf9qkzkvd_jba">
        <w:r>
          <w:rPr>
            <w:rFonts w:ascii="Times New Roman" w:cs="Times New Roman" w:eastAsia="Times New Roman" w:hAnsi="Times New Roman"/>
            <w:color w:val="2E5F9E"/>
            <w:sz w:val="22"/>
            <w:szCs w:val="22"/>
            <w:u w:val="single"/>
          </w:rPr>
          <w:t xml:space="preserve">github.com/patelsahils9099-alt</w:t>
        </w:r>
      </w:hyperlink>
      <w:r>
        <w:rPr>
          <w:rFonts w:ascii="Times New Roman" w:cs="Times New Roman" w:eastAsia="Times New Roman" w:hAnsi="Times New Roman"/>
          <w:color w:val="111111"/>
          <w:sz w:val="22"/>
          <w:szCs w:val="22"/>
        </w:rPr>
        <w:t xml:space="preserve">.</w:t>
      </w:r>
    </w:p>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4. Results</w:t>
      </w:r>
    </w:p>
    <w:p>
      <w:pPr>
        <w:pStyle w:val="Heading2"/>
        <w:spacing w:after="120" w:before="200"/>
      </w:pPr>
      <w:r>
        <w:rPr>
          <w:rFonts w:ascii="Times New Roman" w:cs="Times New Roman" w:eastAsia="Times New Roman" w:hAnsi="Times New Roman"/>
          <w:b/>
          <w:bCs/>
          <w:color w:val="111111"/>
          <w:sz w:val="23"/>
          <w:szCs w:val="23"/>
        </w:rPr>
        <w:t xml:space="preserve">4.1 Descriptive Findings</w:t>
      </w:r>
    </w:p>
    <w:p>
      <w:pPr>
        <w:spacing w:after="100" w:line="360"/>
        <w:ind w:firstLine="720"/>
        <w:jc w:val="both"/>
      </w:pPr>
      <w:r>
        <w:rPr>
          <w:rFonts w:ascii="Times New Roman" w:cs="Times New Roman" w:eastAsia="Times New Roman" w:hAnsi="Times New Roman"/>
          <w:color w:val="111111"/>
          <w:sz w:val="22"/>
          <w:szCs w:val="22"/>
        </w:rPr>
        <w:t xml:space="preserve">Mean Performance_Rating = 75.50 (SD = 9.43, median = 76.6, range: 55.8–100.0). General hospitals: n=54 (45.0%). 67 hospitals (55.8%) classified as High Performers. All Pearson |r| ≤ 0.20.</w:t>
      </w:r>
    </w:p>
    <w:p>
      <w:pPr>
        <w:spacing w:after="80" w:before="160"/>
        <w:jc w:val="center"/>
      </w:pPr>
      <w:r>
        <w:rPr>
          <w:rFonts w:ascii="Times New Roman" w:cs="Times New Roman" w:eastAsia="Times New Roman" w:hAnsi="Times New Roman"/>
          <w:i/>
          <w:iCs/>
          <w:color w:val="111111"/>
          <w:sz w:val="20"/>
          <w:szCs w:val="20"/>
        </w:rPr>
        <w:t xml:space="preserve">Table 2
Mean Performance Rating by Hospital Type (Real Data)</w:t>
      </w:r>
    </w:p>
    <w:tbl>
      <w:tblPr>
        <w:tblW w:type="dxa" w:w="6660"/>
        <w:tblBorders>
          <w:top w:val="single" w:color="auto" w:sz="4"/>
          <w:left w:val="single" w:color="auto" w:sz="4"/>
          <w:bottom w:val="single" w:color="auto" w:sz="4"/>
          <w:right w:val="single" w:color="auto" w:sz="4"/>
          <w:insideH w:val="single" w:color="auto" w:sz="4"/>
          <w:insideV w:val="single" w:color="auto" w:sz="4"/>
        </w:tblBorders>
      </w:tblPr>
      <w:tblGrid>
        <w:gridCol w:w="1960"/>
        <w:gridCol w:w="700"/>
        <w:gridCol w:w="1000"/>
        <w:gridCol w:w="1000"/>
        <w:gridCol w:w="1000"/>
        <w:gridCol w:w="1000"/>
      </w:tblGrid>
      <w:tr>
        <w:trPr>
          <w:tblHeader/>
        </w:trPr>
        <w:tc>
          <w:tcPr>
            <w:tcW w:type="dxa" w:w="1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Hospital Type</w:t>
            </w:r>
          </w:p>
        </w:tc>
        <w:tc>
          <w:tcPr>
            <w:tcW w:type="dxa" w:w="7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n</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Mean</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SD</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Min</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Max</w:t>
            </w:r>
          </w:p>
        </w:tc>
      </w:tr>
      <w:tr>
        <w:tc>
          <w:tcPr>
            <w:tcW w:type="dxa" w:w="1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General</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54</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76.63</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9.11</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61.0</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r>
      <w:tr>
        <w:tc>
          <w:tcPr>
            <w:tcW w:type="dxa" w:w="1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Teaching</w:t>
            </w:r>
          </w:p>
        </w:tc>
        <w:tc>
          <w:tcPr>
            <w:tcW w:type="dxa" w:w="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22</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75.65</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10.66</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59.5</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r>
      <w:tr>
        <w:tc>
          <w:tcPr>
            <w:tcW w:type="dxa" w:w="1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Community</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24</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74.95</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9.43</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58.9</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96.9</w:t>
            </w:r>
          </w:p>
        </w:tc>
      </w:tr>
      <w:tr>
        <w:tc>
          <w:tcPr>
            <w:tcW w:type="dxa" w:w="1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Specialty</w:t>
            </w:r>
          </w:p>
        </w:tc>
        <w:tc>
          <w:tcPr>
            <w:tcW w:type="dxa" w:w="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20</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72.92</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9.00</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55.8</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86.4</w:t>
            </w:r>
          </w:p>
        </w:tc>
      </w:tr>
    </w:tbl>
    <w:p>
      <w:pPr>
        <w:spacing w:after="80" w:before="160"/>
        <w:jc w:val="center"/>
      </w:pPr>
      <w:r>
        <w:rPr>
          <w:rFonts w:ascii="Times New Roman" w:cs="Times New Roman" w:eastAsia="Times New Roman" w:hAnsi="Times New Roman"/>
          <w:i/>
          <w:iCs/>
          <w:color w:val="111111"/>
          <w:sz w:val="20"/>
          <w:szCs w:val="20"/>
        </w:rPr>
        <w:t xml:space="preserve">Table 3
Pearson Correlations (Real Data)</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100"/>
        <w:gridCol w:w="120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Variable</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Perf. Rating</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Risk Adj.</w:t>
            </w:r>
          </w:p>
        </w:tc>
        <w:tc>
          <w:tcPr>
            <w:tcW w:type="dxa" w:w="11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Cases</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Adv. Events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Performance Rating</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0.081</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−0.029</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−0.078</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Risk Adjusted Rate</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0.081</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−0.049</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−0.068</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Cases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−0.029</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−0.049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0.202</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Adverse Events</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−0.078</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−0.068</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0.202</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r>
    </w:tbl>
    <w:p>
      <w:pPr>
        <w:pStyle w:val="Heading2"/>
        <w:spacing w:after="120" w:before="200"/>
      </w:pPr>
      <w:r>
        <w:rPr>
          <w:rFonts w:ascii="Times New Roman" w:cs="Times New Roman" w:eastAsia="Times New Roman" w:hAnsi="Times New Roman"/>
          <w:b/>
          <w:bCs/>
          <w:color w:val="111111"/>
          <w:sz w:val="23"/>
          <w:szCs w:val="23"/>
        </w:rPr>
        <w:t xml:space="preserve">4.2 Linear Regression</w:t>
      </w:r>
    </w:p>
    <w:p>
      <w:pPr>
        <w:spacing w:after="100" w:line="360"/>
        <w:ind w:firstLine="720"/>
        <w:jc w:val="both"/>
      </w:pPr>
      <w:r>
        <w:rPr>
          <w:rFonts w:ascii="Times New Roman" w:cs="Times New Roman" w:eastAsia="Times New Roman" w:hAnsi="Times New Roman"/>
          <w:color w:val="111111"/>
          <w:sz w:val="22"/>
          <w:szCs w:val="22"/>
        </w:rPr>
        <w:t xml:space="preserve">Test R² = −0.24, MAE = 7.96, RMSE = 9.99. CV R² = −0.15. Negative R² confirms the model underperforms a naive mean baseline. Region_North (β = +1.46) and Region_West (β = +1.23) were the largest positive coefficients; Adverse_Rate (β = −1.07) the largest negative.</w:t>
      </w:r>
    </w:p>
    <w:p>
      <w:pPr>
        <w:spacing w:after="80" w:before="160"/>
        <w:jc w:val="center"/>
      </w:pPr>
      <w:r>
        <w:rPr>
          <w:rFonts w:ascii="Times New Roman" w:cs="Times New Roman" w:eastAsia="Times New Roman" w:hAnsi="Times New Roman"/>
          <w:i/>
          <w:iCs/>
          <w:color w:val="111111"/>
          <w:sz w:val="20"/>
          <w:szCs w:val="20"/>
        </w:rPr>
        <w:t xml:space="preserve">Table 4
Linear Regression — Real Test Set Performance (n_test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Metric</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Value</w:t>
            </w:r>
          </w:p>
        </w:tc>
        <w:tc>
          <w:tcPr>
            <w:tcW w:type="dxa" w:w="5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R² (Test)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−0.24</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Worse than naive mean; weak feature set</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MAE</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7.96</w:t>
            </w:r>
          </w:p>
        </w:tc>
        <w:tc>
          <w:tcPr>
            <w:tcW w:type="dxa" w:w="5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Average absolute error in rating points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RMSE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9.99</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Root mean squared error</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CV R² (5-fold)</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−0.15</w:t>
            </w:r>
          </w:p>
        </w:tc>
        <w:tc>
          <w:tcPr>
            <w:tcW w:type="dxa" w:w="5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Poor generalisation confirmed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Intercept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76.49</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Rating at mean standardised features</w:t>
            </w:r>
          </w:p>
        </w:tc>
      </w:tr>
    </w:tbl>
    <w:p>
      <w:pPr>
        <w:pStyle w:val="Heading2"/>
        <w:spacing w:after="120" w:before="200"/>
      </w:pPr>
      <w:r>
        <w:rPr>
          <w:rFonts w:ascii="Times New Roman" w:cs="Times New Roman" w:eastAsia="Times New Roman" w:hAnsi="Times New Roman"/>
          <w:b/>
          <w:bCs/>
          <w:color w:val="111111"/>
          <w:sz w:val="23"/>
          <w:szCs w:val="23"/>
        </w:rPr>
        <w:t xml:space="preserve">4.3 Logistic Regression</w:t>
      </w:r>
    </w:p>
    <w:p>
      <w:pPr>
        <w:spacing w:after="100" w:line="360"/>
        <w:ind w:firstLine="720"/>
        <w:jc w:val="both"/>
      </w:pPr>
      <w:r>
        <w:rPr>
          <w:rFonts w:ascii="Times New Roman" w:cs="Times New Roman" w:eastAsia="Times New Roman" w:hAnsi="Times New Roman"/>
          <w:color w:val="111111"/>
          <w:sz w:val="22"/>
          <w:szCs w:val="22"/>
        </w:rPr>
        <w:t xml:space="preserve">Accuracy = 56.7%, AUC = 0.638. High recall for High Performers (0.92); low specificity for Low Performers (0.29). Confusion matrix: 5 TN, 12 FP, 1 FN, 12 TP.</w:t>
      </w:r>
    </w:p>
    <w:p>
      <w:pPr>
        <w:spacing w:after="80" w:before="160"/>
        <w:jc w:val="center"/>
      </w:pPr>
      <w:r>
        <w:rPr>
          <w:rFonts w:ascii="Times New Roman" w:cs="Times New Roman" w:eastAsia="Times New Roman" w:hAnsi="Times New Roman"/>
          <w:i/>
          <w:iCs/>
          <w:color w:val="111111"/>
          <w:sz w:val="20"/>
          <w:szCs w:val="20"/>
        </w:rPr>
        <w:t xml:space="preserve">Table 5
Logistic Regression — Classification Report (n_test = 30)</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1100"/>
        <w:gridCol w:w="100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Class</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Precision</w:t>
            </w:r>
          </w:p>
        </w:tc>
        <w:tc>
          <w:tcPr>
            <w:tcW w:type="dxa" w:w="11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Recall</w:t>
            </w:r>
          </w:p>
        </w:tc>
        <w:tc>
          <w:tcPr>
            <w:tcW w:type="dxa" w:w="11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F1</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Support</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Low Performer (0)</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0.83</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0.43</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17</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High Performer (1)</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0.50</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0.92</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0.65</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13</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Macro Avg</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0.67</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0.61</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0.54</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30</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Weighted Avg</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0.69</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0.57</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0.53</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30</w:t>
            </w:r>
          </w:p>
        </w:tc>
      </w:tr>
    </w:tbl>
    <w:p>
      <w:pPr>
        <w:spacing w:after="80" w:before="160"/>
        <w:jc w:val="center"/>
      </w:pPr>
      <w:r>
        <w:rPr>
          <w:rFonts w:ascii="Times New Roman" w:cs="Times New Roman" w:eastAsia="Times New Roman" w:hAnsi="Times New Roman"/>
          <w:i/>
          <w:iCs/>
          <w:color w:val="111111"/>
          <w:sz w:val="20"/>
          <w:szCs w:val="20"/>
        </w:rPr>
        <w:t xml:space="preserve">Table 6
Logistic Regression — Odds Ratios (Real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420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Feature</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Coefficient</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Odds Ratio</w:t>
            </w:r>
          </w:p>
        </w:tc>
        <w:tc>
          <w:tcPr>
            <w:tcW w:type="dxa" w:w="4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Direction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Region_West</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+0.56</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1.75</w:t>
            </w:r>
          </w:p>
        </w:tc>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Strongest positive predictor</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Hospital_Type_General</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+0.33</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1.39</w:t>
            </w:r>
          </w:p>
        </w:tc>
        <w:tc>
          <w:tcPr>
            <w:tcW w:type="dxa" w:w="4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General type → higher High Performer odds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Region_North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+0.29</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1.34</w:t>
            </w:r>
          </w:p>
        </w:tc>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North region positive</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Adverse_Rate</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−0.23</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0.79</w:t>
            </w:r>
          </w:p>
        </w:tc>
        <w:tc>
          <w:tcPr>
            <w:tcW w:type="dxa" w:w="4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Higher adverse rate → lower odds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Hospital_Type_Teaching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−0.10</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0.90</w:t>
            </w:r>
          </w:p>
        </w:tc>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Slight negative</w:t>
            </w:r>
          </w:p>
        </w:tc>
      </w:tr>
    </w:tbl>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5. Discussion</w:t>
      </w:r>
    </w:p>
    <w:p>
      <w:pPr>
        <w:pStyle w:val="Heading2"/>
        <w:spacing w:after="120" w:before="200"/>
      </w:pPr>
      <w:r>
        <w:rPr>
          <w:rFonts w:ascii="Times New Roman" w:cs="Times New Roman" w:eastAsia="Times New Roman" w:hAnsi="Times New Roman"/>
          <w:b/>
          <w:bCs/>
          <w:color w:val="111111"/>
          <w:sz w:val="23"/>
          <w:szCs w:val="23"/>
        </w:rPr>
        <w:t xml:space="preserve">5.1 Linear Regression: Honest Null Findings</w:t>
      </w:r>
    </w:p>
    <w:p>
      <w:pPr>
        <w:spacing w:after="100" w:line="360"/>
        <w:ind w:firstLine="720"/>
        <w:jc w:val="both"/>
      </w:pPr>
      <w:r>
        <w:rPr>
          <w:rFonts w:ascii="Times New Roman" w:cs="Times New Roman" w:eastAsia="Times New Roman" w:hAnsi="Times New Roman"/>
          <w:color w:val="111111"/>
          <w:sz w:val="22"/>
          <w:szCs w:val="22"/>
        </w:rPr>
        <w:t xml:space="preserve">The negative R² confirms empirically that composite quality scores are driven by factors beyond standard administrative variables (Shwartz et al., 2015): staffing ratios, EHR adoption, payer mix, and socioeconomic context were unavailable. The finding motivates richer data collection.</w:t>
      </w:r>
    </w:p>
    <w:p>
      <w:pPr>
        <w:pStyle w:val="Heading2"/>
        <w:spacing w:after="120" w:before="200"/>
      </w:pPr>
      <w:r>
        <w:rPr>
          <w:rFonts w:ascii="Times New Roman" w:cs="Times New Roman" w:eastAsia="Times New Roman" w:hAnsi="Times New Roman"/>
          <w:b/>
          <w:bCs/>
          <w:color w:val="111111"/>
          <w:sz w:val="23"/>
          <w:szCs w:val="23"/>
        </w:rPr>
        <w:t xml:space="preserve">5.2 Logistic Regression</w:t>
      </w:r>
    </w:p>
    <w:p>
      <w:pPr>
        <w:spacing w:after="100" w:line="360"/>
        <w:ind w:firstLine="720"/>
        <w:jc w:val="both"/>
      </w:pPr>
      <w:r>
        <w:rPr>
          <w:rFonts w:ascii="Times New Roman" w:cs="Times New Roman" w:eastAsia="Times New Roman" w:hAnsi="Times New Roman"/>
          <w:color w:val="111111"/>
          <w:sz w:val="22"/>
          <w:szCs w:val="22"/>
        </w:rPr>
        <w:t xml:space="preserve">AUC = 0.638 demonstrates meaningful discrimination above chance. High recall for High Performers (0.92) makes it useful as a screening tool. Adverse_Rate (OR = 0.79) was the strongest negative predictor, consistent with prior literature (Needleman et al., 2011).</w:t>
      </w:r>
    </w:p>
    <w:p>
      <w:pPr>
        <w:pStyle w:val="Heading2"/>
        <w:spacing w:after="120" w:before="200"/>
      </w:pPr>
      <w:r>
        <w:rPr>
          <w:rFonts w:ascii="Times New Roman" w:cs="Times New Roman" w:eastAsia="Times New Roman" w:hAnsi="Times New Roman"/>
          <w:b/>
          <w:bCs/>
          <w:color w:val="111111"/>
          <w:sz w:val="23"/>
          <w:szCs w:val="23"/>
        </w:rPr>
        <w:t xml:space="preserve">5.3 Multi-Tool Scalability</w:t>
      </w:r>
    </w:p>
    <w:p>
      <w:pPr>
        <w:spacing w:after="100" w:line="360"/>
        <w:jc w:val="both"/>
      </w:pPr>
      <w:r>
        <w:rPr>
          <w:rFonts w:ascii="Times New Roman" w:cs="Times New Roman" w:eastAsia="Times New Roman" w:hAnsi="Times New Roman"/>
          <w:color w:val="111111"/>
          <w:sz w:val="22"/>
          <w:szCs w:val="22"/>
        </w:rPr>
        <w:t xml:space="preserve">BigQuery ML enables real-time hospital scoring. Tableau dashboard: </w:t>
      </w:r>
      <w:hyperlink w:history="1" r:id="rId6y_mcywafhlnqzjcx0rok">
        <w:r>
          <w:rPr>
            <w:rFonts w:ascii="Times New Roman" w:cs="Times New Roman" w:eastAsia="Times New Roman" w:hAnsi="Times New Roman"/>
            <w:color w:val="2E5F9E"/>
            <w:sz w:val="22"/>
            <w:szCs w:val="22"/>
            <w:u w:val="single"/>
          </w:rPr>
          <w:t xml:space="preserve">public.tableau.com/app/profile/sahil.patel</w:t>
        </w:r>
      </w:hyperlink>
      <w:r>
        <w:rPr>
          <w:rFonts w:ascii="Times New Roman" w:cs="Times New Roman" w:eastAsia="Times New Roman" w:hAnsi="Times New Roman"/>
          <w:color w:val="111111"/>
          <w:sz w:val="22"/>
          <w:szCs w:val="22"/>
        </w:rPr>
        <w:t xml:space="preserve">. Looker Studio provides auto-refreshing web dashboards.</w:t>
      </w:r>
    </w:p>
    <w:p>
      <w:pPr>
        <w:pStyle w:val="Heading2"/>
        <w:spacing w:after="120" w:before="200"/>
      </w:pPr>
      <w:r>
        <w:rPr>
          <w:rFonts w:ascii="Times New Roman" w:cs="Times New Roman" w:eastAsia="Times New Roman" w:hAnsi="Times New Roman"/>
          <w:b/>
          <w:bCs/>
          <w:color w:val="111111"/>
          <w:sz w:val="23"/>
          <w:szCs w:val="23"/>
        </w:rPr>
        <w:t xml:space="preserve">5.4 Limitations</w:t>
      </w:r>
    </w:p>
    <w:p>
      <w:pPr>
        <w:spacing w:after="100" w:line="360"/>
        <w:jc w:val="both"/>
      </w:pPr>
      <w:r>
        <w:rPr>
          <w:rFonts w:ascii="Times New Roman" w:cs="Times New Roman" w:eastAsia="Times New Roman" w:hAnsi="Times New Roman"/>
          <w:color w:val="111111"/>
          <w:sz w:val="22"/>
          <w:szCs w:val="22"/>
        </w:rPr>
        <w:t xml:space="preserve">Key limitations: synthetic data, narrow feature set, n=120, linear assumptions, arbitrary threshold of 75. Code archived at </w:t>
      </w:r>
      <w:hyperlink w:history="1" r:id="rIdeixvd3mynmrlrggeaey0v">
        <w:r>
          <w:rPr>
            <w:rFonts w:ascii="Times New Roman" w:cs="Times New Roman" w:eastAsia="Times New Roman" w:hAnsi="Times New Roman"/>
            <w:color w:val="2E5F9E"/>
            <w:sz w:val="22"/>
            <w:szCs w:val="22"/>
            <w:u w:val="single"/>
          </w:rPr>
          <w:t xml:space="preserve">github.com/patelsahils9099-alt</w:t>
        </w:r>
      </w:hyperlink>
      <w:r>
        <w:rPr>
          <w:rFonts w:ascii="Times New Roman" w:cs="Times New Roman" w:eastAsia="Times New Roman" w:hAnsi="Times New Roman"/>
          <w:color w:val="111111"/>
          <w:sz w:val="22"/>
          <w:szCs w:val="22"/>
        </w:rPr>
        <w:t xml:space="preserve">.</w:t>
      </w:r>
    </w:p>
    <w:p>
      <w:pPr>
        <w:pStyle w:val="Heading1"/>
        <w:spacing w:after="160" w:before="280"/>
        <w:jc w:val="center"/>
      </w:pPr>
      <w:r>
        <w:rPr>
          <w:rFonts w:ascii="Times New Roman" w:cs="Times New Roman" w:eastAsia="Times New Roman" w:hAnsi="Times New Roman"/>
          <w:b/>
          <w:bCs/>
          <w:color w:val="111111"/>
          <w:sz w:val="24"/>
          <w:szCs w:val="24"/>
        </w:rPr>
        <w:t xml:space="preserve">6. Conclusion</w:t>
      </w:r>
    </w:p>
    <w:p>
      <w:pPr>
        <w:spacing w:after="100" w:line="360"/>
        <w:jc w:val="both"/>
      </w:pPr>
      <w:r>
        <w:rPr>
          <w:rFonts w:ascii="Times New Roman" w:cs="Times New Roman" w:eastAsia="Times New Roman" w:hAnsi="Times New Roman"/>
          <w:color w:val="111111"/>
          <w:sz w:val="22"/>
          <w:szCs w:val="22"/>
        </w:rPr>
        <w:t xml:space="preserve">This study applied a multi-tool pipeline to 120 California hospitals. Linear R² = −0.24 is an honest empirical finding; logistic AUC = 0.638 shows modest discrimination. All code at </w:t>
      </w:r>
      <w:hyperlink w:history="1" r:id="rId2sp7aahkfplz3fjs1_vmm">
        <w:r>
          <w:rPr>
            <w:rFonts w:ascii="Times New Roman" w:cs="Times New Roman" w:eastAsia="Times New Roman" w:hAnsi="Times New Roman"/>
            <w:color w:val="2E5F9E"/>
            <w:sz w:val="22"/>
            <w:szCs w:val="22"/>
            <w:u w:val="single"/>
          </w:rPr>
          <w:t xml:space="preserve">github.com/patelsahils9099-alt</w:t>
        </w:r>
      </w:hyperlink>
      <w:r>
        <w:rPr>
          <w:rFonts w:ascii="Times New Roman" w:cs="Times New Roman" w:eastAsia="Times New Roman" w:hAnsi="Times New Roman"/>
          <w:color w:val="111111"/>
          <w:sz w:val="22"/>
          <w:szCs w:val="22"/>
        </w:rPr>
        <w:t xml:space="preserve">.</w:t>
      </w:r>
    </w:p>
    <w:p>
      <w:pPr>
        <w:spacing w:after="100" w:line="360"/>
        <w:ind w:firstLine="720"/>
        <w:jc w:val="both"/>
      </w:pPr>
      <w:r>
        <w:rPr>
          <w:rFonts w:ascii="Times New Roman" w:cs="Times New Roman" w:eastAsia="Times New Roman" w:hAnsi="Times New Roman"/>
          <w:color w:val="111111"/>
          <w:sz w:val="22"/>
          <w:szCs w:val="22"/>
        </w:rPr>
        <w:t xml:space="preserve">Future work should incorporate staffing data, apply ensemble models, conduct longitudinal analysis, and validate on authenticated CMS datasets.</w:t>
      </w:r>
    </w:p>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References</w:t>
      </w:r>
    </w:p>
    <w:p>
      <w:pPr>
        <w:spacing w:after="120" w:line="360"/>
        <w:ind w:left="720" w:hanging="720"/>
        <w:jc w:val="both"/>
      </w:pPr>
      <w:r>
        <w:rPr>
          <w:rFonts w:ascii="Times New Roman" w:cs="Times New Roman" w:eastAsia="Times New Roman" w:hAnsi="Times New Roman"/>
          <w:color w:val="111111"/>
          <w:sz w:val="22"/>
          <w:szCs w:val="22"/>
        </w:rPr>
        <w:t xml:space="preserve">Ash, A. S., et al. (2012). </w:t>
      </w:r>
      <w:r>
        <w:rPr>
          <w:rFonts w:ascii="Times New Roman" w:cs="Times New Roman" w:eastAsia="Times New Roman" w:hAnsi="Times New Roman"/>
          <w:i/>
          <w:iCs/>
          <w:color w:val="111111"/>
          <w:sz w:val="22"/>
          <w:szCs w:val="22"/>
        </w:rPr>
        <w:t xml:space="preserve">Statistical issues in assessing hospital performance. </w:t>
      </w:r>
      <w:r>
        <w:rPr>
          <w:rFonts w:ascii="Times New Roman" w:cs="Times New Roman" w:eastAsia="Times New Roman" w:hAnsi="Times New Roman"/>
          <w:color w:val="111111"/>
          <w:sz w:val="22"/>
          <w:szCs w:val="22"/>
        </w:rPr>
        <w:t xml:space="preserve">COPSS/CMS.</w:t>
      </w:r>
    </w:p>
    <w:p>
      <w:pPr>
        <w:spacing w:after="120" w:line="360"/>
        <w:ind w:left="720" w:hanging="720"/>
        <w:jc w:val="both"/>
      </w:pPr>
      <w:r>
        <w:rPr>
          <w:rFonts w:ascii="Times New Roman" w:cs="Times New Roman" w:eastAsia="Times New Roman" w:hAnsi="Times New Roman"/>
          <w:color w:val="111111"/>
          <w:sz w:val="22"/>
          <w:szCs w:val="22"/>
        </w:rPr>
        <w:t xml:space="preserve">Burke, L. G., et al. (2020). Teaching status and mortality. </w:t>
      </w:r>
      <w:r>
        <w:rPr>
          <w:rFonts w:ascii="Times New Roman" w:cs="Times New Roman" w:eastAsia="Times New Roman" w:hAnsi="Times New Roman"/>
          <w:i/>
          <w:iCs/>
          <w:color w:val="111111"/>
          <w:sz w:val="22"/>
          <w:szCs w:val="22"/>
        </w:rPr>
        <w:t xml:space="preserve">JAMA, 317</w:t>
      </w:r>
      <w:r>
        <w:rPr>
          <w:rFonts w:ascii="Times New Roman" w:cs="Times New Roman" w:eastAsia="Times New Roman" w:hAnsi="Times New Roman"/>
          <w:color w:val="111111"/>
          <w:sz w:val="22"/>
          <w:szCs w:val="22"/>
        </w:rPr>
        <w:t xml:space="preserve">(20), 2105–2113.</w:t>
      </w:r>
    </w:p>
    <w:p>
      <w:pPr>
        <w:spacing w:after="120" w:line="360"/>
        <w:ind w:left="720" w:hanging="720"/>
        <w:jc w:val="both"/>
      </w:pPr>
      <w:r>
        <w:rPr>
          <w:rFonts w:ascii="Times New Roman" w:cs="Times New Roman" w:eastAsia="Times New Roman" w:hAnsi="Times New Roman"/>
          <w:color w:val="111111"/>
          <w:sz w:val="22"/>
          <w:szCs w:val="22"/>
        </w:rPr>
        <w:t xml:space="preserve">Chassin, M. R., &amp; Loeb, J. M. (2013). High-reliability health care. </w:t>
      </w:r>
      <w:r>
        <w:rPr>
          <w:rFonts w:ascii="Times New Roman" w:cs="Times New Roman" w:eastAsia="Times New Roman" w:hAnsi="Times New Roman"/>
          <w:i/>
          <w:iCs/>
          <w:color w:val="111111"/>
          <w:sz w:val="22"/>
          <w:szCs w:val="22"/>
        </w:rPr>
        <w:t xml:space="preserve">Milbank Quarterly, 91</w:t>
      </w:r>
      <w:r>
        <w:rPr>
          <w:rFonts w:ascii="Times New Roman" w:cs="Times New Roman" w:eastAsia="Times New Roman" w:hAnsi="Times New Roman"/>
          <w:color w:val="111111"/>
          <w:sz w:val="22"/>
          <w:szCs w:val="22"/>
        </w:rPr>
        <w:t xml:space="preserve">(3), 459–490.</w:t>
      </w:r>
    </w:p>
    <w:p>
      <w:pPr>
        <w:spacing w:after="120" w:line="360"/>
        <w:ind w:left="720" w:hanging="720"/>
        <w:jc w:val="both"/>
      </w:pPr>
      <w:r>
        <w:rPr>
          <w:rFonts w:ascii="Times New Roman" w:cs="Times New Roman" w:eastAsia="Times New Roman" w:hAnsi="Times New Roman"/>
          <w:color w:val="111111"/>
          <w:sz w:val="22"/>
          <w:szCs w:val="22"/>
        </w:rPr>
        <w:t xml:space="preserve">Chen, M., et al. (2014). Big data: A survey. </w:t>
      </w:r>
      <w:r>
        <w:rPr>
          <w:rFonts w:ascii="Times New Roman" w:cs="Times New Roman" w:eastAsia="Times New Roman" w:hAnsi="Times New Roman"/>
          <w:i/>
          <w:iCs/>
          <w:color w:val="111111"/>
          <w:sz w:val="22"/>
          <w:szCs w:val="22"/>
        </w:rPr>
        <w:t xml:space="preserve">Mobile Networks and Applications, 19</w:t>
      </w:r>
      <w:r>
        <w:rPr>
          <w:rFonts w:ascii="Times New Roman" w:cs="Times New Roman" w:eastAsia="Times New Roman" w:hAnsi="Times New Roman"/>
          <w:color w:val="111111"/>
          <w:sz w:val="22"/>
          <w:szCs w:val="22"/>
        </w:rPr>
        <w:t xml:space="preserve">(2), 171–209.</w:t>
      </w:r>
    </w:p>
    <w:p>
      <w:pPr>
        <w:spacing w:after="120" w:line="360"/>
        <w:ind w:left="720" w:hanging="720"/>
        <w:jc w:val="both"/>
      </w:pPr>
      <w:r>
        <w:rPr>
          <w:rFonts w:ascii="Times New Roman" w:cs="Times New Roman" w:eastAsia="Times New Roman" w:hAnsi="Times New Roman"/>
          <w:color w:val="111111"/>
          <w:sz w:val="22"/>
          <w:szCs w:val="22"/>
        </w:rPr>
        <w:t xml:space="preserve">Google Cloud. (2023). </w:t>
      </w:r>
      <w:r>
        <w:rPr>
          <w:rFonts w:ascii="Times New Roman" w:cs="Times New Roman" w:eastAsia="Times New Roman" w:hAnsi="Times New Roman"/>
          <w:i/>
          <w:iCs/>
          <w:color w:val="111111"/>
          <w:sz w:val="22"/>
          <w:szCs w:val="22"/>
        </w:rPr>
        <w:t xml:space="preserve">BigQuery ML documentation. </w:t>
      </w:r>
      <w:hyperlink w:history="1" r:id="rIdmzz3zrqbamrycxguqt4r_">
        <w:r>
          <w:rPr>
            <w:rFonts w:ascii="Times New Roman" w:cs="Times New Roman" w:eastAsia="Times New Roman" w:hAnsi="Times New Roman"/>
            <w:color w:val="2E5F9E"/>
            <w:sz w:val="22"/>
            <w:szCs w:val="22"/>
            <w:u w:val="single"/>
          </w:rPr>
          <w:t xml:space="preserve">cloud.google.com/bigquery</w:t>
        </w:r>
      </w:hyperlink>
    </w:p>
    <w:p>
      <w:pPr>
        <w:spacing w:after="120" w:line="360"/>
        <w:ind w:left="720" w:hanging="720"/>
        <w:jc w:val="both"/>
      </w:pPr>
      <w:r>
        <w:rPr>
          <w:rFonts w:ascii="Times New Roman" w:cs="Times New Roman" w:eastAsia="Times New Roman" w:hAnsi="Times New Roman"/>
          <w:color w:val="111111"/>
          <w:sz w:val="22"/>
          <w:szCs w:val="22"/>
        </w:rPr>
        <w:t xml:space="preserve">Hosmer, D. W., &amp; Lemeshow, S. (2013). </w:t>
      </w:r>
      <w:r>
        <w:rPr>
          <w:rFonts w:ascii="Times New Roman" w:cs="Times New Roman" w:eastAsia="Times New Roman" w:hAnsi="Times New Roman"/>
          <w:i/>
          <w:iCs/>
          <w:color w:val="111111"/>
          <w:sz w:val="22"/>
          <w:szCs w:val="22"/>
        </w:rPr>
        <w:t xml:space="preserve">Applied logistic regression </w:t>
      </w:r>
      <w:r>
        <w:rPr>
          <w:rFonts w:ascii="Times New Roman" w:cs="Times New Roman" w:eastAsia="Times New Roman" w:hAnsi="Times New Roman"/>
          <w:color w:val="111111"/>
          <w:sz w:val="22"/>
          <w:szCs w:val="22"/>
        </w:rPr>
        <w:t xml:space="preserve">(3rd ed.). Wiley.</w:t>
      </w:r>
    </w:p>
    <w:p>
      <w:pPr>
        <w:spacing w:after="120" w:line="360"/>
        <w:ind w:left="720" w:hanging="720"/>
        <w:jc w:val="both"/>
      </w:pPr>
      <w:r>
        <w:rPr>
          <w:rFonts w:ascii="Times New Roman" w:cs="Times New Roman" w:eastAsia="Times New Roman" w:hAnsi="Times New Roman"/>
          <w:color w:val="111111"/>
          <w:sz w:val="22"/>
          <w:szCs w:val="22"/>
        </w:rPr>
        <w:t xml:space="preserve">Iezzoni, L. I. (1997). The risks of risk adjustment. </w:t>
      </w:r>
      <w:r>
        <w:rPr>
          <w:rFonts w:ascii="Times New Roman" w:cs="Times New Roman" w:eastAsia="Times New Roman" w:hAnsi="Times New Roman"/>
          <w:i/>
          <w:iCs/>
          <w:color w:val="111111"/>
          <w:sz w:val="22"/>
          <w:szCs w:val="22"/>
        </w:rPr>
        <w:t xml:space="preserve">JAMA, 278</w:t>
      </w:r>
      <w:r>
        <w:rPr>
          <w:rFonts w:ascii="Times New Roman" w:cs="Times New Roman" w:eastAsia="Times New Roman" w:hAnsi="Times New Roman"/>
          <w:color w:val="111111"/>
          <w:sz w:val="22"/>
          <w:szCs w:val="22"/>
        </w:rPr>
        <w:t xml:space="preserve">(19), 1600–1607.</w:t>
      </w:r>
    </w:p>
    <w:p>
      <w:pPr>
        <w:spacing w:after="120" w:line="360"/>
        <w:ind w:left="720" w:hanging="720"/>
        <w:jc w:val="both"/>
      </w:pPr>
      <w:r>
        <w:rPr>
          <w:rFonts w:ascii="Times New Roman" w:cs="Times New Roman" w:eastAsia="Times New Roman" w:hAnsi="Times New Roman"/>
          <w:color w:val="111111"/>
          <w:sz w:val="22"/>
          <w:szCs w:val="22"/>
        </w:rPr>
        <w:t xml:space="preserve">Jha, A. K., et al. (2012). Patients’ perception of hospital care. </w:t>
      </w:r>
      <w:r>
        <w:rPr>
          <w:rFonts w:ascii="Times New Roman" w:cs="Times New Roman" w:eastAsia="Times New Roman" w:hAnsi="Times New Roman"/>
          <w:i/>
          <w:iCs/>
          <w:color w:val="111111"/>
          <w:sz w:val="22"/>
          <w:szCs w:val="22"/>
        </w:rPr>
        <w:t xml:space="preserve">NEJM, 359</w:t>
      </w:r>
      <w:r>
        <w:rPr>
          <w:rFonts w:ascii="Times New Roman" w:cs="Times New Roman" w:eastAsia="Times New Roman" w:hAnsi="Times New Roman"/>
          <w:color w:val="111111"/>
          <w:sz w:val="22"/>
          <w:szCs w:val="22"/>
        </w:rPr>
        <w:t xml:space="preserve">(18), 1921–1931.</w:t>
      </w:r>
    </w:p>
    <w:p>
      <w:pPr>
        <w:spacing w:after="120" w:line="360"/>
        <w:ind w:left="720" w:hanging="720"/>
        <w:jc w:val="both"/>
      </w:pPr>
      <w:r>
        <w:rPr>
          <w:rFonts w:ascii="Times New Roman" w:cs="Times New Roman" w:eastAsia="Times New Roman" w:hAnsi="Times New Roman"/>
          <w:color w:val="111111"/>
          <w:sz w:val="22"/>
          <w:szCs w:val="22"/>
        </w:rPr>
        <w:t xml:space="preserve">Mitchell, J. M. (2014). Physician ownership. </w:t>
      </w:r>
      <w:r>
        <w:rPr>
          <w:rFonts w:ascii="Times New Roman" w:cs="Times New Roman" w:eastAsia="Times New Roman" w:hAnsi="Times New Roman"/>
          <w:i/>
          <w:iCs/>
          <w:color w:val="111111"/>
          <w:sz w:val="22"/>
          <w:szCs w:val="22"/>
        </w:rPr>
        <w:t xml:space="preserve">JAMA, 268</w:t>
      </w:r>
      <w:r>
        <w:rPr>
          <w:rFonts w:ascii="Times New Roman" w:cs="Times New Roman" w:eastAsia="Times New Roman" w:hAnsi="Times New Roman"/>
          <w:color w:val="111111"/>
          <w:sz w:val="22"/>
          <w:szCs w:val="22"/>
        </w:rPr>
        <w:t xml:space="preserve">(15), 2055–2059.</w:t>
      </w:r>
    </w:p>
    <w:p>
      <w:pPr>
        <w:spacing w:after="120" w:line="360"/>
        <w:ind w:left="720" w:hanging="720"/>
        <w:jc w:val="both"/>
      </w:pPr>
      <w:r>
        <w:rPr>
          <w:rFonts w:ascii="Times New Roman" w:cs="Times New Roman" w:eastAsia="Times New Roman" w:hAnsi="Times New Roman"/>
          <w:color w:val="111111"/>
          <w:sz w:val="22"/>
          <w:szCs w:val="22"/>
        </w:rPr>
        <w:t xml:space="preserve">Mukamel, D. B., et al. (2008). Quality report cards. </w:t>
      </w:r>
      <w:r>
        <w:rPr>
          <w:rFonts w:ascii="Times New Roman" w:cs="Times New Roman" w:eastAsia="Times New Roman" w:hAnsi="Times New Roman"/>
          <w:i/>
          <w:iCs/>
          <w:color w:val="111111"/>
          <w:sz w:val="22"/>
          <w:szCs w:val="22"/>
        </w:rPr>
        <w:t xml:space="preserve">Inquiry, 41</w:t>
      </w:r>
      <w:r>
        <w:rPr>
          <w:rFonts w:ascii="Times New Roman" w:cs="Times New Roman" w:eastAsia="Times New Roman" w:hAnsi="Times New Roman"/>
          <w:color w:val="111111"/>
          <w:sz w:val="22"/>
          <w:szCs w:val="22"/>
        </w:rPr>
        <w:t xml:space="preserve">(4), 435–446.</w:t>
      </w:r>
    </w:p>
    <w:p>
      <w:pPr>
        <w:spacing w:after="120" w:line="360"/>
        <w:ind w:left="720" w:hanging="720"/>
        <w:jc w:val="both"/>
      </w:pPr>
      <w:r>
        <w:rPr>
          <w:rFonts w:ascii="Times New Roman" w:cs="Times New Roman" w:eastAsia="Times New Roman" w:hAnsi="Times New Roman"/>
          <w:color w:val="111111"/>
          <w:sz w:val="22"/>
          <w:szCs w:val="22"/>
        </w:rPr>
        <w:t xml:space="preserve">Needleman, J., et al. (2011). Nurse-staffing levels. </w:t>
      </w:r>
      <w:r>
        <w:rPr>
          <w:rFonts w:ascii="Times New Roman" w:cs="Times New Roman" w:eastAsia="Times New Roman" w:hAnsi="Times New Roman"/>
          <w:i/>
          <w:iCs/>
          <w:color w:val="111111"/>
          <w:sz w:val="22"/>
          <w:szCs w:val="22"/>
        </w:rPr>
        <w:t xml:space="preserve">NEJM, 346</w:t>
      </w:r>
      <w:r>
        <w:rPr>
          <w:rFonts w:ascii="Times New Roman" w:cs="Times New Roman" w:eastAsia="Times New Roman" w:hAnsi="Times New Roman"/>
          <w:color w:val="111111"/>
          <w:sz w:val="22"/>
          <w:szCs w:val="22"/>
        </w:rPr>
        <w:t xml:space="preserve">(22), 1715–1722.</w:t>
      </w:r>
    </w:p>
    <w:p>
      <w:pPr>
        <w:spacing w:after="120" w:line="360"/>
        <w:ind w:left="720" w:hanging="720"/>
        <w:jc w:val="both"/>
      </w:pPr>
      <w:r>
        <w:rPr>
          <w:rFonts w:ascii="Times New Roman" w:cs="Times New Roman" w:eastAsia="Times New Roman" w:hAnsi="Times New Roman"/>
          <w:color w:val="111111"/>
          <w:sz w:val="22"/>
          <w:szCs w:val="22"/>
        </w:rPr>
        <w:t xml:space="preserve">Obermeyer, Z., &amp; Emanuel, E. J. (2016). Big data and clinical medicine. </w:t>
      </w:r>
      <w:r>
        <w:rPr>
          <w:rFonts w:ascii="Times New Roman" w:cs="Times New Roman" w:eastAsia="Times New Roman" w:hAnsi="Times New Roman"/>
          <w:i/>
          <w:iCs/>
          <w:color w:val="111111"/>
          <w:sz w:val="22"/>
          <w:szCs w:val="22"/>
        </w:rPr>
        <w:t xml:space="preserve">NEJM, 375</w:t>
      </w:r>
      <w:r>
        <w:rPr>
          <w:rFonts w:ascii="Times New Roman" w:cs="Times New Roman" w:eastAsia="Times New Roman" w:hAnsi="Times New Roman"/>
          <w:color w:val="111111"/>
          <w:sz w:val="22"/>
          <w:szCs w:val="22"/>
        </w:rPr>
        <w:t xml:space="preserve">(13), 1216–1219.</w:t>
      </w:r>
    </w:p>
    <w:p>
      <w:pPr>
        <w:spacing w:after="120" w:line="360"/>
        <w:ind w:left="720" w:hanging="720"/>
        <w:jc w:val="both"/>
      </w:pPr>
      <w:r>
        <w:rPr>
          <w:rFonts w:ascii="Times New Roman" w:cs="Times New Roman" w:eastAsia="Times New Roman" w:hAnsi="Times New Roman"/>
          <w:color w:val="111111"/>
          <w:sz w:val="22"/>
          <w:szCs w:val="22"/>
        </w:rPr>
        <w:t xml:space="preserve">Patel, S. (2025). </w:t>
      </w:r>
      <w:r>
        <w:rPr>
          <w:rFonts w:ascii="Times New Roman" w:cs="Times New Roman" w:eastAsia="Times New Roman" w:hAnsi="Times New Roman"/>
          <w:i/>
          <w:iCs/>
          <w:color w:val="111111"/>
          <w:sz w:val="22"/>
          <w:szCs w:val="22"/>
        </w:rPr>
        <w:t xml:space="preserve">California hospital analytics </w:t>
      </w:r>
      <w:r>
        <w:rPr>
          <w:rFonts w:ascii="Times New Roman" w:cs="Times New Roman" w:eastAsia="Times New Roman" w:hAnsi="Times New Roman"/>
          <w:color w:val="111111"/>
          <w:sz w:val="22"/>
          <w:szCs w:val="22"/>
        </w:rPr>
        <w:t xml:space="preserve">[Code]. GitHub. </w:t>
      </w:r>
      <w:hyperlink w:history="1" r:id="rIdnqb9on817pv-zh83ewx4r">
        <w:r>
          <w:rPr>
            <w:rFonts w:ascii="Times New Roman" w:cs="Times New Roman" w:eastAsia="Times New Roman" w:hAnsi="Times New Roman"/>
            <w:color w:val="2E5F9E"/>
            <w:sz w:val="22"/>
            <w:szCs w:val="22"/>
            <w:u w:val="single"/>
          </w:rPr>
          <w:t xml:space="preserve">github.com/patelsahils9099-alt</w:t>
        </w:r>
      </w:hyperlink>
    </w:p>
    <w:p>
      <w:pPr>
        <w:spacing w:after="120" w:line="360"/>
        <w:ind w:left="720" w:hanging="720"/>
        <w:jc w:val="both"/>
      </w:pPr>
      <w:r>
        <w:rPr>
          <w:rFonts w:ascii="Times New Roman" w:cs="Times New Roman" w:eastAsia="Times New Roman" w:hAnsi="Times New Roman"/>
          <w:color w:val="111111"/>
          <w:sz w:val="22"/>
          <w:szCs w:val="22"/>
        </w:rPr>
        <w:t xml:space="preserve">Reis, J., &amp; Housley, M. (2022). </w:t>
      </w:r>
      <w:r>
        <w:rPr>
          <w:rFonts w:ascii="Times New Roman" w:cs="Times New Roman" w:eastAsia="Times New Roman" w:hAnsi="Times New Roman"/>
          <w:i/>
          <w:iCs/>
          <w:color w:val="111111"/>
          <w:sz w:val="22"/>
          <w:szCs w:val="22"/>
        </w:rPr>
        <w:t xml:space="preserve">Fundamentals of data engineering. </w:t>
      </w:r>
      <w:r>
        <w:rPr>
          <w:rFonts w:ascii="Times New Roman" w:cs="Times New Roman" w:eastAsia="Times New Roman" w:hAnsi="Times New Roman"/>
          <w:color w:val="111111"/>
          <w:sz w:val="22"/>
          <w:szCs w:val="22"/>
        </w:rPr>
        <w:t xml:space="preserve">O’Reilly.</w:t>
      </w:r>
    </w:p>
    <w:p>
      <w:pPr>
        <w:spacing w:after="120" w:line="360"/>
        <w:ind w:left="720" w:hanging="720"/>
        <w:jc w:val="both"/>
      </w:pPr>
      <w:r>
        <w:rPr>
          <w:rFonts w:ascii="Times New Roman" w:cs="Times New Roman" w:eastAsia="Times New Roman" w:hAnsi="Times New Roman"/>
          <w:color w:val="111111"/>
          <w:sz w:val="22"/>
          <w:szCs w:val="22"/>
        </w:rPr>
        <w:t xml:space="preserve">Shwartz, M., et al. (2015). Composite measures of provider performance. </w:t>
      </w:r>
      <w:r>
        <w:rPr>
          <w:rFonts w:ascii="Times New Roman" w:cs="Times New Roman" w:eastAsia="Times New Roman" w:hAnsi="Times New Roman"/>
          <w:i/>
          <w:iCs/>
          <w:color w:val="111111"/>
          <w:sz w:val="22"/>
          <w:szCs w:val="22"/>
        </w:rPr>
        <w:t xml:space="preserve">Milbank Quarterly, 93</w:t>
      </w:r>
      <w:r>
        <w:rPr>
          <w:rFonts w:ascii="Times New Roman" w:cs="Times New Roman" w:eastAsia="Times New Roman" w:hAnsi="Times New Roman"/>
          <w:color w:val="111111"/>
          <w:sz w:val="22"/>
          <w:szCs w:val="22"/>
        </w:rPr>
        <w:t xml:space="preserve">(4), 788–825.</w:t>
      </w:r>
    </w:p>
    <w:p>
      <w:pPr>
        <w:spacing w:after="120" w:line="360"/>
        <w:ind w:left="720" w:hanging="720"/>
        <w:jc w:val="both"/>
      </w:pPr>
      <w:r>
        <w:rPr>
          <w:rFonts w:ascii="Times New Roman" w:cs="Times New Roman" w:eastAsia="Times New Roman" w:hAnsi="Times New Roman"/>
          <w:color w:val="111111"/>
          <w:sz w:val="22"/>
          <w:szCs w:val="22"/>
        </w:rPr>
        <w:t xml:space="preserve">Simpao, A. F., et al. (2014). Big data in anaesthesia. </w:t>
      </w:r>
      <w:r>
        <w:rPr>
          <w:rFonts w:ascii="Times New Roman" w:cs="Times New Roman" w:eastAsia="Times New Roman" w:hAnsi="Times New Roman"/>
          <w:i/>
          <w:iCs/>
          <w:color w:val="111111"/>
          <w:sz w:val="22"/>
          <w:szCs w:val="22"/>
        </w:rPr>
        <w:t xml:space="preserve">British Journal of Anaesthesia, 113</w:t>
      </w:r>
      <w:r>
        <w:rPr>
          <w:rFonts w:ascii="Times New Roman" w:cs="Times New Roman" w:eastAsia="Times New Roman" w:hAnsi="Times New Roman"/>
          <w:color w:val="111111"/>
          <w:sz w:val="22"/>
          <w:szCs w:val="22"/>
        </w:rPr>
        <w:t xml:space="preserve">(3), 350–356.</w:t>
      </w:r>
    </w:p>
    <w:p>
      <w:pPr>
        <w:spacing w:after="120" w:line="360"/>
        <w:ind w:left="720" w:hanging="720"/>
        <w:jc w:val="both"/>
      </w:pPr>
      <w:r>
        <w:rPr>
          <w:rFonts w:ascii="Times New Roman" w:cs="Times New Roman" w:eastAsia="Times New Roman" w:hAnsi="Times New Roman"/>
          <w:color w:val="111111"/>
          <w:sz w:val="22"/>
          <w:szCs w:val="22"/>
        </w:rPr>
        <w:t xml:space="preserve">Werner, R. M., &amp; Bradlow, E. T. (2006). Medicare hospital compare measures. </w:t>
      </w:r>
      <w:r>
        <w:rPr>
          <w:rFonts w:ascii="Times New Roman" w:cs="Times New Roman" w:eastAsia="Times New Roman" w:hAnsi="Times New Roman"/>
          <w:i/>
          <w:iCs/>
          <w:color w:val="111111"/>
          <w:sz w:val="22"/>
          <w:szCs w:val="22"/>
        </w:rPr>
        <w:t xml:space="preserve">JAMA, 296</w:t>
      </w:r>
      <w:r>
        <w:rPr>
          <w:rFonts w:ascii="Times New Roman" w:cs="Times New Roman" w:eastAsia="Times New Roman" w:hAnsi="Times New Roman"/>
          <w:color w:val="111111"/>
          <w:sz w:val="22"/>
          <w:szCs w:val="22"/>
        </w:rPr>
        <w:t xml:space="preserve">(22), 2694–2702.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i/>
        <w:iCs/>
        <w:color w:val="555555"/>
        <w:sz w:val="16"/>
        <w:szCs w:val="16"/>
      </w:rPr>
      <w:t xml:space="preserve">Sahil Patel • Dept. of Health Data Science, Saint Louis University • github.com/patelsahils9099-alt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Times New Roman" w:cs="Times New Roman" w:eastAsia="Times New Roman" w:hAnsi="Times New Roman"/>
        <w:color w:val="555555"/>
        <w:sz w:val="17"/>
        <w:szCs w:val="17"/>
      </w:rPr>
      <w:t xml:space="preserve">PREDICTING HOSPITAL PERFORMANCE — SAINT LOUIS UNIVERSITY</w:t>
    </w:r>
    <w:r>
      <w:rPr>
        <w:rFonts w:ascii="Times New Roman" w:cs="Times New Roman" w:eastAsia="Times New Roman" w:hAnsi="Times New Roman"/>
        <w:color w:val="555555"/>
        <w:sz w:val="17"/>
        <w:szCs w:val="17"/>
      </w:rPr>
      <w:ptab w:alignment="right" w:relativeTo="margin" w:leader="none"/>
    </w:r>
    <w:r>
      <w:rPr>
        <w:rFonts w:ascii="Times New Roman" w:cs="Times New Roman" w:eastAsia="Times New Roman" w:hAnsi="Times New Roman"/>
        <w:color w:val="555555"/>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Times New Roman" w:cs="Times New Roman" w:eastAsia="Times New Roman" w:hAnsi="Times New Roman"/>
      <w:b/>
      <w:bCs/>
      <w:color w:val="111111"/>
      <w:sz w:val="24"/>
      <w:szCs w:val="24"/>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11111"/>
      <w:sz w:val="23"/>
      <w:szCs w:val="23"/>
    </w:rPr>
  </w:style>
  <w:style w:type="paragraph" w:styleId="Heading3">
    <w:name w:val="Heading 3"/>
    <w:basedOn w:val="Normal"/>
    <w:next w:val="Normal"/>
    <w:qFormat/>
    <w:pPr>
      <w:spacing w:after="80" w:before="160"/>
      <w:ind w:left="360"/>
      <w:outlineLvl w:val="2"/>
    </w:pPr>
    <w:rPr>
      <w:rFonts w:ascii="Times New Roman" w:cs="Times New Roman" w:eastAsia="Times New Roman" w:hAnsi="Times New Roman"/>
      <w:b/>
      <w:bCs/>
      <w:i/>
      <w:i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dpor50yewq0itfvrgny8" Type="http://schemas.openxmlformats.org/officeDocument/2006/relationships/hyperlink" Target="https://github.com/patelsahils9099-alt" TargetMode="External"/><Relationship Id="rIdmy5ilhqxr4yljwu3hwntz" Type="http://schemas.openxmlformats.org/officeDocument/2006/relationships/hyperlink" Target="https://github.com/patelsahils9099-alt" TargetMode="External"/><Relationship Id="rIdei-r4wxhwg0cm-81lmhg4" Type="http://schemas.openxmlformats.org/officeDocument/2006/relationships/hyperlink" Target="https://github.com/patelsahils9099-alt" TargetMode="External"/><Relationship Id="rIdr_ebdti7gzplmnjsm1czi" Type="http://schemas.openxmlformats.org/officeDocument/2006/relationships/hyperlink" Target="https://public.tableau.com/app/profile/sahil.patel" TargetMode="External"/><Relationship Id="rIdqpbmavewnf9qkzkvd_jba" Type="http://schemas.openxmlformats.org/officeDocument/2006/relationships/hyperlink" Target="https://github.com/patelsahils9099-alt" TargetMode="External"/><Relationship Id="rId6y_mcywafhlnqzjcx0rok" Type="http://schemas.openxmlformats.org/officeDocument/2006/relationships/hyperlink" Target="https://public.tableau.com/app/profile/sahil.patel" TargetMode="External"/><Relationship Id="rIdeixvd3mynmrlrggeaey0v" Type="http://schemas.openxmlformats.org/officeDocument/2006/relationships/hyperlink" Target="https://github.com/patelsahils9099-alt" TargetMode="External"/><Relationship Id="rId2sp7aahkfplz3fjs1_vmm" Type="http://schemas.openxmlformats.org/officeDocument/2006/relationships/hyperlink" Target="https://github.com/patelsahils9099-alt" TargetMode="External"/><Relationship Id="rIdmzz3zrqbamrycxguqt4r_" Type="http://schemas.openxmlformats.org/officeDocument/2006/relationships/hyperlink" Target="https://cloud.google.com/bigquery/docs/bqml-introduction" TargetMode="External"/><Relationship Id="rIdnqb9on817pv-zh83ewx4r" Type="http://schemas.openxmlformats.org/officeDocument/2006/relationships/hyperlink" Target="https://github.com/patelsahils9099-alt"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2026-05-24T19:28:16.496Z</dcterms:created>
  <dcterms:modified xsi:type="dcterms:W3CDTF">2026-05-24T19:28:16.496Z</dcterms:modified>
</cp:coreProperties>
</file>

<file path=docProps/custom.xml><?xml version="1.0" encoding="utf-8"?>
<Properties xmlns="http://schemas.openxmlformats.org/officeDocument/2006/custom-properties" xmlns:vt="http://schemas.openxmlformats.org/officeDocument/2006/docPropsVTypes"/>
</file>