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88665" w14:textId="36C7CCC7" w:rsidR="00001487" w:rsidRDefault="00001487" w:rsidP="00001487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01487">
        <w:rPr>
          <w:rFonts w:ascii="Times New Roman" w:hAnsi="Times New Roman" w:cs="Times New Roman"/>
          <w:b/>
          <w:bCs/>
          <w:sz w:val="28"/>
          <w:szCs w:val="28"/>
          <w:u w:val="single"/>
        </w:rPr>
        <w:t>CONCLUSION BASED ON ANALYZED DATA</w:t>
      </w:r>
    </w:p>
    <w:p w14:paraId="443988CD" w14:textId="77777777" w:rsidR="00851252" w:rsidRPr="00001487" w:rsidRDefault="00851252" w:rsidP="0085125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CCD528D" w14:textId="44D07EAD" w:rsidR="00001487" w:rsidRPr="00001487" w:rsidRDefault="00001487" w:rsidP="00001487">
      <w:pPr>
        <w:jc w:val="both"/>
        <w:rPr>
          <w:rFonts w:ascii="Times New Roman" w:hAnsi="Times New Roman" w:cs="Times New Roman"/>
        </w:rPr>
      </w:pPr>
      <w:r w:rsidRPr="00001487">
        <w:rPr>
          <w:rFonts w:ascii="Times New Roman" w:hAnsi="Times New Roman" w:cs="Times New Roman"/>
          <w:b/>
          <w:bCs/>
        </w:rPr>
        <w:t>1. Key Findings</w:t>
      </w:r>
    </w:p>
    <w:p w14:paraId="6BE4F89C" w14:textId="77777777" w:rsidR="00001487" w:rsidRPr="00001487" w:rsidRDefault="00001487" w:rsidP="0000148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01487">
        <w:rPr>
          <w:rFonts w:ascii="Times New Roman" w:hAnsi="Times New Roman" w:cs="Times New Roman"/>
          <w:b/>
          <w:bCs/>
        </w:rPr>
        <w:t>Total Energy Consumption:</w:t>
      </w:r>
      <w:r w:rsidRPr="00001487">
        <w:rPr>
          <w:rFonts w:ascii="Times New Roman" w:hAnsi="Times New Roman" w:cs="Times New Roman"/>
        </w:rPr>
        <w:t> Urban areas consumed </w:t>
      </w:r>
      <w:r w:rsidRPr="00001487">
        <w:rPr>
          <w:rFonts w:ascii="Times New Roman" w:hAnsi="Times New Roman" w:cs="Times New Roman"/>
          <w:b/>
          <w:bCs/>
        </w:rPr>
        <w:t>26 million kWh</w:t>
      </w:r>
      <w:r w:rsidRPr="00001487">
        <w:rPr>
          <w:rFonts w:ascii="Times New Roman" w:hAnsi="Times New Roman" w:cs="Times New Roman"/>
        </w:rPr>
        <w:t>, with an estimated cost of </w:t>
      </w:r>
      <w:r w:rsidRPr="00001487">
        <w:rPr>
          <w:rFonts w:ascii="Times New Roman" w:hAnsi="Times New Roman" w:cs="Times New Roman"/>
          <w:b/>
          <w:bCs/>
        </w:rPr>
        <w:t>$4.23 million</w:t>
      </w:r>
      <w:r w:rsidRPr="00001487">
        <w:rPr>
          <w:rFonts w:ascii="Times New Roman" w:hAnsi="Times New Roman" w:cs="Times New Roman"/>
        </w:rPr>
        <w:t>, indicating significant operational expenses.</w:t>
      </w:r>
    </w:p>
    <w:p w14:paraId="4A226F95" w14:textId="77777777" w:rsidR="00001487" w:rsidRPr="00001487" w:rsidRDefault="00001487" w:rsidP="0000148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01487">
        <w:rPr>
          <w:rFonts w:ascii="Times New Roman" w:hAnsi="Times New Roman" w:cs="Times New Roman"/>
          <w:b/>
          <w:bCs/>
        </w:rPr>
        <w:t>Peak Demand:</w:t>
      </w:r>
      <w:r w:rsidRPr="00001487">
        <w:rPr>
          <w:rFonts w:ascii="Times New Roman" w:hAnsi="Times New Roman" w:cs="Times New Roman"/>
        </w:rPr>
        <w:t> Average peak usage reached </w:t>
      </w:r>
      <w:r w:rsidRPr="00001487">
        <w:rPr>
          <w:rFonts w:ascii="Times New Roman" w:hAnsi="Times New Roman" w:cs="Times New Roman"/>
          <w:b/>
          <w:bCs/>
        </w:rPr>
        <w:t>28 kWh</w:t>
      </w:r>
      <w:r w:rsidRPr="00001487">
        <w:rPr>
          <w:rFonts w:ascii="Times New Roman" w:hAnsi="Times New Roman" w:cs="Times New Roman"/>
        </w:rPr>
        <w:t>, suggesting periods of high strain on the grid.</w:t>
      </w:r>
    </w:p>
    <w:p w14:paraId="261F8B29" w14:textId="77777777" w:rsidR="00001487" w:rsidRPr="00001487" w:rsidRDefault="00001487" w:rsidP="0000148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01487">
        <w:rPr>
          <w:rFonts w:ascii="Times New Roman" w:hAnsi="Times New Roman" w:cs="Times New Roman"/>
          <w:b/>
          <w:bCs/>
        </w:rPr>
        <w:t>Zonal Disparities:</w:t>
      </w:r>
      <w:r w:rsidRPr="00001487">
        <w:rPr>
          <w:rFonts w:ascii="Times New Roman" w:hAnsi="Times New Roman" w:cs="Times New Roman"/>
        </w:rPr>
        <w:t> </w:t>
      </w:r>
      <w:r w:rsidRPr="00001487">
        <w:rPr>
          <w:rFonts w:ascii="Times New Roman" w:hAnsi="Times New Roman" w:cs="Times New Roman"/>
          <w:b/>
          <w:bCs/>
        </w:rPr>
        <w:t>North America</w:t>
      </w:r>
      <w:r w:rsidRPr="00001487">
        <w:rPr>
          <w:rFonts w:ascii="Times New Roman" w:hAnsi="Times New Roman" w:cs="Times New Roman"/>
        </w:rPr>
        <w:t> and </w:t>
      </w:r>
      <w:r w:rsidRPr="00001487">
        <w:rPr>
          <w:rFonts w:ascii="Times New Roman" w:hAnsi="Times New Roman" w:cs="Times New Roman"/>
          <w:b/>
          <w:bCs/>
        </w:rPr>
        <w:t>Europe</w:t>
      </w:r>
      <w:r w:rsidRPr="00001487">
        <w:rPr>
          <w:rFonts w:ascii="Times New Roman" w:hAnsi="Times New Roman" w:cs="Times New Roman"/>
        </w:rPr>
        <w:t> were the highest-consuming zones, while </w:t>
      </w:r>
      <w:r w:rsidRPr="00001487">
        <w:rPr>
          <w:rFonts w:ascii="Times New Roman" w:hAnsi="Times New Roman" w:cs="Times New Roman"/>
          <w:b/>
          <w:bCs/>
        </w:rPr>
        <w:t>South America</w:t>
      </w:r>
      <w:r w:rsidRPr="00001487">
        <w:rPr>
          <w:rFonts w:ascii="Times New Roman" w:hAnsi="Times New Roman" w:cs="Times New Roman"/>
        </w:rPr>
        <w:t> and </w:t>
      </w:r>
      <w:r w:rsidRPr="00001487">
        <w:rPr>
          <w:rFonts w:ascii="Times New Roman" w:hAnsi="Times New Roman" w:cs="Times New Roman"/>
          <w:b/>
          <w:bCs/>
        </w:rPr>
        <w:t>Africa</w:t>
      </w:r>
      <w:r w:rsidRPr="00001487">
        <w:rPr>
          <w:rFonts w:ascii="Times New Roman" w:hAnsi="Times New Roman" w:cs="Times New Roman"/>
        </w:rPr>
        <w:t> had lower demand.</w:t>
      </w:r>
    </w:p>
    <w:p w14:paraId="232A6A2E" w14:textId="77777777" w:rsidR="00001487" w:rsidRPr="00001487" w:rsidRDefault="00001487" w:rsidP="0000148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01487">
        <w:rPr>
          <w:rFonts w:ascii="Times New Roman" w:hAnsi="Times New Roman" w:cs="Times New Roman"/>
          <w:b/>
          <w:bCs/>
        </w:rPr>
        <w:t>Consumer Segments:</w:t>
      </w:r>
      <w:r w:rsidRPr="00001487">
        <w:rPr>
          <w:rFonts w:ascii="Times New Roman" w:hAnsi="Times New Roman" w:cs="Times New Roman"/>
        </w:rPr>
        <w:t> </w:t>
      </w:r>
      <w:r w:rsidRPr="00001487">
        <w:rPr>
          <w:rFonts w:ascii="Times New Roman" w:hAnsi="Times New Roman" w:cs="Times New Roman"/>
          <w:b/>
          <w:bCs/>
        </w:rPr>
        <w:t>Residential</w:t>
      </w:r>
      <w:r w:rsidRPr="00001487">
        <w:rPr>
          <w:rFonts w:ascii="Times New Roman" w:hAnsi="Times New Roman" w:cs="Times New Roman"/>
        </w:rPr>
        <w:t> (8.8M kWh) and </w:t>
      </w:r>
      <w:r w:rsidRPr="00001487">
        <w:rPr>
          <w:rFonts w:ascii="Times New Roman" w:hAnsi="Times New Roman" w:cs="Times New Roman"/>
          <w:b/>
          <w:bCs/>
        </w:rPr>
        <w:t>Industrial</w:t>
      </w:r>
      <w:r w:rsidRPr="00001487">
        <w:rPr>
          <w:rFonts w:ascii="Times New Roman" w:hAnsi="Times New Roman" w:cs="Times New Roman"/>
        </w:rPr>
        <w:t> (8.5M kWh) sectors dominated consumption, highlighting their impact on urban energy grids.</w:t>
      </w:r>
    </w:p>
    <w:p w14:paraId="2D3828B9" w14:textId="6F5D379C" w:rsidR="00001487" w:rsidRPr="00001487" w:rsidRDefault="00001487" w:rsidP="0000148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01487">
        <w:rPr>
          <w:rFonts w:ascii="Times New Roman" w:hAnsi="Times New Roman" w:cs="Times New Roman"/>
          <w:b/>
          <w:bCs/>
        </w:rPr>
        <w:t>Infrastructure Challenges:</w:t>
      </w:r>
      <w:r w:rsidRPr="00001487">
        <w:rPr>
          <w:rFonts w:ascii="Times New Roman" w:hAnsi="Times New Roman" w:cs="Times New Roman"/>
        </w:rPr>
        <w:t> </w:t>
      </w:r>
      <w:r w:rsidRPr="00001487">
        <w:rPr>
          <w:rFonts w:ascii="Times New Roman" w:hAnsi="Times New Roman" w:cs="Times New Roman"/>
          <w:b/>
          <w:bCs/>
        </w:rPr>
        <w:t>2 million outage minutes</w:t>
      </w:r>
      <w:r w:rsidRPr="00001487">
        <w:rPr>
          <w:rFonts w:ascii="Times New Roman" w:hAnsi="Times New Roman" w:cs="Times New Roman"/>
        </w:rPr>
        <w:t xml:space="preserve"> were recorded, </w:t>
      </w:r>
      <w:r w:rsidR="00056372" w:rsidRPr="00001487">
        <w:rPr>
          <w:rFonts w:ascii="Times New Roman" w:hAnsi="Times New Roman" w:cs="Times New Roman"/>
        </w:rPr>
        <w:t>signalling</w:t>
      </w:r>
      <w:r w:rsidRPr="00001487">
        <w:rPr>
          <w:rFonts w:ascii="Times New Roman" w:hAnsi="Times New Roman" w:cs="Times New Roman"/>
        </w:rPr>
        <w:t xml:space="preserve"> reliability issues that may hinder efficiency.</w:t>
      </w:r>
    </w:p>
    <w:p w14:paraId="5E7F1C05" w14:textId="77777777" w:rsidR="00001487" w:rsidRPr="00001487" w:rsidRDefault="00001487" w:rsidP="00001487">
      <w:pPr>
        <w:jc w:val="both"/>
        <w:rPr>
          <w:rFonts w:ascii="Times New Roman" w:hAnsi="Times New Roman" w:cs="Times New Roman"/>
        </w:rPr>
      </w:pPr>
      <w:r w:rsidRPr="00001487">
        <w:rPr>
          <w:rFonts w:ascii="Times New Roman" w:hAnsi="Times New Roman" w:cs="Times New Roman"/>
          <w:b/>
          <w:bCs/>
        </w:rPr>
        <w:t>2. Critical Trends</w:t>
      </w:r>
    </w:p>
    <w:p w14:paraId="4D62CB59" w14:textId="77777777" w:rsidR="00001487" w:rsidRPr="00001487" w:rsidRDefault="00001487" w:rsidP="0000148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01487">
        <w:rPr>
          <w:rFonts w:ascii="Times New Roman" w:hAnsi="Times New Roman" w:cs="Times New Roman"/>
          <w:b/>
          <w:bCs/>
        </w:rPr>
        <w:t>Monthly Fluctuations:</w:t>
      </w:r>
      <w:r w:rsidRPr="00001487">
        <w:rPr>
          <w:rFonts w:ascii="Times New Roman" w:hAnsi="Times New Roman" w:cs="Times New Roman"/>
        </w:rPr>
        <w:t> Energy demand remained stable (~2.1M kWh/month) but spiked in certain months (e.g., </w:t>
      </w:r>
      <w:r w:rsidRPr="00001487">
        <w:rPr>
          <w:rFonts w:ascii="Times New Roman" w:hAnsi="Times New Roman" w:cs="Times New Roman"/>
          <w:b/>
          <w:bCs/>
        </w:rPr>
        <w:t>12M kWh</w:t>
      </w:r>
      <w:r w:rsidRPr="00001487">
        <w:rPr>
          <w:rFonts w:ascii="Times New Roman" w:hAnsi="Times New Roman" w:cs="Times New Roman"/>
        </w:rPr>
        <w:t>), likely due to seasonal factors (e.g., heating/cooling needs).</w:t>
      </w:r>
    </w:p>
    <w:p w14:paraId="622005DF" w14:textId="77777777" w:rsidR="00001487" w:rsidRPr="00001487" w:rsidRDefault="00001487" w:rsidP="0000148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01487">
        <w:rPr>
          <w:rFonts w:ascii="Times New Roman" w:hAnsi="Times New Roman" w:cs="Times New Roman"/>
          <w:b/>
          <w:bCs/>
        </w:rPr>
        <w:t>Weekday vs. Weekend:</w:t>
      </w:r>
      <w:r w:rsidRPr="00001487">
        <w:rPr>
          <w:rFonts w:ascii="Times New Roman" w:hAnsi="Times New Roman" w:cs="Times New Roman"/>
        </w:rPr>
        <w:t> (From SQL) Peak usage was higher on </w:t>
      </w:r>
      <w:r w:rsidRPr="00001487">
        <w:rPr>
          <w:rFonts w:ascii="Times New Roman" w:hAnsi="Times New Roman" w:cs="Times New Roman"/>
          <w:b/>
          <w:bCs/>
        </w:rPr>
        <w:t>weekdays</w:t>
      </w:r>
      <w:r w:rsidRPr="00001487">
        <w:rPr>
          <w:rFonts w:ascii="Times New Roman" w:hAnsi="Times New Roman" w:cs="Times New Roman"/>
        </w:rPr>
        <w:t>, aligning with commercial/industrial activity.</w:t>
      </w:r>
    </w:p>
    <w:p w14:paraId="018E357A" w14:textId="77777777" w:rsidR="00001487" w:rsidRPr="00001487" w:rsidRDefault="00001487" w:rsidP="0000148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01487">
        <w:rPr>
          <w:rFonts w:ascii="Times New Roman" w:hAnsi="Times New Roman" w:cs="Times New Roman"/>
          <w:b/>
          <w:bCs/>
        </w:rPr>
        <w:t>Cost Burden:</w:t>
      </w:r>
      <w:r w:rsidRPr="00001487">
        <w:rPr>
          <w:rFonts w:ascii="Times New Roman" w:hAnsi="Times New Roman" w:cs="Times New Roman"/>
        </w:rPr>
        <w:t> Zones with higher consumption (e.g., </w:t>
      </w:r>
      <w:r w:rsidRPr="00001487">
        <w:rPr>
          <w:rFonts w:ascii="Times New Roman" w:hAnsi="Times New Roman" w:cs="Times New Roman"/>
          <w:b/>
          <w:bCs/>
        </w:rPr>
        <w:t>North America</w:t>
      </w:r>
      <w:r w:rsidRPr="00001487">
        <w:rPr>
          <w:rFonts w:ascii="Times New Roman" w:hAnsi="Times New Roman" w:cs="Times New Roman"/>
        </w:rPr>
        <w:t>) also faced the highest energy costs, per the tariff analysis.</w:t>
      </w:r>
    </w:p>
    <w:p w14:paraId="47A6274B" w14:textId="77777777" w:rsidR="00001487" w:rsidRPr="00001487" w:rsidRDefault="00001487" w:rsidP="00001487">
      <w:pPr>
        <w:jc w:val="both"/>
        <w:rPr>
          <w:rFonts w:ascii="Times New Roman" w:hAnsi="Times New Roman" w:cs="Times New Roman"/>
        </w:rPr>
      </w:pPr>
      <w:r w:rsidRPr="00001487">
        <w:rPr>
          <w:rFonts w:ascii="Times New Roman" w:hAnsi="Times New Roman" w:cs="Times New Roman"/>
          <w:b/>
          <w:bCs/>
        </w:rPr>
        <w:t>3. Recommendations</w:t>
      </w:r>
    </w:p>
    <w:p w14:paraId="4C3E34E6" w14:textId="77777777" w:rsidR="00001487" w:rsidRPr="00001487" w:rsidRDefault="00001487" w:rsidP="00001487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01487">
        <w:rPr>
          <w:rFonts w:ascii="Times New Roman" w:hAnsi="Times New Roman" w:cs="Times New Roman"/>
          <w:b/>
          <w:bCs/>
        </w:rPr>
        <w:t>Target High-Consumption Zones:</w:t>
      </w:r>
      <w:r w:rsidRPr="00001487">
        <w:rPr>
          <w:rFonts w:ascii="Times New Roman" w:hAnsi="Times New Roman" w:cs="Times New Roman"/>
        </w:rPr>
        <w:t> Implement demand-response programs in </w:t>
      </w:r>
      <w:r w:rsidRPr="00001487">
        <w:rPr>
          <w:rFonts w:ascii="Times New Roman" w:hAnsi="Times New Roman" w:cs="Times New Roman"/>
          <w:b/>
          <w:bCs/>
        </w:rPr>
        <w:t>North America/Europe</w:t>
      </w:r>
      <w:r w:rsidRPr="00001487">
        <w:rPr>
          <w:rFonts w:ascii="Times New Roman" w:hAnsi="Times New Roman" w:cs="Times New Roman"/>
        </w:rPr>
        <w:t> to reduce peak loads.</w:t>
      </w:r>
    </w:p>
    <w:p w14:paraId="098039E5" w14:textId="77777777" w:rsidR="00001487" w:rsidRPr="00001487" w:rsidRDefault="00001487" w:rsidP="00001487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01487">
        <w:rPr>
          <w:rFonts w:ascii="Times New Roman" w:hAnsi="Times New Roman" w:cs="Times New Roman"/>
          <w:b/>
          <w:bCs/>
        </w:rPr>
        <w:t>Upgrade Infrastructure:</w:t>
      </w:r>
      <w:r w:rsidRPr="00001487">
        <w:rPr>
          <w:rFonts w:ascii="Times New Roman" w:hAnsi="Times New Roman" w:cs="Times New Roman"/>
        </w:rPr>
        <w:t> Address outages in zones with high downtime (e.g., </w:t>
      </w:r>
      <w:r w:rsidRPr="00001487">
        <w:rPr>
          <w:rFonts w:ascii="Times New Roman" w:hAnsi="Times New Roman" w:cs="Times New Roman"/>
          <w:b/>
          <w:bCs/>
        </w:rPr>
        <w:t>South</w:t>
      </w:r>
      <w:r w:rsidRPr="00001487">
        <w:rPr>
          <w:rFonts w:ascii="Times New Roman" w:hAnsi="Times New Roman" w:cs="Times New Roman"/>
        </w:rPr>
        <w:t>) to improve grid resilience.</w:t>
      </w:r>
    </w:p>
    <w:p w14:paraId="1739AD9B" w14:textId="77777777" w:rsidR="00001487" w:rsidRPr="00001487" w:rsidRDefault="00001487" w:rsidP="00001487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01487">
        <w:rPr>
          <w:rFonts w:ascii="Times New Roman" w:hAnsi="Times New Roman" w:cs="Times New Roman"/>
          <w:b/>
          <w:bCs/>
        </w:rPr>
        <w:t>Promote Energy Efficiency:</w:t>
      </w:r>
      <w:r w:rsidRPr="00001487">
        <w:rPr>
          <w:rFonts w:ascii="Times New Roman" w:hAnsi="Times New Roman" w:cs="Times New Roman"/>
        </w:rPr>
        <w:t> Incentivize </w:t>
      </w:r>
      <w:r w:rsidRPr="00001487">
        <w:rPr>
          <w:rFonts w:ascii="Times New Roman" w:hAnsi="Times New Roman" w:cs="Times New Roman"/>
          <w:b/>
          <w:bCs/>
        </w:rPr>
        <w:t>residential and industrial</w:t>
      </w:r>
      <w:r w:rsidRPr="00001487">
        <w:rPr>
          <w:rFonts w:ascii="Times New Roman" w:hAnsi="Times New Roman" w:cs="Times New Roman"/>
        </w:rPr>
        <w:t> consumers to adopt renewables or energy-saving technologies.</w:t>
      </w:r>
    </w:p>
    <w:p w14:paraId="1AC5DB9E" w14:textId="77777777" w:rsidR="00001487" w:rsidRPr="00001487" w:rsidRDefault="00001487" w:rsidP="00001487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01487">
        <w:rPr>
          <w:rFonts w:ascii="Times New Roman" w:hAnsi="Times New Roman" w:cs="Times New Roman"/>
          <w:b/>
          <w:bCs/>
        </w:rPr>
        <w:t>Dynamic Pricing:</w:t>
      </w:r>
      <w:r w:rsidRPr="00001487">
        <w:rPr>
          <w:rFonts w:ascii="Times New Roman" w:hAnsi="Times New Roman" w:cs="Times New Roman"/>
        </w:rPr>
        <w:t> Introduce time-based tariffs to shift demand away from peak hours (e.g., weekends for industries).</w:t>
      </w:r>
    </w:p>
    <w:p w14:paraId="3386FABD" w14:textId="77777777" w:rsidR="00001487" w:rsidRPr="00001487" w:rsidRDefault="00001487" w:rsidP="00001487">
      <w:pPr>
        <w:jc w:val="both"/>
        <w:rPr>
          <w:rFonts w:ascii="Times New Roman" w:hAnsi="Times New Roman" w:cs="Times New Roman"/>
        </w:rPr>
      </w:pPr>
      <w:r w:rsidRPr="00001487">
        <w:rPr>
          <w:rFonts w:ascii="Times New Roman" w:hAnsi="Times New Roman" w:cs="Times New Roman"/>
          <w:b/>
          <w:bCs/>
        </w:rPr>
        <w:t>4. Future Considerations</w:t>
      </w:r>
    </w:p>
    <w:p w14:paraId="5C4E034B" w14:textId="77777777" w:rsidR="00001487" w:rsidRPr="00001487" w:rsidRDefault="00001487" w:rsidP="00001487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001487">
        <w:rPr>
          <w:rFonts w:ascii="Times New Roman" w:hAnsi="Times New Roman" w:cs="Times New Roman"/>
        </w:rPr>
        <w:t>Investigate the </w:t>
      </w:r>
      <w:r w:rsidRPr="00001487">
        <w:rPr>
          <w:rFonts w:ascii="Times New Roman" w:hAnsi="Times New Roman" w:cs="Times New Roman"/>
          <w:b/>
          <w:bCs/>
        </w:rPr>
        <w:t>12M kWh monthly spike</w:t>
      </w:r>
      <w:r w:rsidRPr="00001487">
        <w:rPr>
          <w:rFonts w:ascii="Times New Roman" w:hAnsi="Times New Roman" w:cs="Times New Roman"/>
        </w:rPr>
        <w:t> (e.g., extreme weather or industrial activity).</w:t>
      </w:r>
    </w:p>
    <w:p w14:paraId="37E13DE5" w14:textId="77777777" w:rsidR="00001487" w:rsidRPr="00001487" w:rsidRDefault="00001487" w:rsidP="00001487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001487">
        <w:rPr>
          <w:rFonts w:ascii="Times New Roman" w:hAnsi="Times New Roman" w:cs="Times New Roman"/>
        </w:rPr>
        <w:t>Compare renewable vs. non-renewable energy adoption to assess sustainability gaps.</w:t>
      </w:r>
    </w:p>
    <w:p w14:paraId="57105860" w14:textId="77777777" w:rsidR="00001487" w:rsidRPr="00001487" w:rsidRDefault="00001487" w:rsidP="00001487">
      <w:pPr>
        <w:jc w:val="both"/>
        <w:rPr>
          <w:rFonts w:ascii="Times New Roman" w:hAnsi="Times New Roman" w:cs="Times New Roman"/>
        </w:rPr>
      </w:pPr>
      <w:r w:rsidRPr="00001487">
        <w:rPr>
          <w:rFonts w:ascii="Times New Roman" w:hAnsi="Times New Roman" w:cs="Times New Roman"/>
        </w:rPr>
        <w:t>This analysis underscores the need for </w:t>
      </w:r>
      <w:r w:rsidRPr="00001487">
        <w:rPr>
          <w:rFonts w:ascii="Times New Roman" w:hAnsi="Times New Roman" w:cs="Times New Roman"/>
          <w:b/>
          <w:bCs/>
        </w:rPr>
        <w:t>strategic energy management</w:t>
      </w:r>
      <w:r w:rsidRPr="00001487">
        <w:rPr>
          <w:rFonts w:ascii="Times New Roman" w:hAnsi="Times New Roman" w:cs="Times New Roman"/>
        </w:rPr>
        <w:t> to balance cost, reliability, and sustainability in urban areas.</w:t>
      </w:r>
    </w:p>
    <w:p w14:paraId="05D1C52F" w14:textId="77777777" w:rsidR="005C4318" w:rsidRPr="00001487" w:rsidRDefault="005C4318" w:rsidP="00001487">
      <w:pPr>
        <w:jc w:val="both"/>
        <w:rPr>
          <w:rFonts w:ascii="Times New Roman" w:hAnsi="Times New Roman" w:cs="Times New Roman"/>
        </w:rPr>
      </w:pPr>
    </w:p>
    <w:sectPr w:rsidR="005C4318" w:rsidRPr="00001487" w:rsidSect="00001487">
      <w:pgSz w:w="11906" w:h="16838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06423"/>
    <w:multiLevelType w:val="multilevel"/>
    <w:tmpl w:val="9B80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E0B7C"/>
    <w:multiLevelType w:val="multilevel"/>
    <w:tmpl w:val="86B2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A76D0E"/>
    <w:multiLevelType w:val="multilevel"/>
    <w:tmpl w:val="0650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F509C1"/>
    <w:multiLevelType w:val="multilevel"/>
    <w:tmpl w:val="E746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5726110">
    <w:abstractNumId w:val="1"/>
  </w:num>
  <w:num w:numId="2" w16cid:durableId="1124738961">
    <w:abstractNumId w:val="3"/>
  </w:num>
  <w:num w:numId="3" w16cid:durableId="253586773">
    <w:abstractNumId w:val="0"/>
  </w:num>
  <w:num w:numId="4" w16cid:durableId="7339691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B2B"/>
    <w:rsid w:val="00001487"/>
    <w:rsid w:val="00056372"/>
    <w:rsid w:val="00506C5D"/>
    <w:rsid w:val="005C4318"/>
    <w:rsid w:val="00851252"/>
    <w:rsid w:val="00854B2B"/>
    <w:rsid w:val="00F16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E1535"/>
  <w15:chartTrackingRefBased/>
  <w15:docId w15:val="{0B4F9761-3732-44DE-AAC8-1C8D63F8C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B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B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B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B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B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B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B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B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B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20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Sarju</dc:creator>
  <cp:keywords/>
  <dc:description/>
  <cp:lastModifiedBy>Patel Sarju</cp:lastModifiedBy>
  <cp:revision>6</cp:revision>
  <dcterms:created xsi:type="dcterms:W3CDTF">2025-07-18T14:18:00Z</dcterms:created>
  <dcterms:modified xsi:type="dcterms:W3CDTF">2025-07-18T14:20:00Z</dcterms:modified>
</cp:coreProperties>
</file>