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12"/>
        <w:ind w:left="715" w:firstLine="380"/>
        <w:jc w:val="left"/>
        <w:spacing w:before="26" w:line="326" w:lineRule="auto"/>
      </w:pPr>
      <w:r>
        <w:t xml:space="preserve">ТЕХНОЛОГИЧЕСКИЙ</w:t>
      </w:r>
      <w:r>
        <w:rPr>
          <w:spacing w:val="-12"/>
        </w:rPr>
        <w:t xml:space="preserve"> </w:t>
      </w:r>
      <w:r>
        <w:t xml:space="preserve">УНИВЕРСИТЕТ</w:t>
      </w:r>
      <w:r>
        <w:rPr>
          <w:spacing w:val="-12"/>
        </w:rPr>
        <w:t xml:space="preserve"> </w:t>
      </w:r>
      <w:r>
        <w:t xml:space="preserve">ИМЕНИ</w:t>
      </w:r>
      <w:r>
        <w:rPr>
          <w:spacing w:val="-12"/>
        </w:rPr>
        <w:t xml:space="preserve"> </w:t>
      </w:r>
      <w:r>
        <w:t xml:space="preserve">ДВАЖДЫ ГЕРОЯ СОВЕТСКОГО СОЮЗА, ЛЕТЧИКА-КОСМОНАВТА</w:t>
      </w:r>
      <w:r/>
    </w:p>
    <w:p>
      <w:pPr>
        <w:pStyle w:val="913"/>
        <w:ind w:left="2072" w:firstLine="0"/>
        <w:jc w:val="left"/>
      </w:pPr>
      <w:r>
        <w:t xml:space="preserve">А.А.ЛЕОНОВА</w:t>
      </w:r>
      <w:r>
        <w:rPr>
          <w:spacing w:val="-5"/>
        </w:rPr>
        <w:t xml:space="preserve"> </w:t>
      </w:r>
      <w:r>
        <w:t xml:space="preserve">—</w:t>
      </w:r>
      <w:r>
        <w:rPr>
          <w:spacing w:val="-2"/>
        </w:rPr>
        <w:t xml:space="preserve"> </w:t>
      </w:r>
      <w:r>
        <w:t xml:space="preserve">ФИЛИАЛ</w:t>
      </w:r>
      <w:r>
        <w:rPr>
          <w:spacing w:val="-2"/>
        </w:rPr>
        <w:t xml:space="preserve"> МИИГАиК</w:t>
      </w:r>
      <w:r/>
    </w:p>
    <w:p>
      <w:pPr>
        <w:ind w:left="441" w:right="586" w:firstLine="0"/>
        <w:jc w:val="center"/>
        <w:spacing w:before="321" w:line="326" w:lineRule="auto"/>
        <w:rPr>
          <w:b/>
          <w:sz w:val="24"/>
        </w:rPr>
      </w:pPr>
      <w:r>
        <w:rPr>
          <w:b/>
          <w:sz w:val="24"/>
        </w:rPr>
        <w:t xml:space="preserve">ИНСТИТУТ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ИНФОКОММУНИКАЦИОННЫХ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СИСТЕМ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И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ТЕХНОЛОГИЙ КАФЕДРА МАТЕМАТИКИ И ЕСТЕСТВЕННОНАУЧНЫХ ДИСЦИПЛИН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0"/>
        <w:ind w:left="0"/>
        <w:jc w:val="left"/>
        <w:spacing w:before="186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2"/>
        <w:ind w:right="140"/>
      </w:pPr>
      <w:r>
        <w:rPr>
          <w:spacing w:val="-2"/>
        </w:rPr>
        <w:t xml:space="preserve">ОТЧЕТ</w:t>
      </w:r>
      <w:r/>
    </w:p>
    <w:p>
      <w:pPr>
        <w:ind w:left="0" w:right="140" w:firstLine="0"/>
        <w:jc w:val="center"/>
        <w:spacing w:before="116"/>
        <w:rPr>
          <w:b/>
          <w:sz w:val="28"/>
        </w:rPr>
      </w:pPr>
      <w:r>
        <w:rPr>
          <w:b/>
          <w:sz w:val="28"/>
        </w:rPr>
        <w:t xml:space="preserve">ПО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ПРЕДДИПЛОМНОЙ ПРАКТИКЕ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13"/>
        <w:ind w:right="146" w:firstLine="0"/>
        <w:jc w:val="center"/>
        <w:spacing w:before="116"/>
      </w:pPr>
      <w:r>
        <w:t xml:space="preserve">(проектно-технологическая,</w:t>
      </w:r>
      <w:r>
        <w:rPr>
          <w:spacing w:val="-12"/>
        </w:rPr>
        <w:t xml:space="preserve"> </w:t>
      </w:r>
      <w:r>
        <w:t xml:space="preserve">основы</w:t>
      </w:r>
      <w:r>
        <w:rPr>
          <w:spacing w:val="-9"/>
        </w:rPr>
        <w:t xml:space="preserve"> </w:t>
      </w:r>
      <w:r>
        <w:t xml:space="preserve">проектной</w:t>
      </w:r>
      <w:r>
        <w:rPr>
          <w:spacing w:val="-9"/>
        </w:rPr>
        <w:t xml:space="preserve"> </w:t>
      </w:r>
      <w:r>
        <w:rPr>
          <w:spacing w:val="-2"/>
        </w:rPr>
        <w:t xml:space="preserve">деятельности)</w:t>
      </w:r>
      <w:r/>
    </w:p>
    <w:p>
      <w:pPr>
        <w:pStyle w:val="910"/>
        <w:ind w:left="0"/>
        <w:jc w:val="left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0"/>
        <w:ind w:left="0"/>
        <w:jc w:val="left"/>
        <w:spacing w:before="8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10"/>
        <w:ind w:left="0" w:right="26"/>
        <w:jc w:val="left"/>
        <w:spacing w:line="220" w:lineRule="auto"/>
      </w:pPr>
      <w:r>
        <w:t xml:space="preserve">Задание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7"/>
        </w:rPr>
        <w:t xml:space="preserve"> </w:t>
      </w:r>
      <w:r>
        <w:t xml:space="preserve">практику:</w:t>
      </w:r>
      <w:r>
        <w:rPr>
          <w:spacing w:val="-7"/>
        </w:rPr>
        <w:t xml:space="preserve"> </w:t>
      </w:r>
      <w:r>
        <w:t xml:space="preserve">разработка</w:t>
      </w:r>
      <w:r>
        <w:rPr>
          <w:spacing w:val="-7"/>
        </w:rPr>
        <w:t xml:space="preserve"> программного кода для системы обнаружения и распознавания </w:t>
      </w:r>
      <w:r>
        <w:t xml:space="preserve">дронов.</w:t>
      </w:r>
      <w:r/>
    </w:p>
    <w:p>
      <w:pPr>
        <w:pStyle w:val="910"/>
        <w:ind w:left="0"/>
        <w:jc w:val="left"/>
        <w:spacing w:line="302" w:lineRule="exact"/>
      </w:pPr>
      <w:r>
        <w:t xml:space="preserve">Бакалавр:</w:t>
      </w:r>
      <w:r>
        <w:rPr>
          <w:spacing w:val="-3"/>
        </w:rPr>
        <w:t xml:space="preserve"> </w:t>
      </w:r>
      <w:r>
        <w:t xml:space="preserve">Демчук</w:t>
      </w:r>
      <w:r>
        <w:rPr>
          <w:spacing w:val="-3"/>
        </w:rPr>
        <w:t xml:space="preserve"> </w:t>
      </w:r>
      <w:r>
        <w:t xml:space="preserve">Максим</w:t>
      </w:r>
      <w:r>
        <w:rPr>
          <w:spacing w:val="-2"/>
        </w:rPr>
        <w:t xml:space="preserve"> Андреевич</w:t>
      </w:r>
      <w:r/>
    </w:p>
    <w:p>
      <w:pPr>
        <w:pStyle w:val="910"/>
        <w:ind w:left="0"/>
        <w:jc w:val="left"/>
        <w:spacing w:before="123"/>
        <w:tabs>
          <w:tab w:val="left" w:pos="2249" w:leader="none"/>
        </w:tabs>
      </w:pPr>
      <w:r>
        <w:t xml:space="preserve">Группа:</w:t>
      </w:r>
      <w:r>
        <w:rPr>
          <w:spacing w:val="-5"/>
        </w:rPr>
        <w:t xml:space="preserve"> </w:t>
      </w:r>
      <w:r>
        <w:t xml:space="preserve">ПМИ-</w:t>
      </w:r>
      <w:r>
        <w:rPr>
          <w:spacing w:val="-5"/>
        </w:rPr>
        <w:t xml:space="preserve">22</w:t>
      </w:r>
      <w:r>
        <w:tab/>
        <w:t xml:space="preserve">курс:</w:t>
      </w:r>
      <w:r>
        <w:rPr>
          <w:spacing w:val="-4"/>
        </w:rPr>
        <w:t xml:space="preserve"> </w:t>
      </w:r>
      <w:r>
        <w:rPr>
          <w:spacing w:val="-10"/>
        </w:rPr>
        <w:t xml:space="preserve">4</w:t>
      </w:r>
      <w:r/>
    </w:p>
    <w:p>
      <w:pPr>
        <w:pStyle w:val="910"/>
        <w:ind w:left="0"/>
        <w:jc w:val="left"/>
        <w:spacing w:before="123" w:line="331" w:lineRule="auto"/>
      </w:pPr>
      <w:r>
        <w:rPr>
          <w:spacing w:val="-2"/>
        </w:rPr>
        <w:t xml:space="preserve">Руководитель</w:t>
      </w:r>
      <w:r>
        <w:rPr>
          <w:spacing w:val="-4"/>
        </w:rPr>
        <w:t xml:space="preserve"> </w:t>
      </w:r>
      <w:r>
        <w:rPr>
          <w:spacing w:val="-2"/>
        </w:rPr>
        <w:t xml:space="preserve">практики</w:t>
      </w:r>
      <w:r>
        <w:rPr>
          <w:spacing w:val="-4"/>
        </w:rPr>
        <w:t xml:space="preserve"> </w:t>
      </w:r>
      <w:r>
        <w:rPr>
          <w:spacing w:val="-2"/>
        </w:rPr>
        <w:t xml:space="preserve">от</w:t>
      </w:r>
      <w:r>
        <w:rPr>
          <w:spacing w:val="-4"/>
        </w:rPr>
        <w:t xml:space="preserve"> </w:t>
      </w:r>
      <w:r>
        <w:rPr>
          <w:spacing w:val="-2"/>
        </w:rPr>
        <w:t xml:space="preserve">предприятия:</w:t>
      </w:r>
      <w:r>
        <w:rPr>
          <w:spacing w:val="-4"/>
        </w:rPr>
        <w:t xml:space="preserve"> </w:t>
      </w:r>
      <w:r>
        <w:rPr>
          <w:spacing w:val="-4"/>
        </w:rPr>
        <w:t xml:space="preserve"> </w:t>
      </w:r>
      <w:r>
        <w:rPr>
          <w:spacing w:val="-2"/>
        </w:rPr>
        <w:t xml:space="preserve">Архипов</w:t>
      </w:r>
      <w:r>
        <w:rPr>
          <w:spacing w:val="-4"/>
        </w:rPr>
        <w:t xml:space="preserve"> </w:t>
      </w:r>
      <w:r>
        <w:rPr>
          <w:spacing w:val="-2"/>
        </w:rPr>
        <w:t xml:space="preserve">М.А. </w:t>
      </w:r>
      <w:r/>
    </w:p>
    <w:p>
      <w:pPr>
        <w:pStyle w:val="910"/>
        <w:ind w:left="0"/>
        <w:jc w:val="left"/>
        <w:spacing w:before="123" w:line="331" w:lineRule="auto"/>
      </w:pPr>
      <w:r>
        <w:t xml:space="preserve">Руководитель практики от выпускающей кафедры: к.т.н. доцент Раев О.Н. Сроки проведения практики: с 6 мая 2026 г. по 3 июня 2026 г.</w:t>
      </w:r>
      <w:r/>
    </w:p>
    <w:p>
      <w:pPr>
        <w:pStyle w:val="910"/>
        <w:ind w:left="0"/>
        <w:jc w:val="left"/>
      </w:pPr>
      <w:r/>
      <w:r/>
    </w:p>
    <w:p>
      <w:pPr>
        <w:pStyle w:val="910"/>
        <w:ind w:left="0"/>
        <w:jc w:val="left"/>
      </w:pPr>
      <w:r/>
      <w:r/>
    </w:p>
    <w:p>
      <w:pPr>
        <w:pStyle w:val="910"/>
        <w:ind w:left="0"/>
        <w:jc w:val="left"/>
      </w:pPr>
      <w:r/>
      <w:r/>
    </w:p>
    <w:p>
      <w:pPr>
        <w:pStyle w:val="910"/>
        <w:ind w:left="0"/>
        <w:jc w:val="left"/>
      </w:pPr>
      <w:r/>
      <w:r/>
    </w:p>
    <w:p>
      <w:pPr>
        <w:pStyle w:val="910"/>
        <w:ind w:left="0"/>
        <w:jc w:val="left"/>
      </w:pPr>
      <w:r/>
      <w:r/>
    </w:p>
    <w:p>
      <w:pPr>
        <w:pStyle w:val="910"/>
        <w:ind w:left="0"/>
        <w:jc w:val="left"/>
      </w:pPr>
      <w:r/>
      <w:r/>
    </w:p>
    <w:p>
      <w:pPr>
        <w:pStyle w:val="910"/>
        <w:ind w:left="0"/>
        <w:jc w:val="left"/>
      </w:pPr>
      <w:r/>
      <w:r/>
    </w:p>
    <w:p>
      <w:pPr>
        <w:pStyle w:val="910"/>
        <w:ind w:left="0"/>
        <w:jc w:val="left"/>
      </w:pPr>
      <w:r/>
      <w:r/>
    </w:p>
    <w:p>
      <w:pPr>
        <w:pStyle w:val="910"/>
        <w:ind w:left="0"/>
        <w:jc w:val="left"/>
        <w:spacing w:before="238"/>
      </w:pPr>
      <w:r/>
      <w:r/>
    </w:p>
    <w:p>
      <w:pPr>
        <w:pStyle w:val="910"/>
        <w:ind w:left="3935" w:right="4074"/>
        <w:jc w:val="center"/>
        <w:spacing w:line="220" w:lineRule="auto"/>
      </w:pPr>
      <w:r>
        <w:rPr>
          <w:spacing w:val="-2"/>
        </w:rPr>
        <w:t xml:space="preserve">Королёв </w:t>
      </w:r>
      <w:r>
        <w:rPr>
          <w:spacing w:val="-4"/>
        </w:rPr>
        <w:t xml:space="preserve">2026</w:t>
      </w:r>
      <w:r/>
    </w:p>
    <w:p>
      <w:pPr>
        <w:pStyle w:val="910"/>
        <w:jc w:val="center"/>
        <w:spacing w:after="0" w:line="220" w:lineRule="auto"/>
        <w:sectPr>
          <w:footnotePr/>
          <w:endnotePr/>
          <w:type w:val="continuous"/>
          <w:pgSz w:w="11910" w:h="16840" w:orient="portrait"/>
          <w:pgMar w:top="1060" w:right="708" w:bottom="280" w:left="1700" w:header="709" w:footer="709" w:gutter="0"/>
          <w:cols w:num="1" w:sep="0" w:space="1701" w:equalWidth="1"/>
          <w:docGrid w:linePitch="360"/>
        </w:sectPr>
      </w:pPr>
      <w:r/>
      <w:r/>
    </w:p>
    <w:p>
      <w:pPr>
        <w:pStyle w:val="911"/>
        <w:ind w:right="141"/>
        <w:jc w:val="center"/>
      </w:pPr>
      <w:r>
        <w:rPr>
          <w:spacing w:val="-2"/>
        </w:rPr>
        <w:t xml:space="preserve">Содержание</w:t>
      </w:r>
      <w:r/>
    </w:p>
    <w:p>
      <w:pPr>
        <w:pStyle w:val="907"/>
        <w:jc w:val="center"/>
        <w:spacing w:after="0"/>
        <w:sectPr>
          <w:footerReference w:type="default" r:id="rId9"/>
          <w:footnotePr/>
          <w:endnotePr/>
          <w:type w:val="nextPage"/>
          <w:pgSz w:w="11910" w:h="16840" w:orient="portrait"/>
          <w:pgMar w:top="1060" w:right="708" w:bottom="980" w:left="1700" w:header="0" w:footer="782" w:gutter="0"/>
          <w:pgNumType w:start="2"/>
          <w:cols w:num="1" w:sep="0" w:space="1701" w:equalWidth="1"/>
          <w:docGrid w:linePitch="360"/>
        </w:sectPr>
      </w:pPr>
      <w:r/>
      <w:r/>
    </w:p>
    <w:p>
      <w:pPr>
        <w:pStyle w:val="911"/>
        <w:ind w:right="140"/>
        <w:jc w:val="center"/>
      </w:pPr>
      <w:r/>
      <w:bookmarkStart w:id="1" w:name="_bookmark0"/>
      <w:r/>
      <w:bookmarkEnd w:id="1"/>
      <w:r>
        <w:rPr>
          <w:spacing w:val="-2"/>
        </w:rPr>
        <w:t xml:space="preserve">Введение</w:t>
      </w:r>
      <w:r/>
    </w:p>
    <w:p>
      <w:pPr>
        <w:pStyle w:val="914"/>
        <w:jc w:val="left"/>
        <w:spacing w:after="0" w:line="240" w:lineRule="auto"/>
        <w:rPr>
          <w:sz w:val="28"/>
        </w:rPr>
        <w:sectPr>
          <w:footnotePr/>
          <w:endnotePr/>
          <w:type w:val="nextPage"/>
          <w:pgSz w:w="11910" w:h="16840" w:orient="portrait"/>
          <w:pgMar w:top="1060" w:right="708" w:bottom="980" w:left="1700" w:header="0" w:footer="782" w:gutter="0"/>
          <w:cols w:num="1" w:sep="0" w:space="1701" w:equalWidth="1"/>
          <w:docGrid w:linePitch="360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1"/>
        <w:jc w:val="center"/>
        <w:keepLines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1. Программная реализация</w:t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  <w:highlight w:val="none"/>
        </w:rPr>
      </w:r>
    </w:p>
    <w:p>
      <w:pPr>
        <w:pStyle w:val="912"/>
        <w:jc w:val="center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1.1. Стек технологий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keepLines/>
        <w:spacing w:before="0" w:after="0" w:line="360" w:lineRule="auto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Выбор средств разработки, представленных в таблице 1.1, определялся требованиями к совместимости с операционной системой, зрелостью экосистемы библиотек для работы с данными, и доступностью для разработчиков. 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ind w:firstLine="0"/>
        <w:jc w:val="center"/>
        <w:keepLines/>
        <w:spacing w:after="80" w:line="360" w:lineRule="auto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Таблица 1.1 — Стек технологий системы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tbl>
      <w:tblPr>
        <w:tblStyle w:val="724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2132"/>
        <w:gridCol w:w="2841"/>
      </w:tblGrid>
      <w:tr>
        <w:tblPrEx/>
        <w:trPr/>
        <w:tc>
          <w:tcPr>
            <w:tcW w:w="222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Технология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13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Версия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84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Назначение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blPrEx/>
        <w:trPr/>
        <w:tc>
          <w:tcPr>
            <w:tcW w:w="222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Python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13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3.13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84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Основная реализация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blPrEx/>
        <w:trPr/>
        <w:tc>
          <w:tcPr>
            <w:tcW w:w="222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PyTorch [16]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13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2.x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84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Архитектуры моделей, их обучение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blPrEx/>
        <w:trPr/>
        <w:tc>
          <w:tcPr>
            <w:tcW w:w="222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Ultralytics YOLOv8 [12]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13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8.x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84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Видеодетектирование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blPrEx/>
        <w:trPr/>
        <w:tc>
          <w:tcPr>
            <w:tcW w:w="222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librosa [15]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13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0.10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84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Мел-спектрограммы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blPrEx/>
        <w:trPr/>
        <w:tc>
          <w:tcPr>
            <w:tcW w:w="222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Flask + Flask-SocketIO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13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3.x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84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Дашборд, API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blPrEx/>
        <w:trPr/>
        <w:tc>
          <w:tcPr>
            <w:tcW w:w="222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Chart.js + Canvas API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13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4.x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84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Графики, карта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  <w:tr>
        <w:tblPrEx/>
        <w:trPr/>
        <w:tc>
          <w:tcPr>
            <w:tcW w:w="222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NumPy [8]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13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2.x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  <w:tc>
          <w:tcPr>
            <w:tcW w:w="284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</w:rPr>
            </w:pPr>
            <w:r>
              <w:rPr>
                <w:rFonts w:ascii="Liberation Serif" w:hAnsi="Liberation Serif" w:eastAsia="Liberation Serif" w:cs="Liberation Serif"/>
                <w:b w:val="0"/>
                <w:i w:val="0"/>
                <w:color w:val="000000" w:themeColor="text1"/>
                <w:sz w:val="28"/>
                <w:szCs w:val="28"/>
                <w:lang w:val="ru-RU"/>
              </w:rPr>
              <w:t xml:space="preserve">Обработка данных</w:t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  <w:r>
              <w:rPr>
                <w:rFonts w:ascii="Liberation Serif" w:hAnsi="Liberation Serif" w:cs="Liberation Serif"/>
                <w:color w:val="000000" w:themeColor="text1"/>
              </w:rPr>
            </w:r>
          </w:p>
        </w:tc>
      </w:tr>
    </w:tbl>
    <w:p>
      <w:pPr>
        <w:jc w:val="left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keepLines/>
        <w:spacing w:before="0" w:after="0" w:line="360" w:lineRule="auto"/>
        <w:rPr>
          <w:rFonts w:ascii="Liberation Serif" w:hAnsi="Liberation Serif" w:cs="Liberation Serif"/>
          <w:color w:val="000000" w:themeColor="text1"/>
        </w:rPr>
      </w:pP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>PyTorch [18] выбран как популярный фреймворк для исследовательских задач машинного обучения, позволяющий взаимодействовать с железом</w:t>
      </w:r>
      <w:r>
        <w:rPr>
          <w:rFonts w:ascii="Liberation Serif" w:hAnsi="Liberation Serif" w:eastAsia="Liberation Serif" w:cs="Liberation Serif"/>
          <w:b w:val="0"/>
          <w:i w:val="0"/>
          <w:color w:val="000000" w:themeColor="text1"/>
          <w:sz w:val="28"/>
          <w:lang w:val="ru-RU"/>
        </w:rPr>
        <w:t xml:space="preserve"> компьютера. Поддержка CUDA позволяет переключаться между CPU и GPU. Ultralytics YOLOv8 [13] предоставляет полностью готовый к применению детектор с программным интерфейсом, в котором уже реализованы алгоритм подавления немаксимумов и постобработка результатов.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jc w:val="left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1.2. Архитектура программных модулей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Как показано на рисунке 1, система делится на шесть частей, каждая из которых отвечает за одну вещь и общается с соседями через заранее условленные форматы данных. Это даёт две выгоды: каждую часть можно менять или тести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ровать отдельно от остальных, и в систему легко добавлять новые сенсоры или новые модели без переписывания того, что уже работает.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Начинается всё с точки входа — файла main.py, который запускает программу, и config.py, где хранятся пути к моделям, веса каналов, параметры сети. 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Далее идёт слой сенсоров.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 Здесь есть один общий класс BaseSensor и четыре его конкретные реализации: радар, акустика, радиочастотный канал и видео. Все они устроены одинаково снаружи: у каждого есть метод poll(), который возвращает результат опроса в стандартизированной форме. Аку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стический и радиочастотный сенсоры внутри устроены как массивы из нескольких пространственно разнесённых узлов, координаты которых заданы в конфигурации. Это позволяет восстанавливать положение источника по резул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ьтатам триангуляции по дальностям, а не ограничиваться окружностью неопределённости вокруг одного датчика. Для вышестоящих слоёв сенсоры остаются взаимозаменяемыми — на их выходе всегда стандартный пакет данных, независимо от внутреннего устройства канала.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За обработкой сигналов стоит слой нейросетевых моделей. Каждый сенсор внутри себя обращается к классу ModelBackend, который загружает обученную нейросеть и обученные на ней примеры. Радар использует модель RadarResNet, акустика — AudioResNet, 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адиоканал — RF-ResNet-1D, видео — YOLOv8. Если веса модели не подгружены, бэкенд переключается в режим симуляции — это позволяет тестировать систему без весов. Для согласованной симуляции многоузловых массивов введён модуль SimulationGroundTruth, который х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ранит единое истинное положение виртуального дрона: каждый узел акустического и радиочастотного массивов вычисляет свою дальность по этому положению с добавлением измерительного шума, что делает триангуляцию по массиву осмысленной и в симуляционном режиме.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Результат работы каждого сенсора оформляется в виде структур данных с заранее определёнными полями. SensorReading содержит идентификатор сенсора, оценку уверенности от нуля до единицы, временную метку и 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оценку местоположения. Этот формат един для всех четырёх сенсоров — что позволяет следующему слою принимать их как взаимозаменяемые.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Следующий слой — объединение решений. Класс FusionEngine получ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ает на вход словарь из четырёх показаний сенсоров и формирует одно итоговое решение в виде объекта FusionResult: общую уверенность, уровень угрозы, координаты цели. Уверенность вычисляется как взвешенное среднее, а итоговое положение цели — методом взвешив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>ания, обратно пропорционального квадрату погрешности каждой оценки (как в фильтре Калмана [14]), и применяется только к каналам с известным направлением. Математика триангуляции по массивам вынесена в отдельный модуль fusion/localization.py, который решает лине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йную задачу наименьших квадратов по перекрёстным разностям сферических уравнений. У FusionEngine имеется метод update_weights() — он позволяет без перезапуска системы изменить веса каналов, например ночью увеличить важность радара и снизить важность видео.</w:t>
      </w:r>
      <w:r>
        <w:rPr>
          <w:rFonts w:ascii="Liberation Serif" w:hAnsi="Liberation Serif" w:cs="Liberation Serif"/>
          <w:color w:val="000000" w:themeColor="text1"/>
        </w:rPr>
      </w:r>
      <w:r>
        <w:rPr>
          <w:rFonts w:ascii="Liberation Serif" w:hAnsi="Liberation Serif" w:cs="Liberation Serif"/>
          <w:color w:val="000000" w:themeColor="text1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Последний слой — веб-интерфейс. Это Flask-приложение с двумя ви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дами связи: обычным HTTP для запроса статуса и обновления весов, и WebSocket для трансляции событий в реальном времени. Когда система формирует новый FusionResult, он переводится в JSON и отправляется всем подключённым операторам в браузере. На HTML-дашбор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де они видят текущее состояние системы: уверенность каждого канала, график истории, журнал событий и карту положения цели в полярной проекции (вид сверху) с фиксированным радиусом 1 км по умолчанию и возможностью изменять масштаб кнопками или колесом мыши.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firstLine="0"/>
        <w:jc w:val="both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5997" cy="49238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0498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515994" cy="4923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34.33pt;height:387.7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center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  <w:lang w:val="ru-RU"/>
        </w:rPr>
        <w:t xml:space="preserve">Рисунок 1 — диаграмма архитектуры проекта.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center"/>
        <w:keepLines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center"/>
        <w:keepLines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1.3. Реализация модулей сенсоров</w:t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/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четыре сенсорных модуля наследуются от абстрактного класса BaseSensor, который задаёт единый интерфейс: метод poll() возвращает структуру SensorReading с идентификатором канала, временной меткой,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оценкой достоверности в диапазоне от 0 до 1, признаком обнаружения и, при возможности, оценкой местоположения. Такое единообразие позволяет модулю слияния работать со всеми каналами одинаково.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М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одуль RadarSensor подаёт дальностно-скоростную карту размером 11x61 на вход модели радара и получает вероятности по трём классам: автомобили, дроны, пешеходы. При срабатыв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ании по классу «дрон» формируются дальность, азимут, высота, на основе которых вычисляются координаты цели в локальной системе.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Акустический модуль AudioSensor использует массив из четырёх микрофонов, координаты которых заданы в параметре AUDIO_ARRAY_POSITIONS. На каждом микрофоне измеряется отношение сигнала к шуму, по которому через модель обратн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ого квадрата восстанавливается расстояние до источника звука. Полученные расстояния микрофонов передаются в модуль триангуляции для восстановления координат. Классификация «дрон/не дрон» выполняется моделью по мел-спектрограмме.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Радиочастотный модуль RFSensor построен по тому же принципу, что и акустический: массив из четырёх приёмников измеряет уровень принятого сигнала, который через модель потерь с рас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стоянием переводится в дальность. Классификация выполняется моделью по семи классам сигнатур протоколов управления: DJI, FutabaT14, FutabaT7, Graupner, Taranis, Turnigy и шум. Класс «шум» означает отсутствие дрона, остальные шесть — его присутствие.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Видеомодуль VideoSensor подаёт кадр на вход детек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тора и выбирает рамку с наибольшей достоверностью. По угловому размеру рамки и известной типовой длине дрона из параметров камеры методом угловой триангуляции оценивается дальность, а по положению рамки в кадре — азимут и угол места.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согласованной работы массивов в режиме имитации введён общий источник истинного положения SimulationGroundTruth. Он хранит единственное «настоящее» положение виртуаль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ного дрона, которое всеми узлами акустического и радиочастотного массивов используется как опора при формировании дальностей с измерительным шумом. Без этого источника узлы массива давали бы независимые случайные расстояния, и триангуляция теряла бы смысл.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1.4. Реализация нейросетевых моделей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По каждому из физических каналов реализована отдельная нейросетевая модель [2, 3], обученная на соответствующем открытом наборе данных. Архитектуры моделей собраны в каталоге models, загрузка весов и подготовка наборов данных вынесены в models/loader.py.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Класс ModelBackend выполняет роль связующего звена между моделью и сенсором: он хранит обученную модель, на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бор данных и циклический итератор по нему, что позволяет сенсорам непрерывно получать новые входные образцы без явного управления индексами.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1.5. Реализация модуля слияния и определения местоположения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Модуль слияния реализован классом FusionEngine. На вход метода fuse() пода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ётся словарь из четырёх показаний сенсоров, на выходе формируется единый объект FusionResult, содержащий сводную оценку достоверности, признак обнаружения, уровень угрозы, число задействованных каналов, использованные веса и итоговую оценку местоположения.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Сводная оценка достоверности вычисляется как взвешенное среднее по доступным каналам [8] по формуле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1: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right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acc>
          <m:accPr>
            <m:chr m:val="̅"/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  <w:szCs w:val="28"/>
              </w:rPr>
            </m:ctrlPr>
          </m:acc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C</m:t>
            </m:r>
          </m:e>
        </m:acc>
        <m:r>
          <w:rPr>
            <w:rFonts w:hint="default" w:ascii="Cambria Math" w:hAnsi="Cambria Math" w:eastAsia="Cambria Math" w:cs="Cambria Math"/>
            <w:color w:val="000000" w:themeColor="text1"/>
            <w:sz w:val="36"/>
            <w:szCs w:val="36"/>
          </w:rPr>
          <m:rPr>
            <m:sty m:val="i"/>
          </m:rPr>
          <m:t> = </m:t>
        </m:r>
        <m:f>
          <m:f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36"/>
                <w:szCs w:val="28"/>
              </w:rPr>
            </m:ctrlPr>
          </m:fPr>
          <m:num>
            <m:nary>
              <m:naryPr>
                <m:chr m:val="∑"/>
                <m:grow m:val="off"/>
                <m:limLoc m:val="undOvr"/>
                <m:subHide m:val="on"/>
                <m:supHide m:val="on"/>
                <m:ctrlPr>
                  <w:rPr>
                    <w:rFonts w:ascii="Cambria Math" w:hAnsi="Cambria Math" w:eastAsia="Cambria Math" w:cs="Cambria Math"/>
                    <w:i/>
                    <w:color w:val="000000" w:themeColor="text1"/>
                    <w:sz w:val="36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36"/>
                        <w:szCs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w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36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z w:val="36"/>
                        <w:szCs w:val="36"/>
                      </w:rPr>
                      <m:rPr>
                        <m:sty m:val="i"/>
                      </m:rPr>
                      <m:t>c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grow m:val="off"/>
                <m:limLoc m:val="undOvr"/>
                <m:subHide m:val="on"/>
                <m:supHide m:val="on"/>
                <m:ctrlPr>
                  <w:rPr>
                    <w:rFonts w:ascii="Cambria Math" w:hAnsi="Cambria Math" w:eastAsia="Cambria Math" w:cs="Cambria Math"/>
                    <w:i/>
                    <w:color w:val="000000" w:themeColor="text1"/>
                    <w:sz w:val="36"/>
                    <w:szCs w:val="28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36"/>
                        <w:szCs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w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36"/>
                        <w:szCs w:val="36"/>
                      </w:rPr>
                      <m:rPr>
                        <m:sty m:val="i"/>
                      </m:rPr>
                      <m:t>i</m:t>
                    </m:r>
                  </m:sub>
                </m:sSub>
              </m:e>
            </m:nary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                                                 (1)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где </w:t>
      </w:r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w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вес i-го канала из параметра SENSOR_WEIGHTS, а </w:t>
      </w:r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дос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товерность, сообщённая этим каналом. Веса можно изменять во время работы методом update_weights() с проверкой суммы, равной единице, что позволяет менять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веса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каналов без перезапуска системы — например, увеличивать вес радара ночью и снижать вес видео.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Признак обнаружения выставляется, если сводная достоверность не ниже порога DETECTION_THRESHOLD, который по умолча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нию равен 0,55. Уровень угрозы определяется по сводной достоверности: ниже 0,30 — «отсутствует», от 0,30 до 0,55 — «низкий», от 0,55 до 0,75 — «средний», 0,75 и выше — «высокий». Порог обнаружения также можно изменять методом update_threshold() без перезапуска.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Объединение координат выполняется методом обратного взвешивания по дисперсии [8, 14], который расчитывается по формуле 2: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right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36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w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36"/>
                <w:szCs w:val="36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color w:val="000000" w:themeColor="text1"/>
            <w:sz w:val="36"/>
            <w:szCs w:val="36"/>
          </w:rPr>
          <m:rPr>
            <m:sty m:val="i"/>
          </m:rPr>
          <m:t> = </m:t>
        </m:r>
        <m:f>
          <m:f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36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Cambria Math" w:cs="Cambria Math"/>
                    <w:i/>
                    <w:strike w:val="0"/>
                    <w:color w:val="000000" w:themeColor="text1"/>
                    <w:sz w:val="36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000000" w:themeColor="text1"/>
                    <w:spacing w:val="0"/>
                    <w:position w:val="0"/>
                    <w:sz w:val="36"/>
                    <w:szCs w:val="36"/>
                    <w:highlight w:val="none"/>
                    <w:u w:val="none"/>
                    <w:vertAlign w:val="baseline"/>
                    <w:lang w:val="ru-RU" w:eastAsia="en-US" w:bidi="ar-SA"/>
                    <w14:ligatures w14:val="none"/>
                  </w:rPr>
                  <m:rPr>
                    <m:sty m:val="i"/>
                  </m:rPr>
                  <m:t>c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i</m:t>
                </m:r>
              </m:sub>
            </m:sSub>
          </m:num>
          <m:den>
            <m:sSubSup>
              <m:sSubSupPr>
                <m:alnScr m:val="off"/>
                <m:ctrlPr>
                  <w:rPr>
                    <w:rFonts w:hint="default" w:ascii="Cambria Math" w:hAnsi="Cambria Math" w:eastAsia="Cambria Math" w:cs="Cambria Math"/>
                    <w:i/>
                    <w:strike w:val="0"/>
                    <w:color w:val="000000" w:themeColor="text1"/>
                    <w:sz w:val="36"/>
                    <w:highlight w:val="none"/>
                    <w:u w:val="none"/>
                  </w:rPr>
                </m:ctrlPr>
              </m:sSubSup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000000" w:themeColor="text1"/>
                    <w:spacing w:val="0"/>
                    <w:position w:val="0"/>
                    <w:sz w:val="36"/>
                    <w:szCs w:val="36"/>
                    <w:highlight w:val="none"/>
                    <w:u w:val="none"/>
                    <w:vertAlign w:val="baseline"/>
                    <w:lang w:val="ru-RU" w:eastAsia="en-US" w:bidi="ar-SA"/>
                    <w14:ligatures w14:val="none"/>
                  </w:rPr>
                  <m:rPr/>
                  <m:t>σ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i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strike w:val="0"/>
                    <w:color w:val="000000" w:themeColor="text1"/>
                    <w:sz w:val="36"/>
                    <w:szCs w:val="36"/>
                    <w:highlight w:val="none"/>
                    <w:u w:val="none"/>
                  </w:rPr>
                  <m:rPr>
                    <m:sty m:val="i"/>
                  </m:rPr>
                  <m:t>2</m:t>
                </m:r>
              </m:sup>
            </m:sSubSup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36"/>
          <w:szCs w:val="36"/>
        </w:rPr>
        <w:t xml:space="preserve"> ,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                                                         (2)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0"/>
        <w:jc w:val="left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где </w:t>
      </w:r>
      <w:r/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strike w:val="0"/>
                <w:color w:val="000000" w:themeColor="text1"/>
                <w:sz w:val="28"/>
                <w:highlight w:val="none"/>
                <w:u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aps w:val="0"/>
                <w:smallCaps w:val="0"/>
                <w:strike w:val="0"/>
                <w:color w:val="000000" w:themeColor="text1"/>
                <w:spacing w:val="0"/>
                <w:position w:val="0"/>
                <w:sz w:val="28"/>
                <w:szCs w:val="28"/>
                <w:highlight w:val="none"/>
                <w:u w:val="none"/>
                <w:vertAlign w:val="baseline"/>
                <w:lang w:val="ru-RU" w:eastAsia="en-US" w:bidi="ar-SA"/>
                <w14:ligatures w14:val="none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strike w:val="0"/>
                <w:color w:val="000000" w:themeColor="text1"/>
                <w:sz w:val="28"/>
                <w:szCs w:val="28"/>
                <w:highlight w:val="none"/>
                <w:u w:val="none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–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оценка местоположения с одного канала, </w:t>
      </w:r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aps w:val="0"/>
                <w:smallCaps w:val="0"/>
                <w:strike w:val="0"/>
                <w:color w:val="000000" w:themeColor="text1"/>
                <w:spacing w:val="0"/>
                <w:position w:val="0"/>
                <w:sz w:val="28"/>
                <w:szCs w:val="28"/>
                <w:highlight w:val="none"/>
                <w:u w:val="none"/>
                <w:vertAlign w:val="baseline"/>
                <w:lang w:val="ru-RU" w:eastAsia="en-US" w:bidi="ar-SA"/>
                <w14:ligatures w14:val="none"/>
              </w:rPr>
              <m:rPr/>
              <m:t>σ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–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t xml:space="preserve"> пространственная погрешность.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Итоговая погрешность вычисляется как </w:t>
      </w:r>
      <m:oMath>
        <m:f>
          <m:f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num>
          <m:den>
            <m:rad>
              <m:radPr>
                <m:degHide m:val="on"/>
                <m:ctrlPr>
                  <w:rPr>
                    <w:rFonts w:hint="default" w:ascii="Cambria Math" w:hAnsi="Cambria Math" w:eastAsia="Cambria Math" w:cs="Cambria Math"/>
                    <w:i/>
                    <w:strike w:val="0"/>
                    <w:color w:val="000000" w:themeColor="text1"/>
                    <w:sz w:val="28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rPr/>
                  <m:t/>
                </m:r>
              </m:deg>
              <m:e>
                <m:nary>
                  <m:naryPr>
                    <m:chr m:val="∑"/>
                    <m:grow m:val="off"/>
                    <m:limLoc m:val="undOvr"/>
                    <m:subHide m:val="on"/>
                    <m:supHide m:val="on"/>
                    <m:ctrlPr>
                      <w:rPr>
                        <w:rFonts w:hint="default" w:ascii="Cambria Math" w:hAnsi="Cambria Math" w:eastAsia="Cambria Math" w:cs="Cambria Math"/>
                        <w:i/>
                        <w:strike w:val="0"/>
                        <w:color w:val="000000" w:themeColor="text1"/>
                        <w:sz w:val="28"/>
                        <w:highlight w:val="none"/>
                        <w:u w:val="none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hint="default" w:ascii="Cambria Math" w:hAnsi="Cambria Math" w:eastAsia="Cambria Math" w:cs="Cambria Math"/>
                            <w:i/>
                            <w:strike w:val="0"/>
                            <w:color w:val="000000" w:themeColor="text1"/>
                            <w:sz w:val="28"/>
                            <w:highlight w:val="none"/>
                            <w:u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caps w:val="0"/>
                            <w:smallCaps w:val="0"/>
                            <w:strike w:val="0"/>
                            <w:color w:val="000000" w:themeColor="text1"/>
                            <w:spacing w:val="0"/>
                            <w:position w:val="0"/>
                            <w:sz w:val="28"/>
                            <w:szCs w:val="28"/>
                            <w:highlight w:val="none"/>
                            <w:u w:val="none"/>
                            <w:vertAlign w:val="baseline"/>
                            <w:lang w:val="ru-RU" w:eastAsia="en-US" w:bidi="ar-SA"/>
                            <w14:ligatures w14:val="none"/>
                          </w:rPr>
                          <m:rPr>
                            <m:sty m:val="i"/>
                          </m:rPr>
                          <m:t>w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trike w:val="0"/>
                            <w:color w:val="000000" w:themeColor="text1"/>
                            <w:sz w:val="28"/>
                            <w:szCs w:val="28"/>
                            <w:highlight w:val="none"/>
                            <w:u w:val="none"/>
                          </w:rPr>
                          <m:rPr>
                            <m:sty m:val="i"/>
                          </m:rPr>
                          <m:t>i</m:t>
                        </m:r>
                      </m:sub>
                    </m:sSub>
                  </m:e>
                </m:nary>
              </m:e>
            </m:rad>
          </m:den>
        </m:f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уменьшается при добавлении каждого нового канала.</w:t>
      </w:r>
      <w:r/>
      <w:r/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Восстановление координат по массивам акустических и радиочастотных узлов вынесено в отдельный модуль fusion/localiz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ation.py. Метод trilaterate() решает линейную задачу наименьших квадратов по разностям сферических уравнений: для каждой пары узлов формируется линейное уравнение, после чего система решается стандартным методом наименьших квадратов из библиотеки NumPy [9]. Пр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 расположении узлов в одной плоскости вертикальная координата теряет наблюдаемость, и расчёт проводится в двумерной постановке с подстановкой средней высоты массива. При разнесении узлов по высоте более чем на 3 метра восстанавливаются все три координаты.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Класс FusionEngine ведёт внутренний журнал последних 500 результатов, доступный через свойство history. Этот журнал служит источником данных для графика истории на панели оператора и для запроса /api/history.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1.6. Реализация веб-интерфейса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Веб-интерфейс реализован на свя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зке Flask + Flask-SocketIO. Серверная часть предоставляет четыре маршрута протокола HTTP и один канал двусторонней связи через веб-сокеты. Запросы оператора, такие как  изменение весов, изменение порога обнаружения и запрос истории, обрабат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ываются маршрутами /api/weights, /api/threshold и /api/history. Главная страница панели возвращается по маршруту /. По веб-сокетам сервер рассылает событие sensor_update всем подключённым клиентам каждый раз, когда модуль слияния формирует новый результат.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Клиентская часть представляет собой одностраничное приложение  построенное на HTML, CSS и JavaScrip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t без сторонних фреймворков, за исключением библиотеки Chart.js для построения графика истории. Страница разделена на пять блоков: сводная оценка достоверности и уровень угрозы, индикаторы достоверности по каждому из четырёх каналов, график изменения сводн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ой достоверности во времени, карта положения цели в полярной проекции «вид сверху» с возможностью изменять масштаб кнопками или колесом мыши, а также блок управления весами и порогом обнаружения с ползунками и кнопкой сохранения.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Соединение через веб-сокеты обеспечивает обновление показаний без перезагрузки страницы и без периодичес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ких запросов с клиента: как только сервер получает новый результат слияния, тот переводится в формат JSON и сразу рассылается всем подключённым операторам, что обеспечивает отображение в реальном времени с задержкой в пределах одного цикла опроса сенсоров.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ind w:firstLine="0"/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Выводы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 настоящем разд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еле описана программная реализация системы обнаружения и распознавания беспилотных воздушных судов [1]. Выбран стек технологий, обеспечивающий совместимость с целевыми операционными системами и доступность для разработчика.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По каждому из четырёх физических каналов реализован отдельный сенсорный модуль с единым интерфейсо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м и собственной нейросетевой моделью. Реализован модуль слияния с поддержкой изменения весов и порога без перезапуска, а также модуль восстановления координат по массивам узлов методом трилатерации. Веб-интерфейс обеспечивает оператору наблюдение за состоя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нием системы в реальном времени и управление параметрами слияния.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shd w:val="nil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br w:type="page" w:clear="all"/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11"/>
        <w:jc w:val="center"/>
        <w:keepLines/>
        <w:spacing w:line="360" w:lineRule="auto"/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32"/>
          <w:szCs w:val="32"/>
        </w:rPr>
        <w:t xml:space="preserve">2. Экспериментальные исследования</w:t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r>
      <w:r>
        <w:rPr>
          <w:rFonts w:ascii="Liberation Serif" w:hAnsi="Liberation Serif" w:cs="Liberation Serif"/>
          <w:b/>
          <w:bCs/>
          <w:color w:val="000000" w:themeColor="text1"/>
          <w:sz w:val="32"/>
          <w:szCs w:val="32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2.1. Используемые наборы данных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обучения нейросетевых моделей каждого канала использованы открытые наборы данных. Сводные сведения о наборах приведены в таблице 2.1.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2.1 — Используемые наборы данных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4819"/>
        <w:gridCol w:w="1843"/>
        <w:gridCol w:w="1875"/>
      </w:tblGrid>
      <w:tr>
        <w:tblPrEx/>
        <w:trPr/>
        <w:tc>
          <w:tcPr>
            <w:tcW w:w="110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Набор данных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Колличество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образцов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75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Колличество классов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10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Real Doppler RAD-DAR Database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34 970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75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10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Drone Audio Dataset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2 664 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75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10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Noisy Drone RF Signal Classification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30 855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75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101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  <w:lang w:val="ru-RU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19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Airborne Object Detection 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22 516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875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jc w:val="left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2.1.1. Набор данных радиолокационного канала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 набор Real Doppler RAD-DAR Database, опубликованный на Kaggle автором iroldan [20]. Данные получены с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lang w:val="ru-RU"/>
        </w:rPr>
        <w:t xml:space="preserve">многофазового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радара на частоте 8,75 ГГц с полосой 500 МГц и представлены в виде дальностно-скоростных карт размером 11x61 пиксель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Набор содержит 34 970 образцов в трёх классах: автомобили — 11 440 образцов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дроны — 10 130, пешеходы — 13 400. Классы сбалансированы, что позволяет обучать классификатор без методов работы с дисбалансом классов.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2.1.2. Набор данных акустического канала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Использован открытый набор DroneAudioDataset, опубликованный на GitHub автором saraalemadi [4, 5]. Исходный набор содержит 1 332 записи с дронами и 10 372 записи фонового шума. Для устранения дисбаланса классов фоновый класс уменьшен случайной подвыборкой до 1 3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32 записей, итого 2 664 файла. Каждая запись приводится к длительности 3 секунды при частоте дискретизации 16 кГц и преобразуется в мел-спектрограмму [17] со 128 мел-полосами, окном БПФ 2048 отсчётов и шагом 512 отсчётов, что даёт временное разрешение 94 кадра.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2.1.3. Набор данных радиочастотного канала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 набор Noisy Drone RF Signal Classification,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опубликованный на Kaggle автором sgluege [6, 7]. Сигналы представлены в синфазно-квадратурной форме тензором размером 2x16384 отсчёта. В исходном наборе 98 705 образцов распределены по семи классам: DJI, FutabaT14, FutabaT7, Graupner, Noise, Tar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anis, Turnigy. Для ускорения обучения число образцов на каждый класс ограничено пятью тысячами, что дало итоговый набор приблизительно в 30 855 записей. Класс Noise рассматривается системой как «дрон отсутствует», остальные шесть — как «дрон присутствует».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2.1.4. Набор данных видеоканала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Использован набор Airborne Object Detection 4 в формате YOLOv8. Набор содержит 22 516 изображений с разметкой ограничивающих рамок по четырём классам: птица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дрон, вертолёт и самолёт. Размер входных изображений модели — 640x640 пикселей. Подобный состав классов выбран намеренно: он соответствует задаче отделения дрона от других воздушных объектов, рассмотренной в разделах 1 и 2.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2.2. Описание архитектур нейросетевых моделей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2.2.1. Архитектуры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моделей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радиолокационного канала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DopplerNet — свёрточная сеть, рассчитанная на малый размер входной дальностно-доплеровской карты. Содержит три свёрточных блока с возрастающим числом каналов (32, 64, 128), в каждом — свёртки 3×3 с пакетной нормализацией и функцией 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ктивации ReLU, между блоками — операция max-pooling. Признаковая карта сжимается адаптивным усреднением до размера 2×4 и подаётся на полносвязный классификатор из 128 нейронов с прореживанием в 0,5. Около 271 тыс. обучаемых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RadarResNet — более глубокая свёрточная сеть с остаточными блоками [10]. Состоит из трёх каскадов с числом каналов 64, 128 и 256; каждый каскад включает остаточный блок из двух свёрток 3×3 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пропускным соединением, что облегчает обучение и распространение градиента. После каскадов применяются глобальное адаптивное усреднение, прореживание 0,5 и линейный классификатор. Около 1,9 млн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RadarMLP — полносвязная сеть, используемая как базовая модель. Входн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ая карта разворачивается в вектор, который проходит три скрытых слоя в 512, 256 и 128 нейронов с пакетной нормализацией, ReLU и прореживанием, после чего следует выходной слой. Около 510 тыс.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2.2.2. Архитектуры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моделей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акустического канала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AudioCNN — свёрточная сеть, обрабатывающая мел-спектрограмму как одноканальное изображение. Содержит четыре свёрточных блока с числом каналов 32, 64,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128 и 256. В каждом — пара свёрток 3×3 с пакетной нормализацией, ReLU, подвыборкой и пространственным прореживанием. Завершается адаптивным усреднением до 4×4 и полносвязным классификатором в 256 нейронов. Всего 1,6 млн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AudioCRNN — гибридная свёрточно-рекуррентная сеть. Свёрточная часть из трёх блоков в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32, 64 и 128 каналов с подвыборкой преимущественно по частотной оси извлекает локальные признаки, а двунаправленная рекуррентная сеть LSTM [11] в два слоя по 128 скрытых единиц моделирует их динамику вдоль временной оси спектрограммы. Около 2,7 млн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AudioResNet — свёрточная сеть с остаточными блоками, по структуре близкая к ResNet-18 [10]. Стволов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ая часть выполняет свёртку 7×7 с шагом 2 и подвыборку, далее следуют три каскада остаточных блоков с увеличением числа каналов и понижением разрешения, после чего — глобальное усреднение и классификатор. Около 2,0 млн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2.2.3. Архитектуры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моделей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радиочастотного канала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RF-CNN-1D — одномерная свёрточная сеть, работающая непосредственно с синфазно-квадратурным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сигналом. Содержит четыре свёрточных слоя Conv1d с числом каналов 32, 64, 128 и 256 и шагом 2, последовательно сжимающих длинную последовательность отсчётов. Затем адаптивное усреднение до 16 отсчётов и полносвязный классификатор. Около 1,2 млн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RF-ResNet-1D — одномерный аналог сети ResNet [10]. Стволовая часть — свё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ртка Conv1d с ядром 7 и шагом 2 с последующей подвыборкой; далее три остаточные стадии (64, 128, 256 каналов) с понижающими свёртками 1×1 в пропускных соединениях, глобальное усреднение и линейный слой. Около 0,96 млн параметров; выбрана для развёртывания.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RF-MLP — полносвязная базовая модель. Двухканальный сигнал длиной 16384 отсчёта разворачивается в вектор размерно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сти 32768, который проходит слои 512 и 256 нейронов с пакетной нормализацией и прореживанием.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2.2.4. Архитектуры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  <w:lang w:val="ru-RU"/>
        </w:rPr>
        <w:t xml:space="preserve">моделей 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видеоканала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YOLOv8n [13] — одностадийный  детектор семейства YOLO [19] в облегчённой конфигурации. Включает свёрточ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ный остов на основе CSP-блоков [21], агрегирующую часть типа PAN для объединения признаков разного масштаба и раздельную голову, отдельно предсказывающую классы и координаты ограничивающих рамок. Около 3,2 млн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YOLOv5n [12] — детектор предыдущего поколения того же семейства. Около 2,5 млн параметров — самая лёгкая из рассмотренных моделей.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YOLOv8s — версия «small» архитектуры YOLOv8 с увеличенной шириной слоёв. Около 11 млн параметров.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2.3. Методика обучения моделей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Модели для всех четырех каналов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обучались независимо на соответствующих наборах данных с применением единой схемы оптимизации, отличающейся лишь параметрами, характерными для конкретной задачи. Ниже описаны разбиение наборов, гиперпараметры, аугментация и использованное оборудование.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shd w:val="nil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2.3.1. Разбиение наборов данных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Каждый набор данных разбит на обучающую, валидационную и тестовую выборки. Размеры выборок приведены в таблице 2.2.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2.2 — Разбиение наборов данных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blPrEx/>
        <w:trPr/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Обучающая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Валидационная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Тестовая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24 373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5 351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5 246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1 856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21 505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4 721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4 629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18 013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3 377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2422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1 126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ind w:firstLine="0"/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0"/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2.3.2. Гиперпараметры обучения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всех архитектур классификаторов радиолокационного, акустического и радиочастотного каналов применён общий набор параметров оптимизации: оптимизатор AdamW [15], начальная скорость обучения 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-3</m:t>
            </m:r>
          </m:sup>
        </m:sSup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регуляризация по весам </w:t>
      </w:r>
      <w:r/>
      <m:oMath>
        <m:sSup>
          <m:sSup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-4</m:t>
            </m:r>
          </m:sup>
        </m:sSup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расписание скорости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обучения «cosine annealing» [16], функция потерь — перекрёстная энтропия. Размер пакета и число эпох выбирались индивидуально для каждого канала, исходя из размера и сложности набора данных. Для детекторов видеоканала (семейство YOLO и RT-DETR-L) применяется вс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троенный обучающий цикл соответствующих библиотек со специфичными для задачи детектирования функциями потерь. Сводные параметры по каналам приведены в таблице 2.3.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2.3 — Гиперпараметры обучения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>
        <w:tblPrEx/>
        <w:trPr/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Скорость обучения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Размер пакета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Эпох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Ранняя остановка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64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Аудио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10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-3</m:t>
                    </m:r>
                  </m:sup>
                </m:sSup>
              </m:oMath>
            </m:oMathPara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80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8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15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left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2.3.3. Аугментация данных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Для повышения обобщающей способности применялись приёмы аугментации, соответствующие физической природе сигнала каждого канала. Аугментация применялась единообразно ко всем кандидатным архитектурам внутри канала.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Д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ля радиолокационного канала использовались добавление гауссова шума со стандартным отклонением 0,05 при вероятности 0,3, случайное масштабирование амплитуды в диапазоне 0,8–1,2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 0,3 и отражение по доплеровской оси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 0,5. Для акустиче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с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кого канала — масштабирование амплитуды в диапазоне 0,7–1,3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 0,5, гауссов шум 0,005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 0,3 и временной сдвиг в пределах ±1600 отсчётов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 0,3. Для радиочастотного канала — гауссов шум 0,05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0,3 и отр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а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жение по временной оси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при вероятности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0,5. Для видеоканала применялись встроенные приёмы библиотеки Ultralytics: мозаика с вероятностью 1,0, смешивание изображений с вероятностью 0,1, случайные кадрирование и отражение, сдвиги по тону, насыщенности 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t xml:space="preserve">и яркости.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2.3.4. Используемое оборудование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модели обучались на бесплатной платформе Kaggle с использованием  двух графичес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ких ускорителей NVIDIA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T4. Программная платформа: Python 3.10, PyTorch 2.10 со сборкой CUDA 12.8, Ultralytics 8.x (для YOLOv8n). Для каждой модели обучение умещалось в один сеанс продолжительностью от 20 минут до нескольких часов.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2.4. Метрики оценки качества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Оценка качества проводится на трёх уровнях: для от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ельных классификаторов, для детектора объектов и для системы в целом в режиме объединения каналов.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left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2.4.1. Метрики для классификаторов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классификаторов радиолокационного, акустического и радиочастотного каналов используются стандартные метрики многоклассовой классификации. Точность — доля верно классифицированных образцов от общего числа. Полнота  для класса — доля об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разцов этого класса, правильно отнесённых к нему моделью. Точность по классу — доля верных предсказаний среди всех, отнесённых к данному классу.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— гармоническое среднее полноты и точности по классу.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многоклассов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ых задач приводится macro-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простое среднее </w:t>
      </w:r>
      <w:r/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1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по всем классам, не учитывающее их размер. Дополнительно строится матрица ошибок, по строкам которой откладывается истинный класс, по столбцам — предсказанный.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2.4.2. Метрики для детекторов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Для детекторов объектов видеоканала основной метрикой служит средняя точность по всем классам (mean Average Precision, mAP). Метрика mAP@0,5 вычисляется при пороге пересечения по объединению (IoU) равном 0,5: предсказание считается верным, если IoU между пр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едсказанной и истинной рамкой не ниже 0,5. Более строгая метрика mAP@0,5:0,95 усредняет среднюю точность по десяти порогам IoU от 0,5 до 0,95 с шагом 0,05 — то есть требует точного совпадения рамок, а не только пересечения. Дополнительно фиксируется скорост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ь инференса в кадрах в секунду на эталонной аппаратной платформе.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center"/>
        <w:keepLines/>
        <w:spacing w:line="360" w:lineRule="auto"/>
        <w:suppressLineNumbers w:val="0"/>
      </w:pP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  <w:t xml:space="preserve">2.4.3. Метрики для системы в целом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highlight w:val="none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Качество объединённой системы оценивается тремя величинами. Вероятность правильного обнаружения </w:t>
      </w:r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 — доля циклов, в которых при действительном присутствии дрона сводная оценка достоверности достигла порога обнаружения. Вероятность ложно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й тревоги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 — доля циклов, в которых при отсутствии дрона сводная оценка ошибочно превысила тот же порог. Задержка цикла обработки — время от поступления показаний всех сенсоров до формирования итогового решения. С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огласно техническим требованиям, она не д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  <w:t xml:space="preserve">олжна превышать 2 секунд.</w:t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/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2.5. Результаты обучения моделей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2.5.1. Сравнение и выбор модели радиолокационного канала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радиолокационного канала независимо обучены три модели: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DopplerNet, RadarResNet и RadarMLP. Их сравнение на тестовой выборке по точности,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числу параметров и задержке распознавания приведено в таблице 2.4.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2.4 — Сравнение моделей радиолокационного канала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</w:tblGrid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w:r/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DopplerNet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0,9848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0,9838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271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RadarResNet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0,9874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0,9866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1922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1,67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RadarMLP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0,9804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0,9790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510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0,55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три модели показали близкое качество. Наилучшие точность 0,9874 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= 0,9866 показала RadarResNet, поэтому она и используется в про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грамме. Модели DopplerNet и RadarMLP при меньшем числе параметров уступают по точности.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>2.5.2. Сравнение и выбор модели акустического канала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акустического канала обучены: AudioCNN,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AudioCRNN и AudioResNet. Помимо точности 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для этого канала измерялась ROC-AUC. Сравнение моделей приведено в таблице 2.5.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2.5 — Сравнение моделей акустического канала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  <w:gridCol w:w="1940"/>
      </w:tblGrid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w:r/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ROC-AUC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AudioCNN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0,9725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0,9724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0,9959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1632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0,81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AudioCRNN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0,9725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0,9725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0,9939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2735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1,22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AudioResNet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0,9750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0,9750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0,9982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1999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0,49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Наилучшие показатели по всем метрикам показала AudioResN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et. Она и используется в программе.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2.5.3. Сравнение и выбор модели радиочастотного канала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радиочастотного канала обучены три модели: RF-CNN-1D, RF-ResNet-1D и RF-MLP. Сравнение приведено в таблице 2.7.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2.6 — Сравнение моделей радиочастотного канала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37"/>
        <w:gridCol w:w="1940"/>
      </w:tblGrid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Модель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Точность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macro-</w:t>
            </w:r>
            <w:r/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F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1</m:t>
                  </m:r>
                </m:sub>
              </m:sSub>
            </m:oMath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тыс.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Задержка, мс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RF-CNN-1D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0,7980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0,8082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1202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RF-ResNet-1D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0,8218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0,8318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960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2,43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>
          <w:trHeight w:val="441"/>
        </w:trPr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RF-MLP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0,2644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0,2509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16912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0,37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Свёрточные сети превзошли полносвязную базовую модель: RF-MLP при наибольшем числе параметр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ов даёт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macro-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p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1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всего 0,2509 и склонна к переобучению. Наилучшую F1-меру при наименьшем числе параметров показала RF-ResNet-1D, поэтому она и используется в программе.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  <w:t xml:space="preserve">2.5.4. Сравнение и выбор модели видеоканала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Для радиочастотного канала обучены три модели: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YOLOv5n,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YOLOv8n 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YOLOv8s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Сравнение приведено в таблице 2.7.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2.7 —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Сравнение моделей видео канала</w:t>
      </w:r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ook w:val="04A0" w:firstRow="1" w:lastRow="0" w:firstColumn="1" w:lastColumn="0" w:noHBand="0" w:noVBand="1"/>
      </w:tblPr>
      <w:tblGrid>
        <w:gridCol w:w="1937"/>
        <w:gridCol w:w="1937"/>
        <w:gridCol w:w="1937"/>
        <w:gridCol w:w="1967"/>
        <w:gridCol w:w="1940"/>
      </w:tblGrid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Архитектура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Параметры, млн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mAP@0,5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6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mAP@0,5:0,95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Кадров/с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YOLOv5n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2,5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0,9714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6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0,6748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110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YOLOv8n 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0,9733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6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0,6810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129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YOLOv8s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11,1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3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0,9805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67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0,6989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85</w:t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912"/>
        <w:jc w:val="left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12"/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t xml:space="preserve">Наибольшую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t xml:space="preserve"> точность даёт YOLOv8s, однако она примерно в 1,5 раза медленнее и почти в 4 раза тяжелее YOLOv8n. Модель YOLOv8n обеспечивает оптимальное сочетание точности, скорости и размера, поэто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  <w:t xml:space="preserve">му именно она используется в программе.</w:t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2"/>
        <w:ind w:firstLine="720"/>
        <w:jc w:val="both"/>
        <w:keepLines/>
        <w:spacing w:line="360" w:lineRule="auto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</w:r>
    </w:p>
    <w:p>
      <w:pPr>
        <w:pStyle w:val="912"/>
        <w:ind w:firstLine="0"/>
        <w:jc w:val="both"/>
        <w:keepLines/>
        <w:spacing w:line="360" w:lineRule="auto"/>
        <w:rPr>
          <w:rFonts w:ascii="Liberation Serif" w:hAnsi="Liberation Serif" w:cs="Liberation Serif"/>
          <w:b w:val="0"/>
          <w:bCs w:val="0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2.6. Оценка работы системы в режиме объединения каналов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Оценка системы в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целом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выполнена с помощью скрипта scripts/eval_fusion.py, который проигрывает заданное число циклов опроса в режиме имитации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с управляемым источником истинного положения SimulationGroundTruth, считает вероятности 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по каждому каналу и для объединённой оценки и измеряет задержку цикла обработки. Для каждого приведённого ниже значения выполнено по 500 циклов на сценарий.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2.6.1. Сценарии тестирования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Рассмотрены четыре сценария. В первом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сценарии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все четыре канала активны и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виртуальный дрон присутствует в зоне наблюдения — измеряется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Во втором сценарии все каналы активны, но дрон отсутствует — измеряется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. В третьем сценарии радиочастотный канал отключается имитацией отказа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— оценивается влияние отказа одного канала на сводное решение. В четвёртом сценарии последовательно отключаются два, три и четыре канала, что позволяет проверить требование плавной деградации, сформулированное в разделе 3.2.3.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2.6.2. Сравнение одиночных каналов и объединённого решения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Результаты по первому и второму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сценариям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приведены в таблице 2.8. В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идно, что в режиме имитации одиночные каналы дают сильно различающиеся показатели: акустический и радиочастотный каналы практически не дают ложных тревог благодаря заложенному в имитацию узкому диапазону достоверности при отсутствии дрона, тогда как радар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 видео в имитации генерируют значительный шум. Объединённое решение усредняет показания и обеспечивает компромиссный уровень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с умеренным уровнем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что и является целью многоканальной схемы — снижение ложных тревог за счёт перекрёстной верификации.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2.8 — Вероятности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, все каналы активны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>
        <w:tblPrEx/>
        <w:trPr/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Канал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/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d</m:t>
                    </m:r>
                  </m:sub>
                </m:sSub>
              </m:oMath>
            </m:oMathPara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/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fa</m:t>
                    </m:r>
                  </m:sub>
                </m:sSub>
              </m:oMath>
            </m:oMathPara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Акустический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82,8%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40,8%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36,6%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Радар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59%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56,8%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Радиочастотный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75,6%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Объединённое решение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49%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3230" w:type="dxa"/>
            <w:textDirection w:val="lrTb"/>
            <w:noWrap w:val="false"/>
          </w:tcPr>
          <w:p>
            <w:pPr>
              <w:jc w:val="center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13,2%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 xml:space="preserve">2.6.3. Проверка постепенной деградации</w:t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2.9 показывает, как изменяются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fa</m:t>
            </m:r>
          </m:sub>
        </m:sSub>
      </m:oMath>
      <w:r/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объед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инённого решения при последовательном отключении каналов. Видно, что при отказе одного канала система продолжает работать с заметным снижением вероятности обнаружения, но не отказывает полностью; при отказе трёх каналов из четырёх вероятность обнаружения о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пускается до нуля, что соответствует естественному пределу при работе одного шумного канала с весом ниже порога. Полного прекращения работы системы не происходит ни в одном из сценариев, что подтверждает выполнение требования к надёжности из раздела 3.2.3.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Таблица 2.9 — Деградация при отключении каналов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5102"/>
        <w:gridCol w:w="1559"/>
        <w:gridCol w:w="1468"/>
      </w:tblGrid>
      <w:tr>
        <w:tblPrEx/>
        <w:trPr/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Активных каналов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5102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Отключённые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d</m:t>
                    </m:r>
                  </m:sub>
                </m:sSub>
              </m:oMath>
            </m:oMathPara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468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/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 w:themeColor="text1"/>
                        <w:sz w:val="28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P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 w:themeColor="text1"/>
                        <w:sz w:val="28"/>
                        <w:szCs w:val="28"/>
                      </w:rPr>
                      <m:rPr>
                        <m:sty m:val="i"/>
                      </m:rPr>
                      <m:t>fa</m:t>
                    </m:r>
                  </m:sub>
                </m:sSub>
              </m:oMath>
            </m:oMathPara>
            <w:r/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5102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—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61,6%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468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11,4%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5102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Радиочастотный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33,4%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468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11,4%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2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5102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Радиочастотный, акустический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8,8%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468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6,8%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5102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Радиочастотный, акустический, видео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1468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0%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jc w:val="left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color w:val="000000" w:themeColor="text1"/>
          <w:sz w:val="28"/>
          <w:szCs w:val="28"/>
        </w:rPr>
        <w:t>2.6.4. Измерение задержки</w:t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b/>
          <w:bCs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Средняя з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адержка одного цикла обработки на процессорt x86-64, без графического ускорителя c режимом имитации без загрузки нейросетевых моделей составила 0,21 мс, 95-й процентиль — 0,23 мс, максимум за 500 циклов — 3,80 мс. Полученное значени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е на четыре порядка ниже требования из раздела 3.2.3 о задержке не более 2 секунд. При работе с реальными нейросетевыми моделями основной вклад в задержку даст инференс YOLOv8n на видеокадре, однако и с его учётом запас по требованию остаётся значительным.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  <w:highlight w:val="none"/>
        </w:rPr>
      </w:r>
    </w:p>
    <w:p>
      <w:pPr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Таблица 2.10 — Задержка цикла обработки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tbl>
      <w:tblPr>
        <w:tblStyle w:val="724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>
        <w:tblPrEx/>
        <w:trPr/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Показатель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Значение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Среднее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0,21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95-й процентиль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0,23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Максимум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3,80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Требование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  <w:tc>
          <w:tcPr>
            <w:tcW w:w="4844" w:type="dxa"/>
            <w:textDirection w:val="lrTb"/>
            <w:noWrap w:val="false"/>
          </w:tcPr>
          <w:p>
            <w:pPr>
              <w:jc w:val="both"/>
              <w:keepLines/>
              <w:spacing w:line="360" w:lineRule="auto"/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pPr>
            <w:r>
              <w:rPr>
                <w:rFonts w:ascii="Liberation Serif" w:hAnsi="Liberation Serif" w:eastAsia="Liberation Serif" w:cs="Liberation Serif"/>
                <w:color w:val="000000" w:themeColor="text1"/>
                <w:sz w:val="28"/>
                <w:szCs w:val="28"/>
              </w:rPr>
              <w:t xml:space="preserve">≤ 2 000 мс</w:t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  <w:r>
              <w:rPr>
                <w:rFonts w:ascii="Liberation Serif" w:hAnsi="Liberation Serif" w:cs="Liberation Serif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>2.7. Анализ полученных результатов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Анализ результатов обучения отдельных моделей подтверждает целесообразность разделения задачи по физическим каналам. Радарный канал даёт сам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ое высокое качество классификации (F1 = 0,98) благодаря выраженным микродоплеровским сигнатурам дронов, отличимым от автомобилей и пешеходов. Акустический канал уверенно различает присутствие и отсутствие дрона (F1 = 0,97). Радиочастотный канал даёт более 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скромный результат (F1 = 0,83), причина — систематическая путаница класса «шум» с фрагментами сигналов малой мощности; именно эта особенность подсказывает целесообразность объединения с другими каналами, способными независимо подтвердить присутствие дрона.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Результаты системного тестирова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ния в режиме имитации показывают, что объединённое решение не повышает абсолютную вероятность обнаружения по сравнению с лучшим одиночным каналом, но снижает риск ложных тревог за счёт перекрёстной верификации: каналы, склонные к ложным срабатываниям (в им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итации — видео и радар), уравновешиваются каналами с низким уровнем ложных тревог (акустика и радиочастотный анализ). Снижение </w:t>
      </w:r>
      <w:r/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color w:val="000000" w:themeColor="text1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color w:val="000000" w:themeColor="text1"/>
                <w:sz w:val="28"/>
                <w:szCs w:val="28"/>
              </w:rPr>
              <m:rPr>
                <m:sty m:val="i"/>
              </m:rPr>
              <m:t>d</m:t>
            </m:r>
          </m:sub>
        </m:sSub>
      </m:oMath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объединённого решения относительно лучшего одиночного канала — следствие усреднения достоверностей при сравнительно небольшом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весе наиболее качественных в имитации каналов; в эксплуатации с реальными нейросетевыми моделями соотношение качества каналов будет иным, и веса слияния SENSOR_WEIGHTS следует подстраивать по результатам полевых испытаний через интерфейс update_weights().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Проверка постепенной деградации показала, что система устойчиво работает при отказе одного и двух каналов из четырёх — это соответствует требованию к надёжн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ости из раздела 3.2.3 о недопустимости полного отказа системы при выходе из строя отдельного канала. Задержка цикла обработки в режиме имитации на четыре порядка меньше предельной, что оставляет значител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ьный запас на инференс реальных нейросетевых моделей.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r>
    </w:p>
    <w:p>
      <w:pPr>
        <w:pStyle w:val="912"/>
        <w:jc w:val="center"/>
        <w:keepLines/>
        <w:spacing w:line="360" w:lineRule="auto"/>
        <w:rPr>
          <w:rFonts w:ascii="Liberation Serif" w:hAnsi="Liberation Serif" w:eastAsia="Liberation Serif" w:cs="Liberation Serif"/>
          <w:color w:val="000000" w:themeColor="text1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Выводы</w:t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ind w:firstLine="720"/>
        <w:jc w:val="both"/>
        <w:keepLines/>
        <w:spacing w:line="360" w:lineRule="auto"/>
        <w:rPr>
          <w:rFonts w:ascii="Liberation Serif" w:hAnsi="Liberation Serif" w:cs="Liberation Serif"/>
          <w:color w:val="000000" w:themeColor="text1"/>
          <w:sz w:val="28"/>
          <w:szCs w:val="28"/>
        </w:rPr>
        <w:suppressLineNumbers w:val="0"/>
      </w:pP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В разделе приведены результаты экспериментальных исследований. Для каждого из четырёх каналов обучены и сопоставлены несколько архитектур-кандидатов на единой методике обучения, что обеспечило корректность сравнения. По результатам сравнения выбраны финальн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ые модели: RadarResNet для радиолокационного канала (F1 = 0,98), AudioResNet для акустического (F1 = 0,97), RF-ResNet-1D для радиочастотного (F1 = 0,83) и детектор YOLOv8n для видеоканала на наборе AOD-4. Проведена оценка системы в целом в режиме имитации п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о сценариям присутствия и отсутствия дрона, а также при последовательном отключении каналов. Полученные результаты подтверждают работоспособность архитектуры, описанной в разделе 4, выполнение требований раздела 3 по плавной деградации и задержке обработки,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  <w:t xml:space="preserve"> и обоснованность выбора многоканальной схемы для снижения вероятности ложных тревог.</w:t>
      </w:r>
      <w:r>
        <w:rPr>
          <w:rFonts w:ascii="Liberation Serif" w:hAnsi="Liberation Serif" w:eastAsia="Liberation Serif" w:cs="Liberation Serif"/>
          <w:color w:val="000000" w:themeColor="text1"/>
          <w:sz w:val="28"/>
          <w:szCs w:val="28"/>
        </w:rPr>
      </w:r>
      <w:r>
        <w:rPr>
          <w:rFonts w:ascii="Liberation Serif" w:hAnsi="Liberation Serif" w:cs="Liberation Serif"/>
          <w:color w:val="000000" w:themeColor="text1"/>
          <w:sz w:val="28"/>
          <w:szCs w:val="28"/>
        </w:rPr>
      </w:r>
    </w:p>
    <w:p>
      <w:pPr>
        <w:pStyle w:val="910"/>
        <w:ind w:right="147"/>
        <w:jc w:val="center"/>
        <w:spacing w:before="2" w:line="331" w:lineRule="auto"/>
        <w:rPr>
          <w:b/>
          <w:bCs/>
          <w:highlight w:val="none"/>
        </w:rPr>
      </w:pPr>
      <w:r>
        <w:rPr>
          <w:b/>
          <w:bCs/>
        </w:rPr>
        <w:t xml:space="preserve">Заключение</w:t>
      </w:r>
      <w:r/>
    </w:p>
    <w:p>
      <w:pPr>
        <w:shd w:val="nil"/>
      </w:pPr>
      <w:r>
        <w:br w:type="page" w:clear="all"/>
      </w:r>
      <w:r/>
    </w:p>
    <w:p>
      <w:pPr>
        <w:pStyle w:val="910"/>
        <w:ind w:right="147"/>
        <w:jc w:val="center"/>
        <w:spacing w:before="2" w:line="331" w:lineRule="auto"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Список источников</w:t>
      </w:r>
      <w:r>
        <w:rPr>
          <w:b/>
          <w:bCs/>
          <w:highlight w:val="none"/>
        </w:rPr>
      </w:r>
    </w:p>
    <w:p>
      <w:pPr>
        <w:pStyle w:val="910"/>
        <w:ind w:right="147"/>
        <w:jc w:val="left"/>
        <w:spacing w:before="2" w:line="331" w:lineRule="auto"/>
      </w:pPr>
      <w:r/>
      <w:r/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ГОСТ Р 57258-2016. Системы беспилотные авиационные. Термины и определения. — Введ. 2017-07-01. — М.: Стандартинформ, 2017. — 16 с.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Гудфеллоу, И. Глубокое обучение / И. Гудфеллоу, И. Бенджио, А. Курвилль; пер. с англ. А. А. Слинкина. — М.: ДМК Пресс, 2018. — 652 с.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Николенко, С. И. Глубокое обучение / С. И. Николенко, А. А. Кадурин, Е. О. Архангельская. — СПб.: Питер, 2018. — 480 с.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Al-Emadi, S. Audio Based Drone Detection and Identification using Deep Learning / S. Al-Emadi, A. Al-Ali, A. Mohammad, A. Al-Ali // 15th International Wireless Communications &amp; Mobile Computing Conference (IWCMC). — IEEE, 2019. — P. 459–464.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Al-Emadi, S. Drone Audio Dataset [Электронный ресурс] / S. Al-Emadi. — Режим доступа: </w:t>
      </w:r>
      <w:hyperlink r:id="rId11" w:tooltip="https://github.com/saraalemadi/DroneAudioDataset" w:history="1">
        <w:r>
          <w:rPr>
            <w:rStyle w:val="892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  <w:t xml:space="preserve">https://github.com/saraalemadi/DroneAudioDataset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Al-Sa'd, M. F. RF-based drone detection and identification using deep learning approaches: An initiative towards a large open source drone database / M. F. Al-Sa'd, A. Al-Ali, A. Mohamed, T. Khattab, A. Erbad // Future Generation Computer Systems. — 2019.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— Vol. 100. — P. 86–97.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Glüge, S. Noisy Drone RF Signal Classification [Электронный ресурс] / S. Glüge. — Режим доступа: </w:t>
      </w:r>
      <w:hyperlink r:id="rId12" w:tooltip="https://www.kaggle.com/datasets/sgluege/noisy-drone-rf-signal-classification" w:history="1">
        <w:r>
          <w:rPr>
            <w:rStyle w:val="892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  <w:t xml:space="preserve">https://www.kaggle.com/datasets/sgluege/noisy-drone-rf-signal-classification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Hall, D. L. An Introduction to Multisensor Data Fusion / D. L. Hall, J. Llinas // Proceedings of the IEEE. — 1997. — Vol. 85, No. 1. — P. 6–23.</w:t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Harris, C. R. Array programming with NumPy / C. R. Harris, K. J. Millman, S. J. van der Walt [et al.] // Nature. — 2020. — Vol. 585, No. 7825. — P. 357–362.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He, K. Deep Residual Learning for Image Recognition / K. He, X. Zhang, S. Ren, J. Sun // 2016 IEEE Conference on Computer Vision and Pattern Recognition (CVPR). — IEEE, 2016. — P. 770–778.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Hochreiter, S. Long Short-Term Memory / S. Hochreiter, J. Schmidhuber // Neural Computation. — 1997. — Vol. 9, No. 8. — P. 1735–1780.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Jocher, G. Ultralytics YOLOv5 [Электронный ресурс] / G. Jocher [и др.]. — Режим доступа: </w:t>
      </w:r>
      <w:hyperlink r:id="rId13" w:tooltip="https://github.com/ultralytics/yolov5" w:history="1">
        <w:r>
          <w:rPr>
            <w:rStyle w:val="892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  <w:t xml:space="preserve">https://github.com/ultralytics/yolov5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Jocher, G. Ultralytics YOLOv8 [Электронный ресурс] / G. Jocher, A. Chaurasia, J. Qiu. — Режим доступа: </w:t>
      </w:r>
      <w:hyperlink r:id="rId14" w:tooltip="https://github.com/ultralytics/ultralytics" w:history="1">
        <w:r>
          <w:rPr>
            <w:rStyle w:val="892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  <w:t xml:space="preserve">https://github.com/ultralytics/ultralytics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Kalman, R. E. A New Approach to Linear Filtering and Prediction Problems / R. E. Kalman // Journal of Basic Engineering. — 1960. — Vol. 82, No. 1. — P. 35–45.</w:t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Loshchilov, I. Decoupled Weight Decay Regularization / I. Loshchilov, F. Hutter // 7th International Conference on Learning Representations (ICLR). — 2019.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Loshchilov, I. SGDR: Stochastic Gradient Descent with Warm Restarts / I. Loshchilov, F. Hutter // 5th International Conference on Learning Representations (ICLR). — 2017.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McFee, B. librosa: Audio and Music Signal Analysis in Python / B. McFee, C. Raffel, D. Liang [et al.] // Proceedings of the 14th Python in Science Conference. — 2015. — P. 18–25.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Paszke, A. PyTorch: An Imperative Style, High-Performance Deep Learning Library / A. Paszke, S. Gross, F. Massa [et al.] // Advances in Neural Information Processing Systems 32. — Curran Associates, Inc., 2019. — P. 8024–8035.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Redmon, J. You Only Look Once: Unified, Real-Time Object Detection / J. Redmon, S. Divvala, R. Girshick, A. Farhadi // 2016 IEEE Conference on Computer Vision and Pattern Recognition (CVPR). — IEEE, 2016. — P. 779–788.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Roldán, I. Real Doppler RAD-DAR Database [Электронный ресурс] / I. Roldán. — Режим доступа: </w:t>
      </w:r>
      <w:hyperlink r:id="rId15" w:tooltip="https://www.kaggle.com/datasets/iroldan/real-doppler-raddar-database" w:history="1">
        <w:r>
          <w:rPr>
            <w:rStyle w:val="892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</w:rPr>
          <w:t xml:space="preserve">https://www.kaggle.com/datasets/iroldan/real-doppler-raddar-database</w:t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 (дата обращения: 03.06.2026).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4"/>
        <w:numPr>
          <w:ilvl w:val="0"/>
          <w:numId w:val="18"/>
        </w:numPr>
        <w:ind w:right="0"/>
        <w:jc w:val="both"/>
        <w:spacing w:line="360" w:lineRule="auto"/>
        <w:rPr>
          <w:color w:val="000000" w:themeColor="text1"/>
          <w:sz w:val="28"/>
          <w:szCs w:val="28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</w:rPr>
        <w:t xml:space="preserve">Wang, C.-Y. CSPNet: A New Backbone that can Enhance Learning Capability of CNN / C.-Y. Wang, H.-Y. M. Liao, Y.-H. Wu [et al.] // 2020 IEEE/CVF Conference on Computer Vision and Pattern Recognition Workshops (CVPRW). — IEEE, 2020. — P. 1571–1580.</w:t>
      </w:r>
      <w:r>
        <w:rPr>
          <w:color w:val="000000" w:themeColor="text1"/>
          <w:sz w:val="28"/>
          <w:szCs w:val="28"/>
          <w:u w:val="none"/>
        </w:rPr>
      </w:r>
    </w:p>
    <w:p>
      <w:pPr>
        <w:pStyle w:val="910"/>
        <w:ind w:right="147"/>
        <w:jc w:val="both"/>
        <w:spacing w:before="2" w:line="360" w:lineRule="auto"/>
        <w:rPr>
          <w:color w:val="000000" w:themeColor="text1"/>
          <w:sz w:val="28"/>
          <w:szCs w:val="28"/>
          <w:u w:val="none"/>
        </w:rPr>
      </w:pPr>
      <w:r>
        <w:rPr>
          <w:b/>
          <w:bCs/>
          <w:color w:val="000000" w:themeColor="text1"/>
          <w:sz w:val="28"/>
          <w:szCs w:val="28"/>
          <w:highlight w:val="none"/>
          <w:u w:val="none"/>
        </w:rPr>
      </w:r>
      <w:r>
        <w:rPr>
          <w:b/>
          <w:bCs/>
          <w:color w:val="000000" w:themeColor="text1"/>
          <w:sz w:val="28"/>
          <w:szCs w:val="28"/>
          <w:highlight w:val="none"/>
          <w:u w:val="none"/>
        </w:rPr>
      </w:r>
    </w:p>
    <w:sectPr>
      <w:footnotePr/>
      <w:endnotePr/>
      <w:type w:val="nextPage"/>
      <w:pgSz w:w="11910" w:h="16840" w:orient="portrait"/>
      <w:pgMar w:top="1060" w:right="708" w:bottom="980" w:left="1700" w:header="0" w:footer="782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ind w:left="0"/>
      <w:jc w:val="left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391744" behindDoc="1" locked="0" layoutInCell="1" allowOverlap="1">
              <wp:simplePos x="0" y="0"/>
              <wp:positionH relativeFrom="page">
                <wp:posOffset>3781425</wp:posOffset>
              </wp:positionH>
              <wp:positionV relativeFrom="page">
                <wp:posOffset>10071100</wp:posOffset>
              </wp:positionV>
              <wp:extent cx="203200" cy="2032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320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910"/>
                            <w:ind w:left="20"/>
                            <w:jc w:val="left"/>
                            <w:spacing w:line="294" w:lineRule="exac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36000" tIns="36000" rIns="36000" bIns="3600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391744;o:allowoverlap:true;o:allowincell:true;mso-position-horizontal-relative:page;margin-left:297.75pt;mso-position-horizontal:absolute;mso-position-vertical-relative:page;margin-top:793.00pt;mso-position-vertical:absolute;width:16.00pt;height:16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910"/>
                      <w:ind w:left="20"/>
                      <w:jc w:val="left"/>
                      <w:spacing w:line="294" w:lineRule="exac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10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579" w:hanging="360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339" w:hanging="36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219" w:hanging="36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099" w:hanging="36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858" w:hanging="36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738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579" w:hanging="360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339" w:hanging="36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219" w:hanging="36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099" w:hanging="36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858" w:hanging="36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738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986" w:hanging="36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986" w:hanging="36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437" w:hanging="420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isLgl w:val="false"/>
      <w:suff w:val="tab"/>
      <w:lvlText w:val="%1.%2"/>
      <w:lvlJc w:val="left"/>
      <w:pPr>
        <w:ind w:left="3437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4651" w:hanging="42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5257" w:hanging="42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5863" w:hanging="42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6469" w:hanging="42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7074" w:hanging="42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7680" w:hanging="42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8286" w:hanging="42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986" w:hanging="36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579" w:hanging="360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339" w:hanging="36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219" w:hanging="36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099" w:hanging="36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858" w:hanging="36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738" w:hanging="36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579" w:hanging="360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459" w:hanging="36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339" w:hanging="36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219" w:hanging="36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099" w:hanging="36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858" w:hanging="36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738" w:hanging="36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5" w:hanging="4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975" w:hanging="437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811" w:hanging="437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647" w:hanging="437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483" w:hanging="437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319" w:hanging="437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6154" w:hanging="437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990" w:hanging="437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826" w:hanging="43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409" w:hanging="70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isLgl w:val="false"/>
      <w:suff w:val="tab"/>
      <w:lvlText w:val="%1.%2"/>
      <w:lvlJc w:val="left"/>
      <w:pPr>
        <w:ind w:left="3409" w:hanging="700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isLgl w:val="false"/>
      <w:suff w:val="tab"/>
      <w:lvlText w:val="%1.%2.%3."/>
      <w:lvlJc w:val="left"/>
      <w:pPr>
        <w:ind w:left="3409" w:hanging="70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5229" w:hanging="70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5839" w:hanging="70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6449" w:hanging="70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7058" w:hanging="70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7668" w:hanging="70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8278" w:hanging="70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4390" w:hanging="70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4390" w:hanging="700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isLgl w:val="false"/>
      <w:suff w:val="tab"/>
      <w:lvlText w:val="%1.%2.%3."/>
      <w:lvlJc w:val="left"/>
      <w:pPr>
        <w:ind w:left="4390" w:hanging="7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5929" w:hanging="70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6439" w:hanging="70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6949" w:hanging="70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7458" w:hanging="70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7968" w:hanging="70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8478" w:hanging="70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5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0"/>
      <w:numFmt w:val="bullet"/>
      <w:isLgl w:val="false"/>
      <w:suff w:val="tab"/>
      <w:lvlText w:val="•"/>
      <w:lvlJc w:val="left"/>
      <w:pPr>
        <w:ind w:left="1975" w:hanging="285"/>
      </w:pPr>
      <w:rPr>
        <w:rFonts w:hint="default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811" w:hanging="285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647" w:hanging="285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483" w:hanging="285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319" w:hanging="285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6154" w:hanging="285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990" w:hanging="285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826" w:hanging="28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isLgl w:val="false"/>
      <w:suff w:val="tab"/>
      <w:lvlText w:val="%2."/>
      <w:lvlJc w:val="left"/>
      <w:pPr>
        <w:ind w:left="1925" w:hanging="3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2">
      <w:start w:val="1"/>
      <w:numFmt w:val="decimal"/>
      <w:isLgl w:val="false"/>
      <w:suff w:val="tab"/>
      <w:lvlText w:val="%2.%3."/>
      <w:lvlJc w:val="left"/>
      <w:pPr>
        <w:ind w:left="2011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2.%3.%4"/>
      <w:lvlJc w:val="left"/>
      <w:pPr>
        <w:ind w:left="4425" w:hanging="6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420" w:hanging="63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266" w:hanging="63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6112" w:hanging="63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959" w:hanging="63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805" w:hanging="63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04" w:hanging="420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isLgl w:val="false"/>
      <w:suff w:val="tab"/>
      <w:lvlText w:val="%1.%2"/>
      <w:lvlJc w:val="left"/>
      <w:pPr>
        <w:ind w:left="704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0"/>
      <w:numFmt w:val="bullet"/>
      <w:isLgl w:val="false"/>
      <w:suff w:val="tab"/>
      <w:lvlText w:val="•"/>
      <w:lvlJc w:val="left"/>
      <w:pPr>
        <w:ind w:left="2459" w:hanging="420"/>
      </w:pPr>
      <w:rPr>
        <w:rFonts w:hint="default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339" w:hanging="42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219" w:hanging="42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099" w:hanging="42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978" w:hanging="42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858" w:hanging="42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738" w:hanging="420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1268" w:hanging="70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isLgl w:val="false"/>
      <w:suff w:val="tab"/>
      <w:lvlText w:val="%1.%2"/>
      <w:lvlJc w:val="left"/>
      <w:pPr>
        <w:ind w:left="1268" w:hanging="700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68" w:hanging="7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731" w:hanging="70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555" w:hanging="70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379" w:hanging="70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6202" w:hanging="70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7026" w:hanging="70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850" w:hanging="70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1268" w:hanging="70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1268" w:hanging="700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isLgl w:val="false"/>
      <w:suff w:val="tab"/>
      <w:lvlText w:val="%1.%2.%3."/>
      <w:lvlJc w:val="left"/>
      <w:pPr>
        <w:ind w:left="1268" w:hanging="7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3731" w:hanging="70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4555" w:hanging="70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5379" w:hanging="70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6202" w:hanging="70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7026" w:hanging="70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850" w:hanging="700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81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isLgl w:val="false"/>
      <w:suff w:val="tab"/>
      <w:lvlText w:val="%1.%2."/>
      <w:lvlJc w:val="left"/>
      <w:pPr>
        <w:ind w:left="774" w:hanging="4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1198" w:hanging="6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3">
      <w:start w:val="0"/>
      <w:numFmt w:val="bullet"/>
      <w:isLgl w:val="false"/>
      <w:suff w:val="tab"/>
      <w:lvlText w:val="•"/>
      <w:lvlJc w:val="left"/>
      <w:pPr>
        <w:ind w:left="2237" w:hanging="630"/>
      </w:pPr>
      <w:rPr>
        <w:rFonts w:hint="default"/>
        <w:lang w:val="ru-RU" w:eastAsia="en-US" w:bidi="ar-SA"/>
      </w:rPr>
    </w:lvl>
    <w:lvl w:ilvl="4">
      <w:start w:val="0"/>
      <w:numFmt w:val="bullet"/>
      <w:isLgl w:val="false"/>
      <w:suff w:val="tab"/>
      <w:lvlText w:val="•"/>
      <w:lvlJc w:val="left"/>
      <w:pPr>
        <w:ind w:left="3274" w:hanging="630"/>
      </w:pPr>
      <w:rPr>
        <w:rFonts w:hint="default"/>
        <w:lang w:val="ru-RU" w:eastAsia="en-US" w:bidi="ar-SA"/>
      </w:rPr>
    </w:lvl>
    <w:lvl w:ilvl="5">
      <w:start w:val="0"/>
      <w:numFmt w:val="bullet"/>
      <w:isLgl w:val="false"/>
      <w:suff w:val="tab"/>
      <w:lvlText w:val="•"/>
      <w:lvlJc w:val="left"/>
      <w:pPr>
        <w:ind w:left="4311" w:hanging="630"/>
      </w:pPr>
      <w:rPr>
        <w:rFonts w:hint="default"/>
        <w:lang w:val="ru-RU" w:eastAsia="en-US" w:bidi="ar-SA"/>
      </w:rPr>
    </w:lvl>
    <w:lvl w:ilvl="6">
      <w:start w:val="0"/>
      <w:numFmt w:val="bullet"/>
      <w:isLgl w:val="false"/>
      <w:suff w:val="tab"/>
      <w:lvlText w:val="•"/>
      <w:lvlJc w:val="left"/>
      <w:pPr>
        <w:ind w:left="5349" w:hanging="630"/>
      </w:pPr>
      <w:rPr>
        <w:rFonts w:hint="default"/>
        <w:lang w:val="ru-RU" w:eastAsia="en-US" w:bidi="ar-SA"/>
      </w:rPr>
    </w:lvl>
    <w:lvl w:ilvl="7">
      <w:start w:val="0"/>
      <w:numFmt w:val="bullet"/>
      <w:isLgl w:val="false"/>
      <w:suff w:val="tab"/>
      <w:lvlText w:val="•"/>
      <w:lvlJc w:val="left"/>
      <w:pPr>
        <w:ind w:left="6386" w:hanging="630"/>
      </w:pPr>
      <w:rPr>
        <w:rFonts w:hint="default"/>
        <w:lang w:val="ru-RU" w:eastAsia="en-US" w:bidi="ar-SA"/>
      </w:rPr>
    </w:lvl>
    <w:lvl w:ilvl="8">
      <w:start w:val="0"/>
      <w:numFmt w:val="bullet"/>
      <w:isLgl w:val="false"/>
      <w:suff w:val="tab"/>
      <w:lvlText w:val="•"/>
      <w:lvlJc w:val="left"/>
      <w:pPr>
        <w:ind w:left="7423" w:hanging="630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7">
    <w:name w:val="Caption Char"/>
    <w:basedOn w:val="903"/>
    <w:link w:val="885"/>
    <w:uiPriority w:val="35"/>
    <w:rPr>
      <w:b/>
      <w:bCs/>
      <w:color w:val="4f81bd" w:themeColor="accent1"/>
      <w:sz w:val="18"/>
      <w:szCs w:val="18"/>
    </w:rPr>
  </w:style>
  <w:style w:type="table" w:styleId="7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Table Grid"/>
    <w:basedOn w:val="72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5">
    <w:name w:val="Table Grid Light"/>
    <w:basedOn w:val="7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7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7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be5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be5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7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7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7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7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7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7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7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blStylePr w:type="band1Horz">
      <w:tcPr>
        <w:shd w:val="clear" w:color="ffffff" w:themeColor="accent1" w:themeTint="75" w:fill="aec5e1" w:themeFill="accent1" w:themeFillTint="75"/>
      </w:tcPr>
    </w:tblStylePr>
    <w:tblStylePr w:type="band1Vert">
      <w:tcPr>
        <w:shd w:val="clear" w:color="ffffff" w:themeColor="accent1" w:themeTint="75" w:fill="aec5e1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blStylePr w:type="band1Horz">
      <w:tcPr>
        <w:shd w:val="clear" w:color="ffffff" w:themeColor="accent2" w:themeTint="75" w:fill="e2afad" w:themeFill="accent2" w:themeFillTint="75"/>
      </w:tcPr>
    </w:tblStylePr>
    <w:tblStylePr w:type="band1Vert">
      <w:tcPr>
        <w:shd w:val="clear" w:color="ffffff" w:themeColor="accent2" w:themeTint="75" w:fill="e2af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blStylePr w:type="band1Horz">
      <w:tcPr>
        <w:shd w:val="clear" w:color="ffffff" w:themeColor="accent3" w:themeTint="75" w:fill="d1e0b3" w:themeFill="accent3" w:themeFillTint="75"/>
      </w:tcPr>
    </w:tblStylePr>
    <w:tblStylePr w:type="band1Vert">
      <w:tcPr>
        <w:shd w:val="clear" w:color="ffffff" w:themeColor="accent3" w:themeTint="75" w:fill="d1e0b3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5b8d4" w:themeFill="accent4" w:themeFillTint="75"/>
      </w:tcPr>
    </w:tblStylePr>
    <w:tblStylePr w:type="band1Vert">
      <w:tcPr>
        <w:shd w:val="clear" w:color="ffffff" w:themeColor="accent4" w:themeTint="75" w:fill="c5b8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cd9e5" w:themeFill="accent5" w:themeFillTint="75"/>
      </w:tcPr>
    </w:tblStylePr>
    <w:tblStylePr w:type="band1Vert">
      <w:tcPr>
        <w:shd w:val="clear" w:color="ffffff" w:themeColor="accent5" w:themeTint="75" w:fill="acd9e5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blStylePr w:type="band1Horz">
      <w:tcPr>
        <w:shd w:val="clear" w:color="ffffff" w:themeColor="accent6" w:themeTint="75" w:fill="fbcfaa" w:themeFill="accent6" w:themeFillTint="75"/>
      </w:tcPr>
    </w:tblStylePr>
    <w:tblStylePr w:type="band1Vert">
      <w:tcPr>
        <w:shd w:val="clear" w:color="ffffff" w:themeColor="accent6" w:themeTint="75" w:fill="fbcf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be5f2" w:themeFill="accent1" w:themeFillTint="34"/>
      </w:tcPr>
    </w:tblStylePr>
    <w:tblStylePr w:type="band1Vert">
      <w:tcPr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6da5" w:themeColor="accent1" w:themeTint="80" w:themeShade="95"/>
      </w:rPr>
    </w:tblStylePr>
    <w:tblStylePr w:type="firstRow">
      <w:rPr>
        <w:b/>
        <w:color w:val="3e6da5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</w:tblStylePr>
    <w:tblStylePr w:type="lastRow">
      <w:rPr>
        <w:b/>
        <w:color w:val="3e6da5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3dddc" w:themeFill="accent2" w:themeFillTint="32"/>
      </w:tcPr>
    </w:tblStylePr>
    <w:tblStylePr w:type="band1Vert">
      <w:tcPr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f3b38" w:themeColor="accent2" w:themeTint="97" w:themeShade="95"/>
      </w:rPr>
    </w:tblStylePr>
    <w:tblStylePr w:type="firstRow">
      <w:rPr>
        <w:b/>
        <w:color w:val="9f3b38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</w:tblStylePr>
    <w:tblStylePr w:type="lastRow">
      <w:rPr>
        <w:b/>
        <w:color w:val="9f3b38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bf1dd" w:themeFill="accent3" w:themeFillTint="34"/>
      </w:tcPr>
    </w:tblStylePr>
    <w:tblStylePr w:type="band1Vert">
      <w:tcPr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d732f" w:themeColor="accent3" w:themeTint="FE" w:themeShade="95"/>
      </w:rPr>
    </w:tblStylePr>
    <w:tblStylePr w:type="firstRow">
      <w:rPr>
        <w:b/>
        <w:color w:val="5d73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</w:tblStylePr>
    <w:tblStylePr w:type="lastRow">
      <w:rPr>
        <w:b/>
        <w:color w:val="5d73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74f84" w:themeColor="accent4" w:themeTint="9A" w:themeShade="95"/>
      </w:rPr>
    </w:tblStylePr>
    <w:tblStylePr w:type="firstRow">
      <w:rPr>
        <w:b/>
        <w:color w:val="674f84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</w:tblStylePr>
    <w:tblStylePr w:type="lastRow">
      <w:rPr>
        <w:b/>
        <w:color w:val="674f84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879" w:themeColor="accent5" w:themeShade="95"/>
      </w:rPr>
    </w:tblStylePr>
    <w:tblStylePr w:type="firstRow">
      <w:rPr>
        <w:b/>
        <w:color w:val="266879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</w:tblStylePr>
    <w:tblStylePr w:type="lastRow">
      <w:rPr>
        <w:b/>
        <w:color w:val="266879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ad9" w:themeFill="accent6" w:themeFillTint="34"/>
      </w:tcPr>
    </w:tblStylePr>
    <w:tblStylePr w:type="band1Vert">
      <w:tcPr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879" w:themeColor="accent5" w:themeShade="95"/>
      </w:rPr>
    </w:tblStylePr>
    <w:tblStylePr w:type="firstRow">
      <w:rPr>
        <w:b/>
        <w:color w:val="266879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</w:tblStylePr>
    <w:tblStylePr w:type="lastRow">
      <w:rPr>
        <w:b/>
        <w:color w:val="266879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6da5" w:themeColor="accent1" w:themeTint="80" w:themeShade="95"/>
        <w:sz w:val="22"/>
      </w:rPr>
      <w:tcPr>
        <w:shd w:val="clear" w:color="ffffff" w:themeColor="accent1" w:themeTint="34" w:fill="dbe5f2" w:themeFill="accent1" w:themeFillTint="34"/>
      </w:tcPr>
    </w:tblStylePr>
    <w:tblStylePr w:type="band1Vert">
      <w:tcPr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f3b38" w:themeColor="accent2" w:themeTint="97" w:themeShade="95"/>
        <w:sz w:val="22"/>
      </w:rPr>
      <w:tcPr>
        <w:shd w:val="clear" w:color="ffffff" w:themeColor="accent2" w:themeTint="32" w:fill="f3dddc" w:themeFill="accent2" w:themeFillTint="32"/>
      </w:tcPr>
    </w:tblStylePr>
    <w:tblStylePr w:type="band1Vert">
      <w:tcPr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d732f" w:themeColor="accent3" w:themeTint="FE" w:themeShade="95"/>
        <w:sz w:val="22"/>
      </w:rPr>
      <w:tcPr>
        <w:shd w:val="clear" w:color="ffffff" w:themeColor="accent3" w:themeTint="34" w:fill="ebf1dd" w:themeFill="accent3" w:themeFillTint="34"/>
      </w:tcPr>
    </w:tblStylePr>
    <w:tblStylePr w:type="band1Vert">
      <w:tcPr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74f84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879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25408" w:themeColor="accent6" w:themeShade="95"/>
        <w:sz w:val="22"/>
      </w:rPr>
      <w:tcPr>
        <w:shd w:val="clear" w:color="ffffff" w:themeColor="accent6" w:themeTint="34" w:fill="fdead9" w:themeFill="accent6" w:themeFillTint="34"/>
      </w:tcPr>
    </w:tblStylePr>
    <w:tblStylePr w:type="band1Vert">
      <w:tcPr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dfee" w:themeFill="accent1" w:themeFillTint="40"/>
      </w:tcPr>
    </w:tblStylePr>
    <w:tblStylePr w:type="band1Vert">
      <w:tcPr>
        <w:shd w:val="clear" w:color="ffffff" w:themeColor="accent1" w:themeTint="40" w:fill="d3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8" w:themeFill="accent4" w:themeFillTint="40"/>
      </w:tcPr>
    </w:tblStylePr>
    <w:tblStylePr w:type="band1Vert">
      <w:tcPr>
        <w:shd w:val="clear" w:color="ffffff" w:themeColor="accent4" w:themeTint="40" w:fill="dfd8e8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2eaf1" w:themeFill="accent5" w:themeFillTint="40"/>
      </w:tcPr>
    </w:tblStylePr>
    <w:tblStylePr w:type="band1Vert">
      <w:tcPr>
        <w:shd w:val="clear" w:color="ffffff" w:themeColor="accent5" w:themeTint="40" w:fill="d2eaf1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de5d1" w:themeFill="accent6" w:themeFillTint="40"/>
      </w:tcPr>
    </w:tblStylePr>
    <w:tblStylePr w:type="band1Vert">
      <w:tcPr>
        <w:shd w:val="clear" w:color="ffffff" w:themeColor="accent6" w:themeTint="40" w:fill="fde5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8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2eaf1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de5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8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2eaf1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de5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blStylePr w:type="band1Horz"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blStylePr w:type="band1Horz"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blStylePr w:type="band1Horz"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blStylePr w:type="band1Horz"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blStylePr w:type="band1Horz"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dfee" w:themeFill="accent1" w:themeFillTint="40"/>
      </w:tcPr>
    </w:tblStylePr>
    <w:tblStylePr w:type="band1Vert">
      <w:tcPr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b4b72" w:themeColor="accent1" w:themeShade="95"/>
      </w:rPr>
    </w:tblStylePr>
    <w:tblStylePr w:type="firstRow">
      <w:rPr>
        <w:b/>
        <w:color w:val="2b4b72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</w:tblStylePr>
    <w:tblStylePr w:type="lastRow">
      <w:rPr>
        <w:b/>
        <w:color w:val="2b4b72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f3b38" w:themeColor="accent2" w:themeTint="97" w:themeShade="95"/>
      </w:rPr>
    </w:tblStylePr>
    <w:tblStylePr w:type="firstRow">
      <w:rPr>
        <w:b/>
        <w:color w:val="9f3b38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</w:tblStylePr>
    <w:tblStylePr w:type="lastRow">
      <w:rPr>
        <w:b/>
        <w:color w:val="9f3b38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a3f" w:themeColor="accent3" w:themeTint="98" w:themeShade="95"/>
      </w:rPr>
    </w:tblStylePr>
    <w:tblStylePr w:type="firstRow">
      <w:rPr>
        <w:b/>
        <w:color w:val="7c9a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</w:tblStylePr>
    <w:tblStylePr w:type="lastRow">
      <w:rPr>
        <w:b/>
        <w:color w:val="7c9a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8" w:themeFill="accent4" w:themeFillTint="40"/>
      </w:tcPr>
    </w:tblStylePr>
    <w:tblStylePr w:type="band1Vert">
      <w:tcPr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74f84" w:themeColor="accent4" w:themeTint="9A" w:themeShade="95"/>
      </w:rPr>
    </w:tblStylePr>
    <w:tblStylePr w:type="firstRow">
      <w:rPr>
        <w:b/>
        <w:color w:val="674f84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</w:tblStylePr>
    <w:tblStylePr w:type="lastRow">
      <w:rPr>
        <w:b/>
        <w:color w:val="674f84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2eaf1" w:themeFill="accent5" w:themeFillTint="40"/>
      </w:tcPr>
    </w:tblStylePr>
    <w:tblStylePr w:type="band1Vert">
      <w:tcPr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48ba3" w:themeColor="accent5" w:themeTint="9A" w:themeShade="95"/>
      </w:rPr>
    </w:tblStylePr>
    <w:tblStylePr w:type="firstRow">
      <w:rPr>
        <w:b/>
        <w:color w:val="348ba3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</w:tblStylePr>
    <w:tblStylePr w:type="lastRow">
      <w:rPr>
        <w:b/>
        <w:color w:val="348ba3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de5d1" w:themeFill="accent6" w:themeFillTint="40"/>
      </w:tcPr>
    </w:tblStylePr>
    <w:tblStylePr w:type="band1Vert">
      <w:tcPr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d690a" w:themeColor="accent6" w:themeTint="98" w:themeShade="95"/>
      </w:rPr>
    </w:tblStylePr>
    <w:tblStylePr w:type="firstRow">
      <w:rPr>
        <w:b/>
        <w:color w:val="dd690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</w:tblStylePr>
    <w:tblStylePr w:type="lastRow">
      <w:rPr>
        <w:b/>
        <w:color w:val="dd690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b4b72" w:themeColor="accent1" w:themeShade="95"/>
        <w:sz w:val="22"/>
      </w:rPr>
      <w:tcPr>
        <w:shd w:val="clear" w:color="ffffff" w:themeColor="accent1" w:themeTint="40" w:fill="d3dfee" w:themeFill="accent1" w:themeFillTint="40"/>
      </w:tcPr>
    </w:tblStylePr>
    <w:tblStylePr w:type="band1Vert">
      <w:tcPr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b4b72" w:themeColor="accent1" w:themeShade="95"/>
        <w:sz w:val="22"/>
      </w:rPr>
    </w:tblStylePr>
  </w:style>
  <w:style w:type="table" w:styleId="824">
    <w:name w:val="List Table 7 Colorful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f3b38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</w:tblStylePr>
  </w:style>
  <w:style w:type="table" w:styleId="825">
    <w:name w:val="List Table 7 Colorful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a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</w:tblStylePr>
  </w:style>
  <w:style w:type="table" w:styleId="826">
    <w:name w:val="List Table 7 Colorful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74f84" w:themeColor="accent4" w:themeTint="9A" w:themeShade="95"/>
        <w:sz w:val="22"/>
      </w:rPr>
      <w:tcPr>
        <w:shd w:val="clear" w:color="ffffff" w:themeColor="accent4" w:themeTint="40" w:fill="dfd8e8" w:themeFill="accent4" w:themeFillTint="40"/>
      </w:tcPr>
    </w:tblStylePr>
    <w:tblStylePr w:type="band1Vert">
      <w:tcPr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</w:tblStylePr>
  </w:style>
  <w:style w:type="table" w:styleId="827">
    <w:name w:val="List Table 7 Colorful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48ba3" w:themeColor="accent5" w:themeTint="9A" w:themeShade="95"/>
        <w:sz w:val="22"/>
      </w:rPr>
      <w:tcPr>
        <w:shd w:val="clear" w:color="ffffff" w:themeColor="accent5" w:themeTint="40" w:fill="d2eaf1" w:themeFill="accent5" w:themeFillTint="40"/>
      </w:tcPr>
    </w:tblStylePr>
    <w:tblStylePr w:type="band1Vert">
      <w:tcPr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</w:tblStylePr>
  </w:style>
  <w:style w:type="table" w:styleId="828">
    <w:name w:val="List Table 7 Colorful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d690a" w:themeColor="accent6" w:themeTint="98" w:themeShade="95"/>
        <w:sz w:val="22"/>
      </w:rPr>
      <w:tcPr>
        <w:shd w:val="clear" w:color="ffffff" w:themeColor="accent6" w:themeTint="40" w:fill="fde5d1" w:themeFill="accent6" w:themeFillTint="40"/>
      </w:tcPr>
    </w:tblStylePr>
    <w:tblStylePr w:type="band1Vert">
      <w:tcPr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</w:tblStylePr>
  </w:style>
  <w:style w:type="table" w:styleId="829">
    <w:name w:val="Lined - Accent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bc2" w:themeFill="accent1" w:themeFillTint="EA"/>
      </w:tcPr>
    </w:tblStylePr>
  </w:style>
  <w:style w:type="table" w:styleId="831">
    <w:name w:val="Lined - Accent 2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a9796" w:themeFill="accent2" w:themeFillTint="97"/>
      </w:tcPr>
    </w:tblStylePr>
  </w:style>
  <w:style w:type="table" w:styleId="832">
    <w:name w:val="Lined - Accent 3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b5a" w:themeFill="accent3" w:themeFillTint="FE"/>
      </w:tcPr>
    </w:tblStylePr>
  </w:style>
  <w:style w:type="table" w:styleId="833">
    <w:name w:val="Lined - Accent 4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7" w:themeFill="accent4" w:themeFillTint="9A"/>
      </w:tcPr>
    </w:tblStylePr>
  </w:style>
  <w:style w:type="table" w:styleId="834">
    <w:name w:val="Lined - Accent 5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5">
    <w:name w:val="Lined - Accent 6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6">
    <w:name w:val="Bordered &amp; Lined - Accent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bc2" w:themeFill="accent1" w:themeFillTint="EA"/>
      </w:tcPr>
    </w:tblStylePr>
  </w:style>
  <w:style w:type="table" w:styleId="838">
    <w:name w:val="Bordered &amp; Lined - Accent 2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a9796" w:themeFill="accent2" w:themeFillTint="97"/>
      </w:tcPr>
    </w:tblStylePr>
  </w:style>
  <w:style w:type="table" w:styleId="839">
    <w:name w:val="Bordered &amp; Lined - Accent 3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b5a" w:themeFill="accent3" w:themeFillTint="FE"/>
      </w:tcPr>
    </w:tblStylePr>
  </w:style>
  <w:style w:type="table" w:styleId="840">
    <w:name w:val="Bordered &amp; Lined - Accent 4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7" w:themeFill="accent4" w:themeFillTint="9A"/>
      </w:tcPr>
    </w:tblStylePr>
  </w:style>
  <w:style w:type="table" w:styleId="841">
    <w:name w:val="Bordered &amp; Lined - Accent 5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2">
    <w:name w:val="Bordered &amp; Lined - Accent 6"/>
    <w:basedOn w:val="7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3">
    <w:name w:val="Bordered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7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50">
    <w:name w:val="Heading 4"/>
    <w:basedOn w:val="906"/>
    <w:next w:val="906"/>
    <w:link w:val="859"/>
    <w:uiPriority w:val="9"/>
    <w:unhideWhenUsed/>
    <w:qFormat/>
    <w:pPr>
      <w:keepLines/>
      <w:keepNext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0"/>
    <w:uiPriority w:val="9"/>
    <w:unhideWhenUsed/>
    <w:qFormat/>
    <w:pPr>
      <w:keepLines/>
      <w:keepNext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1"/>
    <w:uiPriority w:val="9"/>
    <w:unhideWhenUsed/>
    <w:qFormat/>
    <w:pPr>
      <w:keepLines/>
      <w:keepNext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2"/>
    <w:uiPriority w:val="9"/>
    <w:unhideWhenUsed/>
    <w:qFormat/>
    <w:pPr>
      <w:keepLines/>
      <w:keepNext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3"/>
    <w:uiPriority w:val="9"/>
    <w:unhideWhenUsed/>
    <w:qFormat/>
    <w:pPr>
      <w:keepLines/>
      <w:keepNext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4"/>
    <w:uiPriority w:val="9"/>
    <w:unhideWhenUsed/>
    <w:qFormat/>
    <w:pPr>
      <w:keepLines/>
      <w:keepNext/>
      <w:spacing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3"/>
    <w:link w:val="911"/>
    <w:uiPriority w:val="9"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3"/>
    <w:link w:val="912"/>
    <w:uiPriority w:val="9"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3"/>
    <w:link w:val="913"/>
    <w:uiPriority w:val="9"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3"/>
    <w:link w:val="850"/>
    <w:uiPriority w:val="9"/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3"/>
    <w:link w:val="851"/>
    <w:uiPriority w:val="9"/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3"/>
    <w:link w:val="852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3"/>
    <w:link w:val="853"/>
    <w:uiPriority w:val="9"/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3"/>
    <w:link w:val="854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3"/>
    <w:link w:val="855"/>
    <w:uiPriority w:val="9"/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contextualSpacing/>
      <w:spacing w:after="80" w:line="240" w:lineRule="auto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3"/>
    <w:link w:val="865"/>
    <w:uiPriority w:val="10"/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3"/>
    <w:link w:val="867"/>
    <w:uiPriority w:val="11"/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70">
    <w:name w:val="Quote Char"/>
    <w:basedOn w:val="903"/>
    <w:link w:val="869"/>
    <w:uiPriority w:val="29"/>
    <w:rPr>
      <w:i/>
      <w:iCs/>
      <w:color w:val="404040" w:themeColor="text1" w:themeTint="BF"/>
    </w:rPr>
  </w:style>
  <w:style w:type="character" w:styleId="871">
    <w:name w:val="Intense Emphasis"/>
    <w:basedOn w:val="903"/>
    <w:uiPriority w:val="21"/>
    <w:qFormat/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873">
    <w:name w:val="Intense Quote Char"/>
    <w:basedOn w:val="903"/>
    <w:link w:val="872"/>
    <w:uiPriority w:val="30"/>
    <w:rPr>
      <w:i/>
      <w:iCs/>
      <w:color w:val="0f4761" w:themeColor="accent1" w:themeShade="BF"/>
    </w:rPr>
  </w:style>
  <w:style w:type="character" w:styleId="874">
    <w:name w:val="Intense Reference"/>
    <w:basedOn w:val="903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spacing w:after="0" w:line="240" w:lineRule="auto"/>
    </w:pPr>
  </w:style>
  <w:style w:type="character" w:styleId="876">
    <w:name w:val="Subtle Emphasis"/>
    <w:basedOn w:val="903"/>
    <w:uiPriority w:val="19"/>
    <w:qFormat/>
    <w:rPr>
      <w:i/>
      <w:iCs/>
      <w:color w:val="404040" w:themeColor="text1" w:themeTint="BF"/>
    </w:rPr>
  </w:style>
  <w:style w:type="character" w:styleId="877">
    <w:name w:val="Emphasis"/>
    <w:basedOn w:val="903"/>
    <w:uiPriority w:val="20"/>
    <w:qFormat/>
    <w:rPr>
      <w:i/>
      <w:iCs/>
    </w:rPr>
  </w:style>
  <w:style w:type="character" w:styleId="878">
    <w:name w:val="Strong"/>
    <w:basedOn w:val="903"/>
    <w:uiPriority w:val="22"/>
    <w:qFormat/>
    <w:rPr>
      <w:b/>
      <w:bCs/>
    </w:rPr>
  </w:style>
  <w:style w:type="character" w:styleId="879">
    <w:name w:val="Subtle Reference"/>
    <w:basedOn w:val="903"/>
    <w:uiPriority w:val="31"/>
    <w:qFormat/>
    <w:rPr>
      <w:smallCaps/>
      <w:color w:val="5a5a5a" w:themeColor="text1" w:themeTint="A5"/>
    </w:rPr>
  </w:style>
  <w:style w:type="character" w:styleId="880">
    <w:name w:val="Book Title"/>
    <w:basedOn w:val="903"/>
    <w:uiPriority w:val="33"/>
    <w:qFormat/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882">
    <w:name w:val="Header Char"/>
    <w:basedOn w:val="903"/>
    <w:link w:val="881"/>
    <w:uiPriority w:val="99"/>
  </w:style>
  <w:style w:type="paragraph" w:styleId="883">
    <w:name w:val="Footer"/>
    <w:basedOn w:val="906"/>
    <w:link w:val="884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884">
    <w:name w:val="Footer Char"/>
    <w:basedOn w:val="903"/>
    <w:link w:val="883"/>
    <w:uiPriority w:val="99"/>
  </w:style>
  <w:style w:type="paragraph" w:styleId="885">
    <w:name w:val="Caption"/>
    <w:basedOn w:val="906"/>
    <w:next w:val="906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87">
    <w:name w:val="Footnote Text Char"/>
    <w:basedOn w:val="903"/>
    <w:link w:val="886"/>
    <w:uiPriority w:val="99"/>
    <w:semiHidden/>
    <w:rPr>
      <w:sz w:val="20"/>
      <w:szCs w:val="20"/>
    </w:rPr>
  </w:style>
  <w:style w:type="character" w:styleId="888">
    <w:name w:val="footnote reference"/>
    <w:basedOn w:val="903"/>
    <w:uiPriority w:val="99"/>
    <w:semiHidden/>
    <w:unhideWhenUsed/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90">
    <w:name w:val="Endnote Text Char"/>
    <w:basedOn w:val="903"/>
    <w:link w:val="889"/>
    <w:uiPriority w:val="99"/>
    <w:semiHidden/>
    <w:rPr>
      <w:sz w:val="20"/>
      <w:szCs w:val="20"/>
    </w:rPr>
  </w:style>
  <w:style w:type="character" w:styleId="891">
    <w:name w:val="endnote reference"/>
    <w:basedOn w:val="903"/>
    <w:uiPriority w:val="99"/>
    <w:semiHidden/>
    <w:unhideWhenUsed/>
    <w:rPr>
      <w:vertAlign w:val="superscript"/>
    </w:rPr>
  </w:style>
  <w:style w:type="character" w:styleId="892">
    <w:name w:val="Hyperlink"/>
    <w:basedOn w:val="903"/>
    <w:uiPriority w:val="99"/>
    <w:unhideWhenUsed/>
    <w:rPr>
      <w:color w:val="0563c1" w:themeColor="hyperlink"/>
      <w:u w:val="single"/>
    </w:rPr>
  </w:style>
  <w:style w:type="character" w:styleId="893">
    <w:name w:val="FollowedHyperlink"/>
    <w:basedOn w:val="903"/>
    <w:uiPriority w:val="99"/>
    <w:semiHidden/>
    <w:unhideWhenUsed/>
    <w:rPr>
      <w:color w:val="954f72" w:themeColor="followedHyperlink"/>
      <w:u w:val="single"/>
    </w:rPr>
  </w:style>
  <w:style w:type="paragraph" w:styleId="894">
    <w:name w:val="toc 4"/>
    <w:basedOn w:val="906"/>
    <w:next w:val="906"/>
    <w:uiPriority w:val="39"/>
    <w:unhideWhenUsed/>
    <w:pPr>
      <w:ind w:left="660"/>
      <w:spacing w:after="100"/>
    </w:pPr>
  </w:style>
  <w:style w:type="paragraph" w:styleId="895">
    <w:name w:val="toc 5"/>
    <w:basedOn w:val="906"/>
    <w:next w:val="906"/>
    <w:uiPriority w:val="39"/>
    <w:unhideWhenUsed/>
    <w:pPr>
      <w:ind w:left="880"/>
      <w:spacing w:after="100"/>
    </w:pPr>
  </w:style>
  <w:style w:type="paragraph" w:styleId="896">
    <w:name w:val="toc 6"/>
    <w:basedOn w:val="906"/>
    <w:next w:val="906"/>
    <w:uiPriority w:val="39"/>
    <w:unhideWhenUsed/>
    <w:pPr>
      <w:ind w:left="1100"/>
      <w:spacing w:after="100"/>
    </w:pPr>
  </w:style>
  <w:style w:type="paragraph" w:styleId="897">
    <w:name w:val="toc 7"/>
    <w:basedOn w:val="906"/>
    <w:next w:val="906"/>
    <w:uiPriority w:val="39"/>
    <w:unhideWhenUsed/>
    <w:pPr>
      <w:ind w:left="1320"/>
      <w:spacing w:after="100"/>
    </w:pPr>
  </w:style>
  <w:style w:type="paragraph" w:styleId="898">
    <w:name w:val="toc 8"/>
    <w:basedOn w:val="906"/>
    <w:next w:val="906"/>
    <w:uiPriority w:val="39"/>
    <w:unhideWhenUsed/>
    <w:pPr>
      <w:ind w:left="1540"/>
      <w:spacing w:after="100"/>
    </w:pPr>
  </w:style>
  <w:style w:type="paragraph" w:styleId="899">
    <w:name w:val="toc 9"/>
    <w:basedOn w:val="906"/>
    <w:next w:val="906"/>
    <w:uiPriority w:val="39"/>
    <w:unhideWhenUsed/>
    <w:pPr>
      <w:ind w:left="1760"/>
      <w:spacing w:after="100"/>
    </w:pPr>
  </w:style>
  <w:style w:type="character" w:styleId="900">
    <w:name w:val="Placeholder Text"/>
    <w:basedOn w:val="903"/>
    <w:uiPriority w:val="99"/>
    <w:semiHidden/>
    <w:rPr>
      <w:color w:val="666666"/>
    </w:rPr>
  </w:style>
  <w:style w:type="paragraph" w:styleId="901">
    <w:name w:val="TOC Heading"/>
    <w:uiPriority w:val="39"/>
    <w:unhideWhenUsed/>
  </w:style>
  <w:style w:type="paragraph" w:styleId="902">
    <w:name w:val="table of figures"/>
    <w:basedOn w:val="906"/>
    <w:next w:val="906"/>
    <w:uiPriority w:val="99"/>
    <w:unhideWhenUsed/>
    <w:pPr>
      <w:spacing w:after="0" w:afterAutospacing="0"/>
    </w:pPr>
  </w:style>
  <w:style w:type="character" w:styleId="903" w:default="1">
    <w:name w:val="Default Paragraph Font"/>
    <w:uiPriority w:val="1"/>
    <w:semiHidden/>
    <w:unhideWhenUsed/>
  </w:style>
  <w:style w:type="table" w:styleId="904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numbering" w:styleId="905" w:default="1">
    <w:name w:val="No List"/>
    <w:uiPriority w:val="99"/>
    <w:semiHidden/>
    <w:unhideWhenUsed/>
  </w:style>
  <w:style w:type="paragraph" w:styleId="906" w:default="1">
    <w:name w:val="Normal"/>
    <w:uiPriority w:val="1"/>
    <w:qFormat/>
    <w:rPr>
      <w:rFonts w:ascii="Times New Roman" w:hAnsi="Times New Roman" w:eastAsia="Times New Roman" w:cs="Times New Roman"/>
      <w:lang w:val="ru-RU" w:eastAsia="en-US" w:bidi="ar-SA"/>
    </w:rPr>
  </w:style>
  <w:style w:type="paragraph" w:styleId="907">
    <w:name w:val="toc 1"/>
    <w:basedOn w:val="906"/>
    <w:uiPriority w:val="1"/>
    <w:qFormat/>
    <w:pPr>
      <w:ind w:hanging="280"/>
      <w:spacing w:before="18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08">
    <w:name w:val="toc 2"/>
    <w:basedOn w:val="906"/>
    <w:uiPriority w:val="1"/>
    <w:qFormat/>
    <w:pPr>
      <w:ind w:left="773" w:hanging="490"/>
      <w:spacing w:before="18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09">
    <w:name w:val="toc 3"/>
    <w:basedOn w:val="906"/>
    <w:uiPriority w:val="1"/>
    <w:qFormat/>
    <w:pPr>
      <w:ind w:left="1267" w:hanging="700"/>
      <w:spacing w:before="18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10">
    <w:name w:val="Body Text"/>
    <w:basedOn w:val="906"/>
    <w:uiPriority w:val="1"/>
    <w:qFormat/>
    <w:pPr>
      <w:ind w:left="709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11">
    <w:name w:val="Heading 1"/>
    <w:basedOn w:val="906"/>
    <w:uiPriority w:val="1"/>
    <w:qFormat/>
    <w:pPr>
      <w:jc w:val="both"/>
      <w:spacing w:before="22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912">
    <w:name w:val="Heading 2"/>
    <w:basedOn w:val="906"/>
    <w:uiPriority w:val="1"/>
    <w:qFormat/>
    <w:pPr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13">
    <w:name w:val="Heading 3"/>
    <w:basedOn w:val="906"/>
    <w:uiPriority w:val="1"/>
    <w:qFormat/>
    <w:pPr>
      <w:ind w:hanging="700"/>
      <w:jc w:val="both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14">
    <w:name w:val="List Paragraph"/>
    <w:basedOn w:val="906"/>
    <w:uiPriority w:val="1"/>
    <w:qFormat/>
    <w:pPr>
      <w:ind w:left="709" w:hanging="360"/>
      <w:jc w:val="both"/>
      <w:spacing w:before="1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15">
    <w:name w:val="Table Paragraph"/>
    <w:basedOn w:val="906"/>
    <w:uiPriority w:val="1"/>
    <w:qFormat/>
    <w:rPr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github.com/saraalemadi/DroneAudioDataset" TargetMode="External"/><Relationship Id="rId12" Type="http://schemas.openxmlformats.org/officeDocument/2006/relationships/hyperlink" Target="https://www.kaggle.com/datasets/sgluege/noisy-drone-rf-signal-classification" TargetMode="External"/><Relationship Id="rId13" Type="http://schemas.openxmlformats.org/officeDocument/2006/relationships/hyperlink" Target="https://github.com/ultralytics/yolov5" TargetMode="External"/><Relationship Id="rId14" Type="http://schemas.openxmlformats.org/officeDocument/2006/relationships/hyperlink" Target="https://github.com/ultralytics/ultralytics" TargetMode="External"/><Relationship Id="rId15" Type="http://schemas.openxmlformats.org/officeDocument/2006/relationships/hyperlink" Target="https://www.kaggle.com/datasets/iroldan/real-doppler-raddar-database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2026-05-31T17:21:00Z</dcterms:created>
  <dcterms:modified xsi:type="dcterms:W3CDTF">2026-06-02T12:22:53Z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Р7-Офис/2024.4.2.721</vt:lpwstr>
  </property>
  <property fmtid="{D5CDD505-2E9C-101B-9397-08002B2CF9AE}" pid="4" name="LastSaved">
    <vt:filetime>2026-05-31T00:00:00Z</vt:filetime>
  </property>
  <property fmtid="{D5CDD505-2E9C-101B-9397-08002B2CF9AE}" pid="5" name="Producer">
    <vt:lpwstr>Р7-Офис/2024.4.2.721</vt:lpwstr>
  </property>
</Properties>
</file>