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F279" w14:textId="77777777" w:rsidR="006F48BF" w:rsidRDefault="006F48BF" w:rsidP="006F48BF">
      <w:pPr>
        <w:pStyle w:val="CoverText"/>
        <w:rPr>
          <w:b/>
          <w:spacing w:val="-3"/>
        </w:rPr>
      </w:pPr>
      <w:r>
        <w:t>Case No: HQ12X00979</w:t>
      </w:r>
    </w:p>
    <w:p w14:paraId="0F42F097" w14:textId="77777777" w:rsidR="005E2342" w:rsidRDefault="005E2342">
      <w:pPr>
        <w:pStyle w:val="CoverText"/>
        <w:jc w:val="left"/>
        <w:rPr>
          <w:bCs/>
          <w:sz w:val="20"/>
          <w:u w:val="none"/>
        </w:rPr>
      </w:pPr>
      <w:r>
        <w:rPr>
          <w:bCs/>
        </w:rPr>
        <w:t xml:space="preserve">Neutral Citation Number: </w:t>
      </w:r>
      <w:r w:rsidR="00D01AE0">
        <w:rPr>
          <w:bCs/>
        </w:rPr>
        <w:t>[2012] EWHC 572 (QB)</w:t>
      </w:r>
    </w:p>
    <w:p w14:paraId="16148229"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2BD2264E" w14:textId="77777777" w:rsidR="005E2342" w:rsidRDefault="00A13DBC">
      <w:pPr>
        <w:suppressAutoHyphens/>
        <w:rPr>
          <w:b/>
          <w:spacing w:val="-3"/>
          <w:u w:val="single"/>
        </w:rPr>
      </w:pPr>
      <w:r>
        <w:rPr>
          <w:b/>
          <w:spacing w:val="-3"/>
          <w:u w:val="single"/>
        </w:rPr>
        <w:t>QUEEN'S BENCH DIVISION</w:t>
      </w:r>
    </w:p>
    <w:p w14:paraId="381435C9" w14:textId="77777777" w:rsidR="005E2342" w:rsidRDefault="005E2342">
      <w:pPr>
        <w:suppressAutoHyphens/>
        <w:rPr>
          <w:b/>
          <w:spacing w:val="-3"/>
          <w:u w:val="single"/>
        </w:rPr>
      </w:pPr>
    </w:p>
    <w:p w14:paraId="7A602360" w14:textId="77777777" w:rsidR="005E2342" w:rsidRDefault="005E2342">
      <w:pPr>
        <w:pStyle w:val="CoverText"/>
      </w:pPr>
      <w:r>
        <w:t>Royal Courts of Justice</w:t>
      </w:r>
    </w:p>
    <w:p w14:paraId="553A2564" w14:textId="77777777" w:rsidR="005E2342" w:rsidRDefault="005E2342">
      <w:pPr>
        <w:pStyle w:val="CoverText"/>
      </w:pPr>
      <w:r>
        <w:t xml:space="preserve">Strand, </w:t>
      </w:r>
      <w:smartTag w:uri="urn:schemas-microsoft-com:office:smarttags" w:element="place">
        <w:smartTag w:uri="urn:schemas-microsoft-com:office:smarttags" w:element="City">
          <w:r>
            <w:t>London</w:t>
          </w:r>
        </w:smartTag>
        <w:r>
          <w:t xml:space="preserve">, </w:t>
        </w:r>
        <w:smartTag w:uri="urn:schemas-microsoft-com:office:smarttags" w:element="PostalCode">
          <w:r>
            <w:t>WC2A 2LL</w:t>
          </w:r>
        </w:smartTag>
      </w:smartTag>
    </w:p>
    <w:p w14:paraId="32B94F8F" w14:textId="77777777" w:rsidR="005E2342" w:rsidRDefault="005E2342">
      <w:pPr>
        <w:suppressAutoHyphens/>
        <w:jc w:val="right"/>
        <w:rPr>
          <w:spacing w:val="-3"/>
          <w:u w:val="single"/>
        </w:rPr>
      </w:pPr>
    </w:p>
    <w:p w14:paraId="0A2DFFD0" w14:textId="77777777" w:rsidR="005E2342" w:rsidRDefault="005E2342">
      <w:pPr>
        <w:pStyle w:val="CoverText"/>
        <w:rPr>
          <w:b/>
        </w:rPr>
      </w:pPr>
      <w:r>
        <w:t xml:space="preserve">Date: </w:t>
      </w:r>
      <w:r w:rsidR="00F7137F">
        <w:t>12/03/2012</w:t>
      </w:r>
    </w:p>
    <w:p w14:paraId="21BB8064" w14:textId="77777777" w:rsidR="005E2342" w:rsidRDefault="005E2342">
      <w:pPr>
        <w:suppressAutoHyphens/>
        <w:rPr>
          <w:spacing w:val="-3"/>
        </w:rPr>
      </w:pPr>
    </w:p>
    <w:p w14:paraId="31394E27" w14:textId="77777777" w:rsidR="005E2342" w:rsidRDefault="005E2342">
      <w:pPr>
        <w:suppressAutoHyphens/>
        <w:jc w:val="center"/>
        <w:rPr>
          <w:spacing w:val="-3"/>
        </w:rPr>
      </w:pPr>
      <w:r>
        <w:rPr>
          <w:b/>
          <w:spacing w:val="-3"/>
        </w:rPr>
        <w:t>Before</w:t>
      </w:r>
      <w:r>
        <w:rPr>
          <w:spacing w:val="-3"/>
        </w:rPr>
        <w:t xml:space="preserve"> :</w:t>
      </w:r>
    </w:p>
    <w:p w14:paraId="7E77EF21" w14:textId="77777777" w:rsidR="005E2342" w:rsidRDefault="005E2342">
      <w:pPr>
        <w:suppressAutoHyphens/>
        <w:jc w:val="center"/>
        <w:rPr>
          <w:spacing w:val="-3"/>
        </w:rPr>
      </w:pPr>
    </w:p>
    <w:p w14:paraId="5A1DB155" w14:textId="77777777" w:rsidR="005E2342" w:rsidRDefault="00A13D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The Honourable Mrs Justice Sharp</w:t>
      </w:r>
    </w:p>
    <w:p w14:paraId="4028FCE5" w14:textId="77777777" w:rsidR="005E2342" w:rsidRDefault="005E2342">
      <w:pPr>
        <w:suppressAutoHyphens/>
        <w:jc w:val="center"/>
        <w:rPr>
          <w:spacing w:val="-3"/>
        </w:rPr>
      </w:pPr>
      <w:r>
        <w:rPr>
          <w:spacing w:val="-3"/>
        </w:rPr>
        <w:t>- - - - - - - - - - - - - - - - - - - - -</w:t>
      </w:r>
    </w:p>
    <w:p w14:paraId="7F7AB00F" w14:textId="77777777" w:rsidR="005E2342" w:rsidRDefault="005E2342">
      <w:pPr>
        <w:suppressAutoHyphens/>
        <w:jc w:val="center"/>
        <w:rPr>
          <w:b/>
          <w:spacing w:val="-3"/>
        </w:rPr>
      </w:pPr>
      <w:r>
        <w:rPr>
          <w:b/>
          <w:spacing w:val="-3"/>
        </w:rPr>
        <w:t>Between :</w:t>
      </w:r>
    </w:p>
    <w:p w14:paraId="20C12B9C"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25F74951" w14:textId="77777777">
        <w:tblPrEx>
          <w:tblCellMar>
            <w:top w:w="0" w:type="dxa"/>
            <w:bottom w:w="0" w:type="dxa"/>
          </w:tblCellMar>
        </w:tblPrEx>
        <w:trPr>
          <w:jc w:val="center"/>
        </w:trPr>
        <w:tc>
          <w:tcPr>
            <w:tcW w:w="1701" w:type="dxa"/>
          </w:tcPr>
          <w:p w14:paraId="2DB2B266" w14:textId="77777777" w:rsidR="005E2342" w:rsidRDefault="005E2342">
            <w:pPr>
              <w:suppressAutoHyphens/>
              <w:rPr>
                <w:b/>
                <w:spacing w:val="-3"/>
              </w:rPr>
            </w:pPr>
          </w:p>
        </w:tc>
        <w:tc>
          <w:tcPr>
            <w:tcW w:w="5333" w:type="dxa"/>
          </w:tcPr>
          <w:p w14:paraId="3B72CBC5" w14:textId="77777777" w:rsidR="005E2342" w:rsidRDefault="00A13DBC">
            <w:pPr>
              <w:suppressAutoHyphens/>
              <w:jc w:val="center"/>
              <w:rPr>
                <w:b/>
                <w:spacing w:val="-3"/>
              </w:rPr>
            </w:pPr>
            <w:r>
              <w:rPr>
                <w:b/>
                <w:spacing w:val="-3"/>
              </w:rPr>
              <w:t>British Pregnancy Advisory Service</w:t>
            </w:r>
          </w:p>
        </w:tc>
        <w:tc>
          <w:tcPr>
            <w:tcW w:w="1707" w:type="dxa"/>
          </w:tcPr>
          <w:p w14:paraId="3E0020CE" w14:textId="77777777" w:rsidR="005E2342" w:rsidRDefault="00A13D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7944D85D" w14:textId="77777777">
        <w:tblPrEx>
          <w:tblCellMar>
            <w:top w:w="0" w:type="dxa"/>
            <w:bottom w:w="0" w:type="dxa"/>
          </w:tblCellMar>
        </w:tblPrEx>
        <w:trPr>
          <w:jc w:val="center"/>
        </w:trPr>
        <w:tc>
          <w:tcPr>
            <w:tcW w:w="1701" w:type="dxa"/>
          </w:tcPr>
          <w:p w14:paraId="1AC47109" w14:textId="77777777" w:rsidR="005E2342" w:rsidRDefault="005E2342">
            <w:pPr>
              <w:suppressAutoHyphens/>
              <w:rPr>
                <w:b/>
                <w:spacing w:val="-3"/>
              </w:rPr>
            </w:pPr>
          </w:p>
        </w:tc>
        <w:tc>
          <w:tcPr>
            <w:tcW w:w="5333" w:type="dxa"/>
          </w:tcPr>
          <w:p w14:paraId="7D311A1E" w14:textId="77777777" w:rsidR="005E2342" w:rsidRDefault="005E2342">
            <w:pPr>
              <w:suppressAutoHyphens/>
              <w:jc w:val="center"/>
              <w:rPr>
                <w:b/>
                <w:spacing w:val="-3"/>
              </w:rPr>
            </w:pPr>
            <w:r>
              <w:rPr>
                <w:b/>
                <w:spacing w:val="-3"/>
              </w:rPr>
              <w:t>- and -</w:t>
            </w:r>
          </w:p>
        </w:tc>
        <w:tc>
          <w:tcPr>
            <w:tcW w:w="1707" w:type="dxa"/>
          </w:tcPr>
          <w:p w14:paraId="5FC3E569"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02B67F01" w14:textId="77777777">
        <w:tblPrEx>
          <w:tblCellMar>
            <w:top w:w="0" w:type="dxa"/>
            <w:bottom w:w="0" w:type="dxa"/>
          </w:tblCellMar>
        </w:tblPrEx>
        <w:trPr>
          <w:jc w:val="center"/>
        </w:trPr>
        <w:tc>
          <w:tcPr>
            <w:tcW w:w="1701" w:type="dxa"/>
          </w:tcPr>
          <w:p w14:paraId="612D6537" w14:textId="77777777" w:rsidR="005E2342" w:rsidRDefault="005E2342">
            <w:pPr>
              <w:suppressAutoHyphens/>
              <w:rPr>
                <w:b/>
                <w:spacing w:val="-3"/>
              </w:rPr>
            </w:pPr>
          </w:p>
        </w:tc>
        <w:tc>
          <w:tcPr>
            <w:tcW w:w="5333" w:type="dxa"/>
          </w:tcPr>
          <w:p w14:paraId="2590CB85" w14:textId="77777777" w:rsidR="00A13DBC" w:rsidRPr="000E54C3" w:rsidRDefault="00A13DBC" w:rsidP="00A13DBC">
            <w:pPr>
              <w:pStyle w:val="Default"/>
              <w:jc w:val="center"/>
              <w:rPr>
                <w:b/>
              </w:rPr>
            </w:pPr>
            <w:r w:rsidRPr="000E54C3">
              <w:rPr>
                <w:b/>
              </w:rPr>
              <w:t xml:space="preserve">The Person using the Alias “Pablo Escobar” </w:t>
            </w:r>
          </w:p>
          <w:p w14:paraId="3EDC6D4E" w14:textId="77777777" w:rsidR="005E2342" w:rsidRDefault="005E2342">
            <w:pPr>
              <w:suppressAutoHyphens/>
              <w:jc w:val="center"/>
              <w:rPr>
                <w:b/>
                <w:spacing w:val="-3"/>
              </w:rPr>
            </w:pPr>
          </w:p>
        </w:tc>
        <w:tc>
          <w:tcPr>
            <w:tcW w:w="1707" w:type="dxa"/>
          </w:tcPr>
          <w:p w14:paraId="295A27D2" w14:textId="77777777" w:rsidR="005E2342" w:rsidRDefault="00A13D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bl>
    <w:p w14:paraId="2E33096E" w14:textId="77777777" w:rsidR="005E2342" w:rsidRDefault="005E2342">
      <w:pPr>
        <w:suppressAutoHyphens/>
        <w:rPr>
          <w:b/>
          <w:spacing w:val="-3"/>
        </w:rPr>
      </w:pPr>
    </w:p>
    <w:p w14:paraId="76FD800D" w14:textId="77777777" w:rsidR="005E2342" w:rsidRDefault="005E2342">
      <w:pPr>
        <w:suppressAutoHyphens/>
        <w:jc w:val="center"/>
        <w:rPr>
          <w:spacing w:val="-3"/>
        </w:rPr>
      </w:pPr>
      <w:r>
        <w:rPr>
          <w:spacing w:val="-3"/>
        </w:rPr>
        <w:t>- - - - - - - - - - - - - - - - - - - - -</w:t>
      </w:r>
    </w:p>
    <w:p w14:paraId="76266150" w14:textId="77777777" w:rsidR="005E2342" w:rsidRDefault="005E2342">
      <w:pPr>
        <w:suppressAutoHyphens/>
        <w:jc w:val="center"/>
        <w:rPr>
          <w:spacing w:val="-3"/>
        </w:rPr>
      </w:pPr>
      <w:r>
        <w:rPr>
          <w:spacing w:val="-3"/>
        </w:rPr>
        <w:t>- - - - - - - - - - - - - - - - - - - - -</w:t>
      </w:r>
    </w:p>
    <w:p w14:paraId="39703E29" w14:textId="77777777" w:rsidR="005E2342" w:rsidRDefault="005E2342">
      <w:pPr>
        <w:suppressAutoHyphens/>
        <w:jc w:val="center"/>
        <w:rPr>
          <w:spacing w:val="-3"/>
        </w:rPr>
      </w:pPr>
    </w:p>
    <w:p w14:paraId="220D8DBA" w14:textId="77777777" w:rsidR="005E2342" w:rsidRDefault="00A13DBC">
      <w:pPr>
        <w:suppressAutoHyphens/>
        <w:jc w:val="center"/>
        <w:rPr>
          <w:b/>
          <w:bCs/>
          <w:spacing w:val="-3"/>
        </w:rPr>
      </w:pPr>
      <w:r>
        <w:rPr>
          <w:b/>
          <w:spacing w:val="-3"/>
        </w:rPr>
        <w:t>Manuel Barca QC</w:t>
      </w:r>
      <w:r w:rsidR="005E2342">
        <w:rPr>
          <w:b/>
          <w:spacing w:val="-3"/>
        </w:rPr>
        <w:t xml:space="preserve"> </w:t>
      </w:r>
      <w:r w:rsidR="005E2342">
        <w:rPr>
          <w:bCs/>
          <w:spacing w:val="-3"/>
        </w:rPr>
        <w:t>(instructed by</w:t>
      </w:r>
      <w:r w:rsidR="005E2342">
        <w:rPr>
          <w:b/>
          <w:spacing w:val="-3"/>
        </w:rPr>
        <w:t xml:space="preserve"> </w:t>
      </w:r>
      <w:r>
        <w:rPr>
          <w:b/>
          <w:spacing w:val="-3"/>
        </w:rPr>
        <w:t>Olswang</w:t>
      </w:r>
      <w:r w:rsidR="005E7929">
        <w:rPr>
          <w:b/>
          <w:spacing w:val="-3"/>
        </w:rPr>
        <w:t xml:space="preserve"> LLP</w:t>
      </w:r>
      <w:r w:rsidR="005E2342">
        <w:rPr>
          <w:bCs/>
          <w:spacing w:val="-3"/>
        </w:rPr>
        <w:t>) for the</w:t>
      </w:r>
      <w:r w:rsidR="005E2342">
        <w:rPr>
          <w:spacing w:val="-3"/>
        </w:rPr>
        <w:t xml:space="preserve"> </w:t>
      </w:r>
      <w:r>
        <w:rPr>
          <w:b/>
          <w:bCs/>
          <w:spacing w:val="-3"/>
        </w:rPr>
        <w:t>Claimant</w:t>
      </w:r>
    </w:p>
    <w:p w14:paraId="7D02E272" w14:textId="77777777" w:rsidR="00B51C40" w:rsidRPr="00B51C40" w:rsidRDefault="00B51C40">
      <w:pPr>
        <w:suppressAutoHyphens/>
        <w:jc w:val="center"/>
        <w:rPr>
          <w:spacing w:val="-3"/>
        </w:rPr>
      </w:pPr>
      <w:r w:rsidRPr="00B51C40">
        <w:rPr>
          <w:bCs/>
          <w:spacing w:val="-3"/>
        </w:rPr>
        <w:t>The Defendant</w:t>
      </w:r>
      <w:r>
        <w:rPr>
          <w:b/>
          <w:bCs/>
          <w:spacing w:val="-3"/>
        </w:rPr>
        <w:t xml:space="preserve"> </w:t>
      </w:r>
      <w:r>
        <w:rPr>
          <w:bCs/>
          <w:spacing w:val="-3"/>
        </w:rPr>
        <w:t xml:space="preserve">was not present or represented </w:t>
      </w:r>
    </w:p>
    <w:p w14:paraId="72B6335C" w14:textId="77777777" w:rsidR="005E2342" w:rsidRDefault="005E2342">
      <w:pPr>
        <w:suppressAutoHyphens/>
        <w:jc w:val="center"/>
        <w:rPr>
          <w:b/>
          <w:spacing w:val="-3"/>
        </w:rPr>
      </w:pPr>
    </w:p>
    <w:p w14:paraId="52DD4BAE" w14:textId="77777777" w:rsidR="005E2342" w:rsidRDefault="00B51C40">
      <w:pPr>
        <w:suppressAutoHyphens/>
        <w:jc w:val="center"/>
        <w:rPr>
          <w:spacing w:val="-3"/>
        </w:rPr>
      </w:pPr>
      <w:r>
        <w:rPr>
          <w:spacing w:val="-3"/>
        </w:rPr>
        <w:t>Hearing date</w:t>
      </w:r>
      <w:r w:rsidR="005E2342">
        <w:rPr>
          <w:spacing w:val="-3"/>
        </w:rPr>
        <w:t xml:space="preserve">: </w:t>
      </w:r>
      <w:r w:rsidR="00A13DBC">
        <w:rPr>
          <w:spacing w:val="-3"/>
        </w:rPr>
        <w:t>8 March 2012</w:t>
      </w:r>
    </w:p>
    <w:p w14:paraId="0EAD2469" w14:textId="77777777" w:rsidR="005E2342" w:rsidRDefault="005E2342">
      <w:pPr>
        <w:suppressAutoHyphens/>
        <w:jc w:val="center"/>
        <w:rPr>
          <w:spacing w:val="-3"/>
        </w:rPr>
      </w:pPr>
      <w:r>
        <w:rPr>
          <w:spacing w:val="-3"/>
        </w:rPr>
        <w:t>- - - - - - - - - - - - - - - - - - - - -</w:t>
      </w:r>
    </w:p>
    <w:p w14:paraId="235A8D96" w14:textId="77777777" w:rsidR="005E2342" w:rsidRDefault="00590402" w:rsidP="006F48BF">
      <w:pPr>
        <w:jc w:val="center"/>
        <w:sectPr w:rsidR="005E2342">
          <w:footerReference w:type="default" r:id="rId7"/>
          <w:pgSz w:w="11909" w:h="16834" w:code="9"/>
          <w:pgMar w:top="720" w:right="1440" w:bottom="720" w:left="1440" w:header="720" w:footer="720" w:gutter="0"/>
          <w:pgNumType w:start="1"/>
          <w:cols w:space="720"/>
        </w:sectPr>
      </w:pPr>
      <w:r>
        <w:t>Judgment</w:t>
      </w:r>
    </w:p>
    <w:p w14:paraId="63F68B3B" w14:textId="77777777" w:rsidR="00A13DBC" w:rsidRPr="004E3FC8" w:rsidRDefault="00B51C40" w:rsidP="00B51C40">
      <w:pPr>
        <w:spacing w:after="240"/>
        <w:rPr>
          <w:b/>
        </w:rPr>
      </w:pPr>
      <w:r>
        <w:rPr>
          <w:b/>
        </w:rPr>
        <w:lastRenderedPageBreak/>
        <w:t xml:space="preserve">The Honourable </w:t>
      </w:r>
      <w:r w:rsidR="00A13DBC" w:rsidRPr="004E3FC8">
        <w:rPr>
          <w:b/>
        </w:rPr>
        <w:t>Mrs Justice Sharp</w:t>
      </w:r>
      <w:r w:rsidR="005E2342" w:rsidRPr="004E3FC8">
        <w:rPr>
          <w:b/>
        </w:rPr>
        <w:t xml:space="preserve"> : </w:t>
      </w:r>
    </w:p>
    <w:p w14:paraId="04484B2D" w14:textId="77777777" w:rsidR="00A13DBC" w:rsidRDefault="00A13DBC" w:rsidP="00B51C40">
      <w:pPr>
        <w:pStyle w:val="ParaLevel1"/>
      </w:pPr>
      <w:r>
        <w:t xml:space="preserve">The </w:t>
      </w:r>
      <w:r w:rsidR="004E3FC8">
        <w:t xml:space="preserve">Claimant </w:t>
      </w:r>
      <w:r>
        <w:t>is</w:t>
      </w:r>
      <w:r w:rsidR="00D01AE0">
        <w:t xml:space="preserve"> a</w:t>
      </w:r>
      <w:r>
        <w:t xml:space="preserve"> charity specialising in the provision of information relating to contraception and associated matters. </w:t>
      </w:r>
    </w:p>
    <w:p w14:paraId="6478B0AC" w14:textId="77777777" w:rsidR="00A13DBC" w:rsidRDefault="00A13DBC" w:rsidP="00B51C40">
      <w:pPr>
        <w:pStyle w:val="ParaLevel1"/>
      </w:pPr>
      <w:r>
        <w:t xml:space="preserve">On the evening of </w:t>
      </w:r>
      <w:r w:rsidR="008622C7">
        <w:t xml:space="preserve">Thursday </w:t>
      </w:r>
      <w:r>
        <w:t>8</w:t>
      </w:r>
      <w:r w:rsidR="009776E4" w:rsidRPr="009776E4">
        <w:rPr>
          <w:vertAlign w:val="superscript"/>
        </w:rPr>
        <w:t>th</w:t>
      </w:r>
      <w:r>
        <w:t xml:space="preserve"> March 2012 I heard an application by</w:t>
      </w:r>
      <w:r w:rsidR="008622C7">
        <w:t xml:space="preserve"> the Claimant </w:t>
      </w:r>
      <w:r w:rsidR="004E3FC8">
        <w:t xml:space="preserve">before the issue of proceedings </w:t>
      </w:r>
      <w:r>
        <w:t xml:space="preserve">to protect </w:t>
      </w:r>
      <w:r w:rsidR="008622C7">
        <w:t xml:space="preserve">their </w:t>
      </w:r>
      <w:r>
        <w:t>private and confidential information following a cyber attack made on the</w:t>
      </w:r>
      <w:r w:rsidR="008622C7">
        <w:t>ir</w:t>
      </w:r>
      <w:r>
        <w:t xml:space="preserve"> website, as a result of which </w:t>
      </w:r>
      <w:r w:rsidR="008622C7">
        <w:t xml:space="preserve">I made </w:t>
      </w:r>
      <w:r>
        <w:t>an I</w:t>
      </w:r>
      <w:r w:rsidR="008622C7">
        <w:t>nterim Non-Disclosure Order</w:t>
      </w:r>
      <w:r w:rsidR="00BF0316">
        <w:t xml:space="preserve">. </w:t>
      </w:r>
      <w:r>
        <w:t xml:space="preserve">The application was heard in private, and judgment was given in private. A private hearing was strictly necessary because of the need for investigations and steps </w:t>
      </w:r>
      <w:r w:rsidR="008622C7">
        <w:t xml:space="preserve">to be taken in the light of those </w:t>
      </w:r>
      <w:r>
        <w:t>investigation</w:t>
      </w:r>
      <w:r w:rsidR="008622C7">
        <w:t>s</w:t>
      </w:r>
      <w:r>
        <w:t xml:space="preserve">.  </w:t>
      </w:r>
    </w:p>
    <w:p w14:paraId="051EA096" w14:textId="77777777" w:rsidR="00A13DBC" w:rsidRDefault="00A13DBC" w:rsidP="00B51C40">
      <w:pPr>
        <w:pStyle w:val="ParaLevel1"/>
      </w:pPr>
      <w:r>
        <w:t xml:space="preserve">The reasons in summary for making the order were as follows: </w:t>
      </w:r>
    </w:p>
    <w:p w14:paraId="030355C4" w14:textId="77777777" w:rsidR="00A13DBC" w:rsidRDefault="00A13DBC" w:rsidP="00B51C40">
      <w:pPr>
        <w:pStyle w:val="ParaLevel2"/>
      </w:pPr>
      <w:r>
        <w:t>The Claimant’s computer systems had come under a concerted attack during the previous night with over 26,000 attempts made to break into its website;</w:t>
      </w:r>
    </w:p>
    <w:p w14:paraId="31FDE751" w14:textId="77777777" w:rsidR="00A13DBC" w:rsidRDefault="00A13DBC" w:rsidP="00B51C40">
      <w:pPr>
        <w:pStyle w:val="ParaLevel2"/>
      </w:pPr>
      <w:r>
        <w:t xml:space="preserve">It appeared that a person using the alias Pablo Escobar (PE) was or might be responsible, that PE had obtained details of those who had contacted </w:t>
      </w:r>
      <w:r w:rsidR="008622C7">
        <w:t xml:space="preserve">the Claimant </w:t>
      </w:r>
      <w:r>
        <w:t>through its website</w:t>
      </w:r>
      <w:r w:rsidR="00BF0316">
        <w:t xml:space="preserve"> </w:t>
      </w:r>
      <w:r>
        <w:t>and intended to disclose</w:t>
      </w:r>
      <w:r w:rsidR="00BF0316">
        <w:t xml:space="preserve"> </w:t>
      </w:r>
      <w:r w:rsidR="00B609D0">
        <w:t>those details (“the information”)</w:t>
      </w:r>
      <w:r w:rsidR="00D01AE0">
        <w:t>;</w:t>
      </w:r>
    </w:p>
    <w:p w14:paraId="749FE139" w14:textId="77777777" w:rsidR="00A13DBC" w:rsidRDefault="00A13DBC" w:rsidP="00B51C40">
      <w:pPr>
        <w:pStyle w:val="ParaLevel2"/>
      </w:pPr>
      <w:r>
        <w:t xml:space="preserve">The police had been informed and the Claimant was in the process of notifying the Information Commissioner. The police were taking active steps to try and trace the identity of PE. </w:t>
      </w:r>
    </w:p>
    <w:p w14:paraId="34902D89" w14:textId="77777777" w:rsidR="00A13DBC" w:rsidRDefault="00A13DBC" w:rsidP="00B51C40">
      <w:pPr>
        <w:pStyle w:val="ParaLevel1"/>
      </w:pPr>
      <w:r>
        <w:t>I considered the Claimant was likely to establish at trial that the information was private and confidential,</w:t>
      </w:r>
      <w:r w:rsidR="00976012">
        <w:t xml:space="preserve"> that it</w:t>
      </w:r>
      <w:r>
        <w:t xml:space="preserve"> had been unlawfully obtained and that publication of it should not be allowed. I also considered there were compelling reasons for not contacting or endeavouring to contact PE in advance of the hearing in the light of the way the inf</w:t>
      </w:r>
      <w:r w:rsidR="009B7C4D">
        <w:t xml:space="preserve">ormation had been obtained, </w:t>
      </w:r>
      <w:r w:rsidR="008622C7">
        <w:t xml:space="preserve">and </w:t>
      </w:r>
      <w:r>
        <w:t xml:space="preserve">the evidence of what PE intended to do; </w:t>
      </w:r>
      <w:r w:rsidR="008622C7">
        <w:t xml:space="preserve">and </w:t>
      </w:r>
      <w:r>
        <w:t>the</w:t>
      </w:r>
      <w:r w:rsidR="008622C7">
        <w:t xml:space="preserve"> requirements</w:t>
      </w:r>
      <w:r>
        <w:t xml:space="preserve"> of section 12 (2) of the Human Rights Act 1998 were </w:t>
      </w:r>
      <w:r w:rsidR="008622C7">
        <w:t xml:space="preserve">therefore </w:t>
      </w:r>
      <w:r>
        <w:t xml:space="preserve">satisfied. </w:t>
      </w:r>
    </w:p>
    <w:p w14:paraId="1A2FB4EB" w14:textId="77777777" w:rsidR="00A13DBC" w:rsidRDefault="00A13DBC" w:rsidP="00B51C40">
      <w:pPr>
        <w:pStyle w:val="ParaLevel1"/>
      </w:pPr>
      <w:r>
        <w:t xml:space="preserve">An order for a short period was asked for and granted to prevent the use of that information by PE, to enable the police to conduct their investigations and so the Claimant could contact those who might be affected by PE’s activities. </w:t>
      </w:r>
    </w:p>
    <w:p w14:paraId="333C4E2C" w14:textId="77777777" w:rsidR="001B1E85" w:rsidRPr="00A13DBC" w:rsidRDefault="001B1E85" w:rsidP="00B51C40">
      <w:pPr>
        <w:pStyle w:val="ParaLevel1"/>
      </w:pPr>
      <w:r>
        <w:t>As was widely reported over the weekend, a person was arrested</w:t>
      </w:r>
      <w:r w:rsidR="008622C7">
        <w:t xml:space="preserve"> on</w:t>
      </w:r>
      <w:r>
        <w:t xml:space="preserve"> Friday </w:t>
      </w:r>
      <w:r w:rsidR="008622C7">
        <w:t>9</w:t>
      </w:r>
      <w:r w:rsidR="008622C7" w:rsidRPr="008622C7">
        <w:rPr>
          <w:vertAlign w:val="superscript"/>
        </w:rPr>
        <w:t>th</w:t>
      </w:r>
      <w:r w:rsidR="008622C7">
        <w:t xml:space="preserve"> March </w:t>
      </w:r>
      <w:r>
        <w:t>in connection with these matters</w:t>
      </w:r>
      <w:r w:rsidR="008622C7">
        <w:t>,</w:t>
      </w:r>
      <w:r>
        <w:t xml:space="preserve"> and has now pleaded guilty to two offences under</w:t>
      </w:r>
      <w:r w:rsidR="009776E4">
        <w:t xml:space="preserve"> the Computer Misuse Act 1990. This</w:t>
      </w:r>
      <w:r>
        <w:t xml:space="preserve"> </w:t>
      </w:r>
      <w:r w:rsidR="00223C17">
        <w:t xml:space="preserve">short </w:t>
      </w:r>
      <w:r>
        <w:t xml:space="preserve">summary of my reasons for granting the injunction can therefore now be made public. </w:t>
      </w:r>
    </w:p>
    <w:sectPr w:rsidR="001B1E85" w:rsidRPr="00A13DBC" w:rsidSect="00B51C40">
      <w:headerReference w:type="default" r:id="rId8"/>
      <w:footerReference w:type="default" r:id="rId9"/>
      <w:pgSz w:w="11904" w:h="17340"/>
      <w:pgMar w:top="1869" w:right="1440" w:bottom="1387" w:left="1608"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6AC3" w14:textId="77777777" w:rsidR="009867EE" w:rsidRDefault="009867EE">
      <w:r>
        <w:separator/>
      </w:r>
    </w:p>
  </w:endnote>
  <w:endnote w:type="continuationSeparator" w:id="0">
    <w:p w14:paraId="4AFD15A1" w14:textId="77777777" w:rsidR="009867EE" w:rsidRDefault="0098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 Helvetica"/>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2B18" w14:textId="77777777" w:rsidR="00590402" w:rsidRDefault="0059040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9033" w14:textId="77777777" w:rsidR="00590402" w:rsidRPr="00B51C40" w:rsidRDefault="00590402" w:rsidP="00B51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65A2" w14:textId="77777777" w:rsidR="009867EE" w:rsidRDefault="009867EE">
      <w:r>
        <w:separator/>
      </w:r>
    </w:p>
  </w:footnote>
  <w:footnote w:type="continuationSeparator" w:id="0">
    <w:p w14:paraId="250F9914" w14:textId="77777777" w:rsidR="009867EE" w:rsidRDefault="00986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282C" w14:textId="77777777" w:rsidR="00590402" w:rsidRDefault="0059040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745D3F"/>
    <w:multiLevelType w:val="hybridMultilevel"/>
    <w:tmpl w:val="2ED5125B"/>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5F2B3C73"/>
    <w:multiLevelType w:val="multilevel"/>
    <w:tmpl w:val="D7767F12"/>
    <w:lvl w:ilvl="0">
      <w:start w:val="1"/>
      <w:numFmt w:val="decimal"/>
      <w:lvlText w:val="%1."/>
      <w:lvlJc w:val="left"/>
      <w:pPr>
        <w:tabs>
          <w:tab w:val="num" w:pos="720"/>
        </w:tabs>
        <w:ind w:left="720" w:hanging="720"/>
      </w:pPr>
      <w:rPr>
        <w:rFonts w:cs="Times New Roman" w:hint="default"/>
        <w:b w:val="0"/>
        <w:i w:val="0"/>
        <w:u w:val="none"/>
      </w:rPr>
    </w:lvl>
    <w:lvl w:ilvl="1">
      <w:start w:val="1"/>
      <w:numFmt w:val="lowerRoman"/>
      <w:lvlText w:val="%2)"/>
      <w:lvlJc w:val="left"/>
      <w:pPr>
        <w:tabs>
          <w:tab w:val="num" w:pos="1418"/>
        </w:tabs>
        <w:ind w:left="1418" w:hanging="709"/>
      </w:pPr>
      <w:rPr>
        <w:rFonts w:cs="Times New Roman" w:hint="default"/>
        <w:b w:val="0"/>
        <w:i w:val="0"/>
      </w:rPr>
    </w:lvl>
    <w:lvl w:ilvl="2">
      <w:start w:val="1"/>
      <w:numFmt w:val="lowerLetter"/>
      <w:lvlText w:val="%3)"/>
      <w:lvlJc w:val="left"/>
      <w:pPr>
        <w:tabs>
          <w:tab w:val="num" w:pos="2127"/>
        </w:tabs>
        <w:ind w:left="2127" w:hanging="709"/>
      </w:pPr>
      <w:rPr>
        <w:rFonts w:cs="Times New Roman" w:hint="default"/>
      </w:rPr>
    </w:lvl>
    <w:lvl w:ilvl="3">
      <w:start w:val="1"/>
      <w:numFmt w:val="lowerRoman"/>
      <w:lvlText w:val="%4)"/>
      <w:lvlJc w:val="left"/>
      <w:pPr>
        <w:tabs>
          <w:tab w:val="num" w:pos="3207"/>
        </w:tabs>
        <w:ind w:left="2836" w:hanging="709"/>
      </w:pPr>
      <w:rPr>
        <w:rFonts w:cs="Times New Roman" w:hint="default"/>
      </w:rPr>
    </w:lvl>
    <w:lvl w:ilvl="4">
      <w:start w:val="1"/>
      <w:numFmt w:val="lowerLetter"/>
      <w:lvlText w:val="(%5)"/>
      <w:lvlJc w:val="left"/>
      <w:pPr>
        <w:tabs>
          <w:tab w:val="num" w:pos="3545"/>
        </w:tabs>
        <w:ind w:left="3545" w:hanging="709"/>
      </w:pPr>
      <w:rPr>
        <w:rFonts w:cs="Times New Roman" w:hint="default"/>
      </w:rPr>
    </w:lvl>
    <w:lvl w:ilvl="5">
      <w:start w:val="1"/>
      <w:numFmt w:val="lowerRoman"/>
      <w:lvlText w:val="(%6)"/>
      <w:lvlJc w:val="left"/>
      <w:pPr>
        <w:tabs>
          <w:tab w:val="num" w:pos="4625"/>
        </w:tabs>
        <w:ind w:left="4254" w:hanging="709"/>
      </w:pPr>
      <w:rPr>
        <w:rFonts w:cs="Times New Roman" w:hint="default"/>
      </w:rPr>
    </w:lvl>
    <w:lvl w:ilvl="6">
      <w:start w:val="1"/>
      <w:numFmt w:val="lowerLetter"/>
      <w:lvlText w:val="(%7)"/>
      <w:lvlJc w:val="left"/>
      <w:pPr>
        <w:tabs>
          <w:tab w:val="num" w:pos="4963"/>
        </w:tabs>
        <w:ind w:left="4963" w:hanging="709"/>
      </w:pPr>
      <w:rPr>
        <w:rFonts w:cs="Times New Roman" w:hint="default"/>
      </w:rPr>
    </w:lvl>
    <w:lvl w:ilvl="7">
      <w:start w:val="1"/>
      <w:numFmt w:val="lowerRoman"/>
      <w:lvlText w:val="(%8)"/>
      <w:lvlJc w:val="left"/>
      <w:pPr>
        <w:tabs>
          <w:tab w:val="num" w:pos="6043"/>
        </w:tabs>
        <w:ind w:left="5672" w:hanging="709"/>
      </w:pPr>
      <w:rPr>
        <w:rFonts w:cs="Times New Roman" w:hint="default"/>
      </w:rPr>
    </w:lvl>
    <w:lvl w:ilvl="8">
      <w:start w:val="1"/>
      <w:numFmt w:val="lowerLetter"/>
      <w:lvlText w:val="(%9)"/>
      <w:lvlJc w:val="left"/>
      <w:pPr>
        <w:tabs>
          <w:tab w:val="num" w:pos="6381"/>
        </w:tabs>
        <w:ind w:left="6381" w:hanging="709"/>
      </w:pPr>
      <w:rPr>
        <w:rFonts w:cs="Times New Roman" w:hint="default"/>
      </w:rPr>
    </w:lvl>
  </w:abstractNum>
  <w:abstractNum w:abstractNumId="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BC"/>
    <w:rsid w:val="00002299"/>
    <w:rsid w:val="000A6825"/>
    <w:rsid w:val="000E54C3"/>
    <w:rsid w:val="00116D47"/>
    <w:rsid w:val="00152B07"/>
    <w:rsid w:val="0018752E"/>
    <w:rsid w:val="001B1E85"/>
    <w:rsid w:val="00223C17"/>
    <w:rsid w:val="00260155"/>
    <w:rsid w:val="002C211C"/>
    <w:rsid w:val="00337662"/>
    <w:rsid w:val="003C6E53"/>
    <w:rsid w:val="00417A00"/>
    <w:rsid w:val="004E3FC8"/>
    <w:rsid w:val="005077D9"/>
    <w:rsid w:val="00571579"/>
    <w:rsid w:val="00590402"/>
    <w:rsid w:val="005E2342"/>
    <w:rsid w:val="005E7929"/>
    <w:rsid w:val="006C47AF"/>
    <w:rsid w:val="006F48BF"/>
    <w:rsid w:val="00766E28"/>
    <w:rsid w:val="008241B7"/>
    <w:rsid w:val="008622C7"/>
    <w:rsid w:val="00976012"/>
    <w:rsid w:val="009776E4"/>
    <w:rsid w:val="009867EE"/>
    <w:rsid w:val="009B7C4D"/>
    <w:rsid w:val="009C3703"/>
    <w:rsid w:val="009D38F9"/>
    <w:rsid w:val="00A13DBC"/>
    <w:rsid w:val="00A53172"/>
    <w:rsid w:val="00AA3DC7"/>
    <w:rsid w:val="00B31769"/>
    <w:rsid w:val="00B33973"/>
    <w:rsid w:val="00B51C40"/>
    <w:rsid w:val="00B609D0"/>
    <w:rsid w:val="00BF0316"/>
    <w:rsid w:val="00C619EB"/>
    <w:rsid w:val="00C813DC"/>
    <w:rsid w:val="00C87F74"/>
    <w:rsid w:val="00CA2863"/>
    <w:rsid w:val="00D01AE0"/>
    <w:rsid w:val="00F10D19"/>
    <w:rsid w:val="00F5099B"/>
    <w:rsid w:val="00F7137F"/>
    <w:rsid w:val="00FC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484B24B"/>
  <w14:defaultImageDpi w14:val="0"/>
  <w15:docId w15:val="{1E2F0611-5B02-4860-9285-8873DC2E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GB" w:bidi="ar-SA"/>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bidi="ar-SA"/>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bidi="ar-SA"/>
    </w:rPr>
  </w:style>
  <w:style w:type="paragraph" w:customStyle="1" w:styleId="CoverDesc">
    <w:name w:val="CoverDesc"/>
    <w:basedOn w:val="Normal"/>
    <w:uiPriority w:val="99"/>
    <w:pPr>
      <w:jc w:val="center"/>
    </w:pPr>
    <w:rPr>
      <w:b/>
      <w:sz w:val="36"/>
      <w:szCs w:val="20"/>
    </w:rPr>
  </w:style>
  <w:style w:type="paragraph" w:customStyle="1" w:styleId="CoverMain">
    <w:name w:val="CoverMain"/>
    <w:basedOn w:val="Normal"/>
    <w:uiPriority w:val="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uiPriority w:val="99"/>
    <w:pPr>
      <w:jc w:val="right"/>
    </w:pPr>
    <w:rPr>
      <w:szCs w:val="20"/>
      <w:u w:val="single"/>
    </w:rPr>
  </w:style>
  <w:style w:type="paragraph" w:customStyle="1" w:styleId="ParaHeading">
    <w:name w:val="ParaHeading"/>
    <w:basedOn w:val="Normal"/>
    <w:next w:val="ParaLevel1"/>
    <w:uiPriority w:val="99"/>
    <w:pPr>
      <w:keepNext/>
      <w:spacing w:before="240" w:after="240"/>
    </w:pPr>
    <w:rPr>
      <w:szCs w:val="20"/>
    </w:rPr>
  </w:style>
  <w:style w:type="paragraph" w:customStyle="1" w:styleId="ParaLevel1">
    <w:name w:val="ParaLevel1"/>
    <w:basedOn w:val="Normal"/>
    <w:uiPriority w:val="99"/>
    <w:pPr>
      <w:numPr>
        <w:numId w:val="1"/>
      </w:numPr>
      <w:suppressAutoHyphens/>
      <w:spacing w:before="240" w:after="240"/>
      <w:jc w:val="both"/>
      <w:outlineLvl w:val="0"/>
    </w:pPr>
    <w:rPr>
      <w:szCs w:val="20"/>
    </w:rPr>
  </w:style>
  <w:style w:type="paragraph" w:customStyle="1" w:styleId="ParaLevel2">
    <w:name w:val="ParaLevel2"/>
    <w:basedOn w:val="Normal"/>
    <w:uiPriority w:val="99"/>
    <w:pPr>
      <w:numPr>
        <w:ilvl w:val="1"/>
        <w:numId w:val="2"/>
      </w:numPr>
      <w:suppressAutoHyphens/>
      <w:spacing w:before="240" w:after="240"/>
      <w:jc w:val="both"/>
      <w:outlineLvl w:val="1"/>
    </w:pPr>
    <w:rPr>
      <w:szCs w:val="20"/>
    </w:rPr>
  </w:style>
  <w:style w:type="paragraph" w:customStyle="1" w:styleId="ParaLevel3">
    <w:name w:val="ParaLevel3"/>
    <w:basedOn w:val="Normal"/>
    <w:uiPriority w:val="99"/>
    <w:pPr>
      <w:numPr>
        <w:ilvl w:val="2"/>
        <w:numId w:val="3"/>
      </w:numPr>
      <w:suppressAutoHyphens/>
      <w:spacing w:before="240" w:after="240"/>
      <w:jc w:val="both"/>
      <w:outlineLvl w:val="2"/>
    </w:pPr>
    <w:rPr>
      <w:szCs w:val="20"/>
    </w:rPr>
  </w:style>
  <w:style w:type="paragraph" w:customStyle="1" w:styleId="ParaLevel4">
    <w:name w:val="ParaLevel4"/>
    <w:basedOn w:val="Normal"/>
    <w:uiPriority w:val="99"/>
    <w:pPr>
      <w:numPr>
        <w:ilvl w:val="3"/>
        <w:numId w:val="4"/>
      </w:numPr>
      <w:tabs>
        <w:tab w:val="num" w:pos="2836"/>
      </w:tabs>
      <w:suppressAutoHyphens/>
      <w:spacing w:before="240" w:after="240"/>
      <w:jc w:val="both"/>
      <w:outlineLvl w:val="3"/>
    </w:pPr>
    <w:rPr>
      <w:szCs w:val="20"/>
    </w:rPr>
  </w:style>
  <w:style w:type="paragraph" w:customStyle="1" w:styleId="ParaLevel5">
    <w:name w:val="ParaLevel5"/>
    <w:basedOn w:val="Normal"/>
    <w:uiPriority w:val="99"/>
    <w:pPr>
      <w:numPr>
        <w:ilvl w:val="4"/>
        <w:numId w:val="5"/>
      </w:numPr>
      <w:suppressAutoHyphens/>
      <w:spacing w:before="240" w:after="240"/>
      <w:jc w:val="both"/>
      <w:outlineLvl w:val="4"/>
    </w:pPr>
    <w:rPr>
      <w:szCs w:val="20"/>
    </w:rPr>
  </w:style>
  <w:style w:type="paragraph" w:customStyle="1" w:styleId="ParaLevel6">
    <w:name w:val="ParaLevel6"/>
    <w:basedOn w:val="Normal"/>
    <w:uiPriority w:val="99"/>
    <w:pPr>
      <w:numPr>
        <w:ilvl w:val="5"/>
        <w:numId w:val="6"/>
      </w:numPr>
      <w:tabs>
        <w:tab w:val="num" w:pos="4254"/>
      </w:tabs>
      <w:suppressAutoHyphens/>
      <w:spacing w:before="240" w:after="240"/>
      <w:jc w:val="both"/>
      <w:outlineLvl w:val="5"/>
    </w:pPr>
    <w:rPr>
      <w:szCs w:val="20"/>
    </w:rPr>
  </w:style>
  <w:style w:type="paragraph" w:customStyle="1" w:styleId="ParaLevel7">
    <w:name w:val="ParaLevel7"/>
    <w:basedOn w:val="Normal"/>
    <w:uiPriority w:val="99"/>
    <w:pPr>
      <w:numPr>
        <w:ilvl w:val="6"/>
        <w:numId w:val="7"/>
      </w:numPr>
      <w:suppressAutoHyphens/>
      <w:spacing w:before="240" w:after="240"/>
      <w:jc w:val="both"/>
      <w:outlineLvl w:val="6"/>
    </w:pPr>
    <w:rPr>
      <w:szCs w:val="20"/>
    </w:rPr>
  </w:style>
  <w:style w:type="paragraph" w:customStyle="1" w:styleId="ParaLevel8">
    <w:name w:val="ParaLevel8"/>
    <w:basedOn w:val="Normal"/>
    <w:uiPriority w:val="99"/>
    <w:pPr>
      <w:numPr>
        <w:ilvl w:val="7"/>
        <w:numId w:val="8"/>
      </w:numPr>
      <w:tabs>
        <w:tab w:val="num" w:pos="5672"/>
      </w:tabs>
      <w:suppressAutoHyphens/>
      <w:spacing w:before="240" w:after="240"/>
      <w:jc w:val="both"/>
      <w:outlineLvl w:val="7"/>
    </w:pPr>
    <w:rPr>
      <w:szCs w:val="20"/>
    </w:rPr>
  </w:style>
  <w:style w:type="paragraph" w:customStyle="1" w:styleId="ParaLevel9">
    <w:name w:val="ParaLevel9"/>
    <w:basedOn w:val="Normal"/>
    <w:uiPriority w:val="99"/>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uiPriority w:val="99"/>
    <w:pPr>
      <w:spacing w:before="240" w:after="240"/>
      <w:jc w:val="both"/>
    </w:pPr>
    <w:rPr>
      <w:szCs w:val="20"/>
    </w:rPr>
  </w:style>
  <w:style w:type="paragraph" w:styleId="Quote">
    <w:name w:val="Quote"/>
    <w:basedOn w:val="Normal"/>
    <w:next w:val="ParaLevel1"/>
    <w:link w:val="QuoteChar"/>
    <w:uiPriority w:val="99"/>
    <w:qFormat/>
    <w:pPr>
      <w:spacing w:after="240"/>
      <w:ind w:left="1440" w:right="1440"/>
      <w:jc w:val="both"/>
    </w:pPr>
    <w:rPr>
      <w:szCs w:val="20"/>
    </w:rPr>
  </w:style>
  <w:style w:type="character" w:customStyle="1" w:styleId="QuoteChar">
    <w:name w:val="Quote Char"/>
    <w:basedOn w:val="DefaultParagraphFont"/>
    <w:link w:val="Quote"/>
    <w:uiPriority w:val="29"/>
    <w:rPr>
      <w:i/>
      <w:iCs/>
      <w:color w:val="404040" w:themeColor="text1" w:themeTint="BF"/>
      <w:sz w:val="24"/>
      <w:szCs w:val="24"/>
      <w:lang w:val="en-GB" w:bidi="ar-SA"/>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character" w:customStyle="1" w:styleId="HeaderChar">
    <w:name w:val="Header Char"/>
    <w:basedOn w:val="DefaultParagraphFont"/>
    <w:link w:val="Header"/>
    <w:uiPriority w:val="99"/>
    <w:semiHidden/>
    <w:rPr>
      <w:sz w:val="24"/>
      <w:szCs w:val="24"/>
      <w:lang w:val="en-GB" w:bidi="ar-SA"/>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semiHidden/>
    <w:rPr>
      <w:sz w:val="24"/>
      <w:szCs w:val="24"/>
      <w:lang w:val="en-GB" w:bidi="ar-SA"/>
    </w:rPr>
  </w:style>
  <w:style w:type="paragraph" w:customStyle="1" w:styleId="Heading">
    <w:name w:val="Heading"/>
    <w:basedOn w:val="Normal"/>
    <w:next w:val="Heading1"/>
    <w:uiPriority w:val="99"/>
    <w:pPr>
      <w:keepNext/>
      <w:spacing w:before="240" w:after="240" w:line="480" w:lineRule="auto"/>
    </w:pPr>
    <w:rPr>
      <w:szCs w:val="20"/>
    </w:rPr>
  </w:style>
  <w:style w:type="paragraph" w:styleId="Title">
    <w:name w:val="Title"/>
    <w:basedOn w:val="Normal"/>
    <w:link w:val="TitleChar"/>
    <w:uiPriority w:val="99"/>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bidi="ar-SA"/>
    </w:rPr>
  </w:style>
  <w:style w:type="paragraph" w:customStyle="1" w:styleId="Default">
    <w:name w:val="Default"/>
    <w:uiPriority w:val="99"/>
    <w:rsid w:val="00A13DBC"/>
    <w:pPr>
      <w:autoSpaceDE w:val="0"/>
      <w:autoSpaceDN w:val="0"/>
      <w:adjustRightInd w:val="0"/>
      <w:spacing w:after="0" w:line="240" w:lineRule="auto"/>
    </w:pPr>
    <w:rPr>
      <w:color w:val="000000"/>
      <w:sz w:val="24"/>
      <w:szCs w:val="24"/>
      <w:lang w:val="en-GB" w:eastAsia="en-GB" w:bidi="ar-SA"/>
    </w:rPr>
  </w:style>
  <w:style w:type="paragraph" w:customStyle="1" w:styleId="eMailBlock">
    <w:name w:val="eMailBlock"/>
    <w:basedOn w:val="Title"/>
    <w:uiPriority w:val="99"/>
    <w:rPr>
      <w:sz w:val="26"/>
    </w:rPr>
  </w:style>
  <w:style w:type="paragraph" w:customStyle="1" w:styleId="CM27">
    <w:name w:val="CM27"/>
    <w:basedOn w:val="Default"/>
    <w:next w:val="Default"/>
    <w:uiPriority w:val="99"/>
    <w:rsid w:val="00A13DBC"/>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l69x\Application%20Data\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1</TotalTime>
  <Pages>2</Pages>
  <Words>447</Words>
  <Characters>2550</Characters>
  <Application>Microsoft Office Word</Application>
  <DocSecurity>2</DocSecurity>
  <Lines>21</Lines>
  <Paragraphs>5</Paragraphs>
  <ScaleCrop>false</ScaleCrop>
  <Company>RCJ - In House Applications</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ccl69x</dc:creator>
  <cp:keywords/>
  <dc:description/>
  <cp:lastModifiedBy>Isuru Dissanayake</cp:lastModifiedBy>
  <cp:revision>2</cp:revision>
  <cp:lastPrinted>2025-05-02T18:57:00Z</cp:lastPrinted>
  <dcterms:created xsi:type="dcterms:W3CDTF">2025-05-02T18:57:00Z</dcterms:created>
  <dcterms:modified xsi:type="dcterms:W3CDTF">2025-05-02T18:57:00Z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QB</vt:lpwstr>
  </property>
  <property fmtid="{D5CDD505-2E9C-101B-9397-08002B2CF9AE}" pid="8" name="NCJudgeDate">
    <vt:lpwstr>12/03/2012</vt:lpwstr>
  </property>
  <property fmtid="{D5CDD505-2E9C-101B-9397-08002B2CF9AE}" pid="9" name="NCNumber">
    <vt:lpwstr>[2012] EWHC 572 (QB)</vt:lpwstr>
  </property>
  <property fmtid="{D5CDD505-2E9C-101B-9397-08002B2CF9AE}" pid="10" name="NCCaseNum">
    <vt:lpwstr>HQ12X00979</vt:lpwstr>
  </property>
</Properties>
</file>