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591A" w14:textId="77777777" w:rsidR="001006BD" w:rsidRPr="001006BD" w:rsidRDefault="001006BD">
      <w:pPr>
        <w:spacing w:after="0"/>
        <w:divId w:val="2123306817"/>
        <w:rPr>
          <w:rFonts w:ascii="Arial" w:eastAsia="Times New Roman" w:hAnsi="Arial" w:cs="Arial"/>
          <w:b/>
          <w:bCs/>
          <w:color w:val="000000" w:themeColor="text1"/>
          <w:sz w:val="32"/>
          <w:szCs w:val="32"/>
          <w:lang w:val="en"/>
        </w:rPr>
      </w:pPr>
      <w:r w:rsidRPr="001006BD">
        <w:rPr>
          <w:rFonts w:ascii="Arial" w:eastAsia="Times New Roman" w:hAnsi="Arial" w:cs="Arial"/>
          <w:b/>
          <w:bCs/>
          <w:color w:val="000000" w:themeColor="text1"/>
          <w:sz w:val="32"/>
          <w:szCs w:val="32"/>
          <w:lang w:val="en"/>
        </w:rPr>
        <w:t xml:space="preserve">Protocol for the Examination of Biopsy Specimens </w:t>
      </w:r>
      <w:proofErr w:type="gramStart"/>
      <w:r w:rsidRPr="001006BD">
        <w:rPr>
          <w:rFonts w:ascii="Arial" w:eastAsia="Times New Roman" w:hAnsi="Arial" w:cs="Arial"/>
          <w:b/>
          <w:bCs/>
          <w:color w:val="000000" w:themeColor="text1"/>
          <w:sz w:val="32"/>
          <w:szCs w:val="32"/>
          <w:lang w:val="en"/>
        </w:rPr>
        <w:t>From</w:t>
      </w:r>
      <w:proofErr w:type="gramEnd"/>
      <w:r w:rsidRPr="001006BD">
        <w:rPr>
          <w:rFonts w:ascii="Arial" w:eastAsia="Times New Roman" w:hAnsi="Arial" w:cs="Arial"/>
          <w:b/>
          <w:bCs/>
          <w:color w:val="000000" w:themeColor="text1"/>
          <w:sz w:val="32"/>
          <w:szCs w:val="32"/>
          <w:lang w:val="en"/>
        </w:rPr>
        <w:t xml:space="preserve"> Patients With Primary Tumors of Bone</w:t>
      </w:r>
    </w:p>
    <w:p w14:paraId="38C6F471" w14:textId="77777777" w:rsidR="001006BD" w:rsidRPr="001006BD" w:rsidRDefault="001006BD">
      <w:pPr>
        <w:spacing w:after="0"/>
        <w:divId w:val="212617351"/>
        <w:rPr>
          <w:rFonts w:ascii="Arial" w:eastAsia="Times New Roman" w:hAnsi="Arial" w:cs="Arial"/>
          <w:color w:val="000000" w:themeColor="text1"/>
          <w:sz w:val="24"/>
          <w:szCs w:val="24"/>
          <w:lang w:val="en"/>
        </w:rPr>
      </w:pPr>
    </w:p>
    <w:p w14:paraId="439C5D28" w14:textId="77777777" w:rsidR="001006BD" w:rsidRPr="001006BD" w:rsidRDefault="001006BD">
      <w:pPr>
        <w:spacing w:after="0"/>
        <w:divId w:val="486243610"/>
        <w:rPr>
          <w:rFonts w:ascii="Arial" w:eastAsia="Times New Roman" w:hAnsi="Arial" w:cs="Arial"/>
          <w:color w:val="000000" w:themeColor="text1"/>
          <w:sz w:val="20"/>
          <w:szCs w:val="20"/>
          <w:lang w:val="en"/>
        </w:rPr>
      </w:pPr>
      <w:r w:rsidRPr="001006BD">
        <w:rPr>
          <w:rFonts w:ascii="Arial" w:eastAsia="Times New Roman" w:hAnsi="Arial" w:cs="Arial"/>
          <w:b/>
          <w:bCs/>
          <w:color w:val="000000" w:themeColor="text1"/>
          <w:sz w:val="20"/>
          <w:szCs w:val="20"/>
          <w:lang w:val="en"/>
        </w:rPr>
        <w:t xml:space="preserve">Version: </w:t>
      </w:r>
      <w:r w:rsidRPr="001006BD">
        <w:rPr>
          <w:rFonts w:ascii="Arial" w:eastAsia="Times New Roman" w:hAnsi="Arial" w:cs="Arial"/>
          <w:color w:val="000000" w:themeColor="text1"/>
          <w:sz w:val="20"/>
          <w:szCs w:val="20"/>
          <w:lang w:val="en"/>
        </w:rPr>
        <w:t>4.1.0.0</w:t>
      </w:r>
    </w:p>
    <w:p w14:paraId="60AE93A8" w14:textId="77777777" w:rsidR="001006BD" w:rsidRPr="001006BD" w:rsidRDefault="001006BD">
      <w:pPr>
        <w:spacing w:after="0"/>
        <w:divId w:val="7802305"/>
        <w:rPr>
          <w:rFonts w:ascii="Arial" w:eastAsia="Times New Roman" w:hAnsi="Arial" w:cs="Arial"/>
          <w:color w:val="000000" w:themeColor="text1"/>
          <w:sz w:val="20"/>
          <w:szCs w:val="20"/>
          <w:lang w:val="en"/>
        </w:rPr>
      </w:pPr>
      <w:r w:rsidRPr="001006BD">
        <w:rPr>
          <w:rFonts w:ascii="Arial" w:eastAsia="Times New Roman" w:hAnsi="Arial" w:cs="Arial"/>
          <w:b/>
          <w:bCs/>
          <w:color w:val="000000" w:themeColor="text1"/>
          <w:sz w:val="20"/>
          <w:szCs w:val="20"/>
          <w:lang w:val="en"/>
        </w:rPr>
        <w:t xml:space="preserve">Protocol Posting Date: </w:t>
      </w:r>
      <w:r w:rsidRPr="001006BD">
        <w:rPr>
          <w:rFonts w:ascii="Arial" w:eastAsia="Times New Roman" w:hAnsi="Arial" w:cs="Arial"/>
          <w:color w:val="000000" w:themeColor="text1"/>
          <w:sz w:val="20"/>
          <w:szCs w:val="20"/>
          <w:lang w:val="en"/>
        </w:rPr>
        <w:t xml:space="preserve">June 2021 </w:t>
      </w:r>
    </w:p>
    <w:p w14:paraId="246382DA" w14:textId="76C8189C" w:rsidR="001006BD" w:rsidRDefault="001006BD">
      <w:pPr>
        <w:spacing w:after="0"/>
        <w:divId w:val="712727844"/>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The use of this protocol is recommended for clinical care purposes but is not required for accreditation purposes.</w:t>
      </w:r>
    </w:p>
    <w:p w14:paraId="756516A0" w14:textId="77777777" w:rsidR="00E579B7" w:rsidRPr="001006BD" w:rsidRDefault="00E579B7">
      <w:pPr>
        <w:spacing w:after="0"/>
        <w:divId w:val="712727844"/>
        <w:rPr>
          <w:rFonts w:ascii="Arial" w:eastAsia="Times New Roman" w:hAnsi="Arial" w:cs="Arial"/>
          <w:color w:val="000000" w:themeColor="text1"/>
          <w:sz w:val="20"/>
          <w:szCs w:val="20"/>
          <w:lang w:val="en"/>
        </w:rPr>
      </w:pPr>
    </w:p>
    <w:p w14:paraId="41684559" w14:textId="77777777" w:rsidR="001006BD" w:rsidRPr="001006BD" w:rsidRDefault="001006BD" w:rsidP="0099182D">
      <w:pPr>
        <w:keepNext/>
        <w:tabs>
          <w:tab w:val="left" w:pos="360"/>
        </w:tabs>
        <w:spacing w:after="0"/>
        <w:outlineLvl w:val="1"/>
        <w:divId w:val="1645046547"/>
        <w:rPr>
          <w:rFonts w:ascii="Arial" w:hAnsi="Arial" w:cs="Arial"/>
          <w:color w:val="000000" w:themeColor="text1"/>
          <w:sz w:val="20"/>
          <w:szCs w:val="20"/>
          <w:lang w:val="en"/>
        </w:rPr>
      </w:pPr>
      <w:r w:rsidRPr="001006BD">
        <w:rPr>
          <w:rStyle w:val="Strong"/>
          <w:rFonts w:ascii="Arial" w:eastAsia="Calibri" w:hAnsi="Arial" w:cs="Arial"/>
          <w:bCs w:val="0"/>
          <w:color w:val="000000" w:themeColor="text1"/>
          <w:sz w:val="20"/>
          <w:szCs w:val="20"/>
          <w:lang w:val="en"/>
        </w:rPr>
        <w:t>This protocol may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0"/>
        <w:gridCol w:w="6620"/>
      </w:tblGrid>
      <w:tr w:rsidR="001006BD" w:rsidRPr="00E579B7" w14:paraId="0E839E43" w14:textId="77777777" w:rsidTr="00E579B7">
        <w:trPr>
          <w:divId w:val="1645046547"/>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583951BB"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Procedure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2A014A14"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Description</w:t>
            </w:r>
          </w:p>
        </w:tc>
      </w:tr>
      <w:tr w:rsidR="001006BD" w:rsidRPr="00E579B7" w14:paraId="0E695D11" w14:textId="77777777" w:rsidTr="00E579B7">
        <w:trPr>
          <w:divId w:val="1645046547"/>
        </w:trPr>
        <w:tc>
          <w:tcPr>
            <w:tcW w:w="1460" w:type="pct"/>
            <w:tcBorders>
              <w:top w:val="single" w:sz="4" w:space="0" w:color="auto"/>
              <w:left w:val="single" w:sz="4" w:space="0" w:color="auto"/>
              <w:bottom w:val="single" w:sz="4" w:space="0" w:color="auto"/>
              <w:right w:val="single" w:sz="4" w:space="0" w:color="auto"/>
            </w:tcBorders>
            <w:hideMark/>
          </w:tcPr>
          <w:p w14:paraId="6A5B1E45"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Biopsy</w:t>
            </w:r>
          </w:p>
        </w:tc>
        <w:tc>
          <w:tcPr>
            <w:tcW w:w="3540" w:type="pct"/>
            <w:tcBorders>
              <w:top w:val="single" w:sz="4" w:space="0" w:color="auto"/>
              <w:left w:val="single" w:sz="4" w:space="0" w:color="auto"/>
              <w:bottom w:val="single" w:sz="4" w:space="0" w:color="auto"/>
              <w:right w:val="single" w:sz="4" w:space="0" w:color="auto"/>
            </w:tcBorders>
            <w:hideMark/>
          </w:tcPr>
          <w:p w14:paraId="44A5242B" w14:textId="77777777" w:rsidR="001006BD" w:rsidRPr="00E579B7" w:rsidRDefault="001006BD" w:rsidP="0099182D">
            <w:pPr>
              <w:pStyle w:val="Footer"/>
              <w:tabs>
                <w:tab w:val="left" w:pos="720"/>
              </w:tabs>
              <w:rPr>
                <w:rFonts w:ascii="Arial" w:hAnsi="Arial" w:cs="Arial"/>
                <w:color w:val="000000" w:themeColor="text1"/>
                <w:sz w:val="18"/>
                <w:szCs w:val="18"/>
              </w:rPr>
            </w:pPr>
            <w:r w:rsidRPr="00E579B7">
              <w:rPr>
                <w:rFonts w:ascii="Arial" w:eastAsia="Calibri" w:hAnsi="Arial" w:cs="Arial"/>
                <w:color w:val="000000" w:themeColor="text1"/>
                <w:sz w:val="18"/>
                <w:szCs w:val="18"/>
              </w:rPr>
              <w:t xml:space="preserve">Includes specimens designated </w:t>
            </w:r>
            <w:r w:rsidRPr="00E579B7">
              <w:rPr>
                <w:rFonts w:ascii="Arial" w:hAnsi="Arial" w:cs="Arial"/>
                <w:color w:val="000000" w:themeColor="text1"/>
                <w:sz w:val="18"/>
                <w:szCs w:val="18"/>
              </w:rPr>
              <w:t xml:space="preserve">Core needle biopsy, curettage, excisional biopsy, and others </w:t>
            </w:r>
          </w:p>
        </w:tc>
      </w:tr>
      <w:tr w:rsidR="001006BD" w:rsidRPr="00E579B7" w14:paraId="3D88427E" w14:textId="77777777" w:rsidTr="00E579B7">
        <w:trPr>
          <w:divId w:val="1645046547"/>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7B2407AD"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Tumor Type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30476206"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Description</w:t>
            </w:r>
          </w:p>
        </w:tc>
      </w:tr>
      <w:tr w:rsidR="001006BD" w:rsidRPr="00E579B7" w14:paraId="72AF8607" w14:textId="77777777" w:rsidTr="00E579B7">
        <w:trPr>
          <w:divId w:val="1645046547"/>
        </w:trPr>
        <w:tc>
          <w:tcPr>
            <w:tcW w:w="1460" w:type="pct"/>
            <w:tcBorders>
              <w:top w:val="single" w:sz="4" w:space="0" w:color="auto"/>
              <w:left w:val="single" w:sz="4" w:space="0" w:color="auto"/>
              <w:bottom w:val="single" w:sz="4" w:space="0" w:color="auto"/>
              <w:right w:val="single" w:sz="4" w:space="0" w:color="auto"/>
            </w:tcBorders>
            <w:hideMark/>
          </w:tcPr>
          <w:p w14:paraId="2F6BAC19"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 xml:space="preserve">Primary malignant bone tumors </w:t>
            </w:r>
          </w:p>
        </w:tc>
        <w:tc>
          <w:tcPr>
            <w:tcW w:w="3540" w:type="pct"/>
            <w:tcBorders>
              <w:top w:val="single" w:sz="4" w:space="0" w:color="auto"/>
              <w:left w:val="single" w:sz="4" w:space="0" w:color="auto"/>
              <w:bottom w:val="single" w:sz="4" w:space="0" w:color="auto"/>
              <w:right w:val="single" w:sz="4" w:space="0" w:color="auto"/>
            </w:tcBorders>
            <w:hideMark/>
          </w:tcPr>
          <w:p w14:paraId="50B60A21" w14:textId="77777777" w:rsidR="001006BD" w:rsidRPr="00E579B7" w:rsidRDefault="001006BD" w:rsidP="0099182D">
            <w:pPr>
              <w:spacing w:after="0"/>
              <w:rPr>
                <w:rFonts w:ascii="Arial" w:hAnsi="Arial" w:cs="Arial"/>
                <w:color w:val="000000" w:themeColor="text1"/>
                <w:sz w:val="18"/>
                <w:szCs w:val="18"/>
              </w:rPr>
            </w:pPr>
            <w:r w:rsidRPr="00E579B7">
              <w:rPr>
                <w:rFonts w:ascii="Arial" w:hAnsi="Arial" w:cs="Arial"/>
                <w:color w:val="000000" w:themeColor="text1"/>
                <w:sz w:val="18"/>
                <w:szCs w:val="18"/>
              </w:rPr>
              <w:t xml:space="preserve">Includes chondrogenic tumors, osteogenic tumors, </w:t>
            </w:r>
            <w:proofErr w:type="spellStart"/>
            <w:r w:rsidRPr="00E579B7">
              <w:rPr>
                <w:rFonts w:ascii="Arial" w:hAnsi="Arial" w:cs="Arial"/>
                <w:color w:val="000000" w:themeColor="text1"/>
                <w:sz w:val="18"/>
                <w:szCs w:val="18"/>
              </w:rPr>
              <w:t>fibrogenic</w:t>
            </w:r>
            <w:proofErr w:type="spellEnd"/>
            <w:r w:rsidRPr="00E579B7">
              <w:rPr>
                <w:rFonts w:ascii="Arial" w:hAnsi="Arial" w:cs="Arial"/>
                <w:color w:val="000000" w:themeColor="text1"/>
                <w:sz w:val="18"/>
                <w:szCs w:val="18"/>
              </w:rPr>
              <w:t xml:space="preserve"> tumors, osteoclastic giant cell rich tumors, notochordal tumors, vascular tumors, myogenic tumors, lipogenic tumors, undifferentiated small round cell sarcomas and other mesenchymal tumors arising in bone.</w:t>
            </w:r>
          </w:p>
        </w:tc>
      </w:tr>
    </w:tbl>
    <w:p w14:paraId="52B5A5EA" w14:textId="30BA58D9" w:rsidR="001006BD" w:rsidRPr="001006BD" w:rsidRDefault="001006BD">
      <w:pPr>
        <w:divId w:val="1645046547"/>
        <w:rPr>
          <w:rFonts w:ascii="Arial" w:hAnsi="Arial" w:cs="Arial"/>
          <w:color w:val="000000" w:themeColor="text1"/>
          <w:sz w:val="20"/>
          <w:szCs w:val="20"/>
          <w:lang w:val="en"/>
        </w:rPr>
      </w:pPr>
    </w:p>
    <w:p w14:paraId="1DAAE717" w14:textId="77777777" w:rsidR="001006BD" w:rsidRPr="001006BD" w:rsidRDefault="001006BD" w:rsidP="0099182D">
      <w:pPr>
        <w:spacing w:after="0"/>
        <w:divId w:val="1645046547"/>
        <w:rPr>
          <w:rFonts w:ascii="Arial" w:hAnsi="Arial" w:cs="Arial"/>
          <w:color w:val="000000" w:themeColor="text1"/>
          <w:sz w:val="20"/>
          <w:szCs w:val="20"/>
          <w:lang w:val="en"/>
        </w:rPr>
      </w:pPr>
      <w:r w:rsidRPr="001006BD">
        <w:rPr>
          <w:rStyle w:val="Strong"/>
          <w:rFonts w:ascii="Arial" w:eastAsia="Calibri" w:hAnsi="Arial" w:cs="Arial"/>
          <w:bCs w:val="0"/>
          <w:color w:val="000000" w:themeColor="text1"/>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1006BD" w:rsidRPr="00E579B7" w14:paraId="26736ADB"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070121B"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Procedure</w:t>
            </w:r>
          </w:p>
        </w:tc>
      </w:tr>
      <w:tr w:rsidR="001006BD" w:rsidRPr="00E579B7" w14:paraId="39244B35"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34D70D41" w14:textId="77777777" w:rsidR="001006BD" w:rsidRPr="00E579B7" w:rsidRDefault="001006BD" w:rsidP="0099182D">
            <w:pPr>
              <w:spacing w:after="0"/>
              <w:rPr>
                <w:rFonts w:ascii="Arial" w:hAnsi="Arial" w:cs="Arial"/>
                <w:color w:val="000000" w:themeColor="text1"/>
                <w:sz w:val="18"/>
                <w:szCs w:val="18"/>
              </w:rPr>
            </w:pPr>
            <w:r w:rsidRPr="00E579B7">
              <w:rPr>
                <w:rFonts w:ascii="Arial" w:hAnsi="Arial" w:cs="Arial"/>
                <w:color w:val="000000" w:themeColor="text1"/>
                <w:sz w:val="18"/>
                <w:szCs w:val="18"/>
              </w:rPr>
              <w:t>Resection (consider Bone Resection protocol)</w:t>
            </w:r>
          </w:p>
        </w:tc>
      </w:tr>
      <w:tr w:rsidR="001006BD" w:rsidRPr="00E579B7" w14:paraId="2608679C" w14:textId="77777777" w:rsidTr="00E579B7">
        <w:trPr>
          <w:divId w:val="1645046547"/>
          <w:trHeight w:val="152"/>
        </w:trPr>
        <w:tc>
          <w:tcPr>
            <w:tcW w:w="5000" w:type="pct"/>
            <w:tcBorders>
              <w:top w:val="single" w:sz="4" w:space="0" w:color="auto"/>
              <w:left w:val="single" w:sz="4" w:space="0" w:color="auto"/>
              <w:bottom w:val="single" w:sz="4" w:space="0" w:color="auto"/>
              <w:right w:val="single" w:sz="4" w:space="0" w:color="auto"/>
            </w:tcBorders>
            <w:hideMark/>
          </w:tcPr>
          <w:p w14:paraId="40660CDE"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Primary resection specimen with no residual cancer (</w:t>
            </w:r>
            <w:proofErr w:type="spellStart"/>
            <w:r w:rsidRPr="00E579B7">
              <w:rPr>
                <w:rFonts w:ascii="Arial" w:eastAsia="SimSun" w:hAnsi="Arial" w:cs="Arial"/>
                <w:color w:val="000000" w:themeColor="text1"/>
                <w:sz w:val="18"/>
                <w:szCs w:val="18"/>
              </w:rPr>
              <w:t>eg</w:t>
            </w:r>
            <w:proofErr w:type="spellEnd"/>
            <w:r w:rsidRPr="00E579B7">
              <w:rPr>
                <w:rFonts w:ascii="Arial" w:eastAsia="SimSun" w:hAnsi="Arial" w:cs="Arial"/>
                <w:color w:val="000000" w:themeColor="text1"/>
                <w:sz w:val="18"/>
                <w:szCs w:val="18"/>
              </w:rPr>
              <w:t>, following neoadjuvant therapy)</w:t>
            </w:r>
          </w:p>
        </w:tc>
      </w:tr>
      <w:tr w:rsidR="001006BD" w:rsidRPr="00E579B7" w14:paraId="3BDDC592"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2B7B7FAC"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Cytologic specimens</w:t>
            </w:r>
          </w:p>
        </w:tc>
      </w:tr>
      <w:tr w:rsidR="001006BD" w:rsidRPr="00E579B7" w14:paraId="565498C3"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5F154F2" w14:textId="77777777" w:rsidR="001006BD" w:rsidRPr="00E579B7" w:rsidRDefault="001006BD" w:rsidP="0099182D">
            <w:pPr>
              <w:spacing w:after="0"/>
              <w:rPr>
                <w:rFonts w:ascii="Arial" w:hAnsi="Arial" w:cs="Arial"/>
                <w:color w:val="000000" w:themeColor="text1"/>
                <w:sz w:val="18"/>
                <w:szCs w:val="18"/>
              </w:rPr>
            </w:pPr>
            <w:r w:rsidRPr="00E579B7">
              <w:rPr>
                <w:rStyle w:val="Strong"/>
                <w:rFonts w:ascii="Arial" w:eastAsia="SimSun" w:hAnsi="Arial" w:cs="Arial"/>
                <w:bCs w:val="0"/>
                <w:color w:val="000000" w:themeColor="text1"/>
                <w:sz w:val="18"/>
                <w:szCs w:val="18"/>
              </w:rPr>
              <w:t>Tumor Type</w:t>
            </w:r>
          </w:p>
        </w:tc>
      </w:tr>
      <w:tr w:rsidR="001006BD" w:rsidRPr="00E579B7" w14:paraId="5CB06787"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06754A4F"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Plasma cell neoplasms (consider the Plasma Cell Neoplasms protocol)</w:t>
            </w:r>
          </w:p>
        </w:tc>
      </w:tr>
      <w:tr w:rsidR="001006BD" w:rsidRPr="00E579B7" w14:paraId="3DBC0FFC"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76809409"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Lymphoma (consider the Hodgkin or non-Hodgkin Lymphoma protocols)</w:t>
            </w:r>
          </w:p>
        </w:tc>
      </w:tr>
      <w:tr w:rsidR="001006BD" w:rsidRPr="00E579B7" w14:paraId="0111716F"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72BE13FB" w14:textId="77777777" w:rsidR="001006BD" w:rsidRPr="00E579B7" w:rsidRDefault="001006BD" w:rsidP="0099182D">
            <w:pPr>
              <w:spacing w:after="0"/>
              <w:rPr>
                <w:rFonts w:ascii="Arial" w:hAnsi="Arial" w:cs="Arial"/>
                <w:color w:val="000000" w:themeColor="text1"/>
                <w:sz w:val="18"/>
                <w:szCs w:val="18"/>
              </w:rPr>
            </w:pPr>
            <w:r w:rsidRPr="00E579B7">
              <w:rPr>
                <w:rFonts w:ascii="Arial" w:eastAsia="SimSun" w:hAnsi="Arial" w:cs="Arial"/>
                <w:color w:val="000000" w:themeColor="text1"/>
                <w:sz w:val="18"/>
                <w:szCs w:val="18"/>
              </w:rPr>
              <w:t>Pediatric Ewing sarcoma (consider the Ewing Sarcoma protocol)</w:t>
            </w:r>
          </w:p>
        </w:tc>
      </w:tr>
      <w:tr w:rsidR="001006BD" w:rsidRPr="00E579B7" w14:paraId="549EAF02" w14:textId="77777777" w:rsidTr="00E579B7">
        <w:trPr>
          <w:divId w:val="1645046547"/>
        </w:trPr>
        <w:tc>
          <w:tcPr>
            <w:tcW w:w="5000" w:type="pct"/>
            <w:tcBorders>
              <w:top w:val="single" w:sz="4" w:space="0" w:color="auto"/>
              <w:left w:val="single" w:sz="4" w:space="0" w:color="auto"/>
              <w:bottom w:val="single" w:sz="4" w:space="0" w:color="auto"/>
              <w:right w:val="single" w:sz="4" w:space="0" w:color="auto"/>
            </w:tcBorders>
            <w:hideMark/>
          </w:tcPr>
          <w:p w14:paraId="15395C82" w14:textId="77777777" w:rsidR="001006BD" w:rsidRPr="00E579B7" w:rsidRDefault="001006BD" w:rsidP="0099182D">
            <w:pPr>
              <w:spacing w:after="0"/>
              <w:rPr>
                <w:rFonts w:ascii="Arial" w:hAnsi="Arial" w:cs="Arial"/>
                <w:color w:val="000000" w:themeColor="text1"/>
                <w:sz w:val="18"/>
                <w:szCs w:val="18"/>
              </w:rPr>
            </w:pPr>
            <w:r w:rsidRPr="00E579B7">
              <w:rPr>
                <w:rFonts w:ascii="Arial" w:hAnsi="Arial" w:cs="Arial"/>
                <w:color w:val="000000" w:themeColor="text1"/>
                <w:sz w:val="18"/>
                <w:szCs w:val="18"/>
              </w:rPr>
              <w:t>Soft tissue sarcoma (consider the Soft Tissue protocol)</w:t>
            </w:r>
          </w:p>
        </w:tc>
      </w:tr>
    </w:tbl>
    <w:p w14:paraId="66ACC584"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7581B637" w14:textId="47F1857C" w:rsidR="001006BD" w:rsidRPr="0099182D" w:rsidRDefault="001006BD" w:rsidP="0099182D">
      <w:pPr>
        <w:spacing w:after="0"/>
        <w:divId w:val="1515877426"/>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Authors</w:t>
      </w:r>
    </w:p>
    <w:p w14:paraId="5A9C3BEF" w14:textId="77777777" w:rsidR="00E5711D" w:rsidRDefault="001006BD">
      <w:pPr>
        <w:spacing w:after="0"/>
        <w:divId w:val="1215851844"/>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Javier A. Laurini*.</w:t>
      </w:r>
      <w:r w:rsidRPr="001006BD">
        <w:rPr>
          <w:rFonts w:ascii="Arial" w:eastAsia="Times New Roman" w:hAnsi="Arial" w:cs="Arial"/>
          <w:color w:val="000000" w:themeColor="text1"/>
          <w:sz w:val="20"/>
          <w:szCs w:val="20"/>
          <w:lang w:val="en"/>
        </w:rPr>
        <w:br/>
      </w:r>
    </w:p>
    <w:p w14:paraId="0C3850B9" w14:textId="3C711E17" w:rsidR="001006BD" w:rsidRPr="001006BD" w:rsidRDefault="001006BD">
      <w:pPr>
        <w:spacing w:after="0"/>
        <w:divId w:val="1215851844"/>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With guidance from the CAP Cancer and CAP Pathology Electronic Reporting Committees.</w:t>
      </w:r>
      <w:r w:rsidRPr="001006BD">
        <w:rPr>
          <w:rFonts w:ascii="Arial" w:eastAsia="Times New Roman" w:hAnsi="Arial" w:cs="Arial"/>
          <w:color w:val="000000" w:themeColor="text1"/>
          <w:sz w:val="20"/>
          <w:szCs w:val="20"/>
          <w:lang w:val="en"/>
        </w:rPr>
        <w:br/>
      </w:r>
      <w:r w:rsidRPr="0099182D">
        <w:rPr>
          <w:rFonts w:ascii="Arial" w:eastAsia="Times New Roman" w:hAnsi="Arial" w:cs="Arial"/>
          <w:color w:val="000000" w:themeColor="text1"/>
          <w:sz w:val="16"/>
          <w:szCs w:val="16"/>
          <w:lang w:val="en"/>
        </w:rPr>
        <w:t>* Denotes primary author.</w:t>
      </w:r>
    </w:p>
    <w:p w14:paraId="677D7CAE" w14:textId="508B1695" w:rsidR="00E579B7" w:rsidRDefault="00E579B7">
      <w:pPr>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br w:type="page"/>
      </w:r>
    </w:p>
    <w:p w14:paraId="02EE42AD"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4E16F550" w14:textId="77777777" w:rsidR="00F21FF6" w:rsidRDefault="001006BD" w:rsidP="0099182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Accreditation Requirements</w:t>
      </w:r>
    </w:p>
    <w:p w14:paraId="5D466304" w14:textId="72BCBFCC" w:rsidR="001006BD" w:rsidRDefault="001006BD" w:rsidP="0094044E">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The use of this biopsy case summary is recommended for clinical care </w:t>
      </w:r>
      <w:proofErr w:type="gramStart"/>
      <w:r w:rsidRPr="001006BD">
        <w:rPr>
          <w:rFonts w:ascii="Arial" w:hAnsi="Arial" w:cs="Arial"/>
          <w:color w:val="000000" w:themeColor="text1"/>
          <w:sz w:val="20"/>
          <w:szCs w:val="20"/>
          <w:lang w:val="en"/>
        </w:rPr>
        <w:t>purposes, but</w:t>
      </w:r>
      <w:proofErr w:type="gramEnd"/>
      <w:r w:rsidRPr="001006BD">
        <w:rPr>
          <w:rFonts w:ascii="Arial" w:hAnsi="Arial" w:cs="Arial"/>
          <w:color w:val="000000" w:themeColor="text1"/>
          <w:sz w:val="20"/>
          <w:szCs w:val="20"/>
          <w:lang w:val="en"/>
        </w:rPr>
        <w:t xml:space="preserve"> is not required for accreditation purposes. The core and conditional data elements are routinely reported for biopsy specimens. Non-core data elements are included to allow for reporting information that may be of clinical value. </w:t>
      </w:r>
    </w:p>
    <w:p w14:paraId="04E51FBA" w14:textId="77777777" w:rsidR="0099182D" w:rsidRPr="0099182D" w:rsidRDefault="0099182D" w:rsidP="0099182D">
      <w:pPr>
        <w:spacing w:after="0"/>
        <w:rPr>
          <w:rFonts w:ascii="Arial" w:eastAsia="Times New Roman" w:hAnsi="Arial" w:cs="Arial"/>
          <w:b/>
          <w:bCs/>
          <w:color w:val="000000" w:themeColor="text1"/>
          <w:sz w:val="20"/>
          <w:szCs w:val="20"/>
          <w:lang w:val="en"/>
        </w:rPr>
      </w:pPr>
    </w:p>
    <w:p w14:paraId="70518291" w14:textId="77777777" w:rsidR="001006BD" w:rsidRPr="001006BD" w:rsidRDefault="001006BD">
      <w:pPr>
        <w:spacing w:after="0"/>
        <w:rPr>
          <w:rFonts w:ascii="Arial" w:eastAsia="Times New Roman" w:hAnsi="Arial" w:cs="Arial"/>
          <w:b/>
          <w:bCs/>
          <w:color w:val="000000" w:themeColor="text1"/>
          <w:sz w:val="20"/>
          <w:szCs w:val="20"/>
          <w:u w:val="single"/>
          <w:lang w:val="en"/>
        </w:rPr>
      </w:pPr>
      <w:r w:rsidRPr="001006BD">
        <w:rPr>
          <w:rFonts w:ascii="Arial" w:eastAsia="Times New Roman" w:hAnsi="Arial" w:cs="Arial"/>
          <w:b/>
          <w:bCs/>
          <w:color w:val="000000" w:themeColor="text1"/>
          <w:sz w:val="20"/>
          <w:szCs w:val="20"/>
          <w:u w:val="single"/>
          <w:lang w:val="en"/>
        </w:rPr>
        <w:t>Summary of Changes</w:t>
      </w:r>
    </w:p>
    <w:p w14:paraId="020AE705" w14:textId="77777777" w:rsidR="001006BD" w:rsidRPr="001006BD" w:rsidRDefault="001006BD">
      <w:pPr>
        <w:pStyle w:val="NormalWeb"/>
        <w:rPr>
          <w:rFonts w:ascii="Arial" w:hAnsi="Arial" w:cs="Arial"/>
          <w:color w:val="000000" w:themeColor="text1"/>
          <w:sz w:val="20"/>
          <w:szCs w:val="20"/>
          <w:lang w:val="en"/>
        </w:rPr>
      </w:pPr>
      <w:r w:rsidRPr="001006BD">
        <w:rPr>
          <w:rStyle w:val="Strong"/>
          <w:rFonts w:ascii="Arial" w:hAnsi="Arial" w:cs="Arial"/>
          <w:color w:val="000000" w:themeColor="text1"/>
          <w:sz w:val="20"/>
          <w:szCs w:val="20"/>
          <w:lang w:val="en"/>
        </w:rPr>
        <w:t>V 4.1.0.0</w:t>
      </w:r>
    </w:p>
    <w:p w14:paraId="774D657B" w14:textId="77777777" w:rsidR="001006BD" w:rsidRPr="001006BD" w:rsidRDefault="001006BD">
      <w:pPr>
        <w:numPr>
          <w:ilvl w:val="0"/>
          <w:numId w:val="1"/>
        </w:numPr>
        <w:spacing w:before="100" w:beforeAutospacing="1" w:after="100" w:afterAutospacing="1" w:line="240" w:lineRule="auto"/>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General Reformatting</w:t>
      </w:r>
    </w:p>
    <w:p w14:paraId="6F3B2881" w14:textId="77777777" w:rsidR="001006BD" w:rsidRPr="001006BD" w:rsidRDefault="001006BD">
      <w:pPr>
        <w:numPr>
          <w:ilvl w:val="0"/>
          <w:numId w:val="1"/>
        </w:numPr>
        <w:spacing w:before="100" w:beforeAutospacing="1" w:after="100" w:afterAutospacing="1" w:line="240" w:lineRule="auto"/>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New WHO 5th Edition Histological Updates</w:t>
      </w:r>
    </w:p>
    <w:p w14:paraId="4B8DC157" w14:textId="77777777" w:rsidR="001006BD" w:rsidRPr="00B24347" w:rsidRDefault="001006BD" w:rsidP="00B24347">
      <w:pPr>
        <w:pageBreakBefore/>
        <w:pBdr>
          <w:bottom w:val="single" w:sz="4" w:space="1" w:color="auto"/>
        </w:pBdr>
        <w:spacing w:after="0"/>
        <w:rPr>
          <w:rFonts w:ascii="Arial" w:eastAsia="Times New Roman" w:hAnsi="Arial" w:cs="Arial"/>
          <w:b/>
          <w:bCs/>
          <w:color w:val="000000" w:themeColor="text1"/>
          <w:sz w:val="24"/>
          <w:szCs w:val="24"/>
          <w:lang w:val="en"/>
        </w:rPr>
      </w:pPr>
      <w:r w:rsidRPr="00B24347">
        <w:rPr>
          <w:rFonts w:ascii="Arial" w:eastAsia="Times New Roman" w:hAnsi="Arial" w:cs="Arial"/>
          <w:b/>
          <w:bCs/>
          <w:color w:val="000000" w:themeColor="text1"/>
          <w:sz w:val="24"/>
          <w:szCs w:val="24"/>
          <w:lang w:val="en"/>
        </w:rPr>
        <w:lastRenderedPageBreak/>
        <w:t>Reporting Template</w:t>
      </w:r>
    </w:p>
    <w:p w14:paraId="20C7EC20" w14:textId="77777777" w:rsidR="0099182D" w:rsidRDefault="0099182D">
      <w:pPr>
        <w:spacing w:after="0"/>
        <w:rPr>
          <w:rFonts w:ascii="Arial" w:eastAsia="Times New Roman" w:hAnsi="Arial" w:cs="Arial"/>
          <w:b/>
          <w:bCs/>
          <w:color w:val="000000" w:themeColor="text1"/>
          <w:sz w:val="20"/>
          <w:szCs w:val="20"/>
          <w:lang w:val="en"/>
        </w:rPr>
      </w:pPr>
    </w:p>
    <w:p w14:paraId="183F16C7" w14:textId="64FEDF43"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Protocol Posting Date: June 2021 </w:t>
      </w:r>
    </w:p>
    <w:p w14:paraId="4759808C"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Select a single response unless otherwise indicated.</w:t>
      </w:r>
    </w:p>
    <w:p w14:paraId="4FA553CC"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148CAA41"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CASE SUMMARY: (BONE: Biopsy) </w:t>
      </w:r>
    </w:p>
    <w:p w14:paraId="736C3DBA"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b/>
          <w:bCs/>
          <w:color w:val="000000" w:themeColor="text1"/>
          <w:sz w:val="20"/>
          <w:szCs w:val="20"/>
          <w:lang w:val="en"/>
        </w:rPr>
        <w:t>Standard(s)</w:t>
      </w:r>
      <w:r w:rsidRPr="001006BD">
        <w:rPr>
          <w:rFonts w:ascii="Arial" w:eastAsia="Times New Roman" w:hAnsi="Arial" w:cs="Arial"/>
          <w:color w:val="000000" w:themeColor="text1"/>
          <w:sz w:val="20"/>
          <w:szCs w:val="20"/>
          <w:lang w:val="en"/>
        </w:rPr>
        <w:t xml:space="preserve">: AJCC-UICC 8 </w:t>
      </w:r>
    </w:p>
    <w:p w14:paraId="1A88F8AA" w14:textId="1CEE082F" w:rsidR="001006BD" w:rsidRPr="0099182D" w:rsidRDefault="001006BD">
      <w:pPr>
        <w:spacing w:after="0"/>
        <w:rPr>
          <w:rFonts w:ascii="Arial" w:eastAsia="Times New Roman" w:hAnsi="Arial" w:cs="Arial"/>
          <w:i/>
          <w:iCs/>
          <w:color w:val="000000" w:themeColor="text1"/>
          <w:sz w:val="16"/>
          <w:szCs w:val="16"/>
          <w:lang w:val="en"/>
        </w:rPr>
      </w:pPr>
      <w:r w:rsidRPr="0099182D">
        <w:rPr>
          <w:rFonts w:ascii="Arial" w:eastAsia="Times New Roman" w:hAnsi="Arial" w:cs="Arial"/>
          <w:i/>
          <w:iCs/>
          <w:color w:val="000000" w:themeColor="text1"/>
          <w:sz w:val="16"/>
          <w:szCs w:val="16"/>
          <w:lang w:val="en"/>
        </w:rPr>
        <w:t xml:space="preserve">This case summary is recommended for reporting biopsy </w:t>
      </w:r>
      <w:proofErr w:type="gramStart"/>
      <w:r w:rsidRPr="0099182D">
        <w:rPr>
          <w:rFonts w:ascii="Arial" w:eastAsia="Times New Roman" w:hAnsi="Arial" w:cs="Arial"/>
          <w:i/>
          <w:iCs/>
          <w:color w:val="000000" w:themeColor="text1"/>
          <w:sz w:val="16"/>
          <w:szCs w:val="16"/>
          <w:lang w:val="en"/>
        </w:rPr>
        <w:t>specimens</w:t>
      </w:r>
      <w:r w:rsidR="00F21FF6">
        <w:rPr>
          <w:rFonts w:ascii="Arial" w:eastAsia="Times New Roman" w:hAnsi="Arial" w:cs="Arial"/>
          <w:i/>
          <w:iCs/>
          <w:color w:val="000000" w:themeColor="text1"/>
          <w:sz w:val="16"/>
          <w:szCs w:val="16"/>
          <w:lang w:val="en"/>
        </w:rPr>
        <w:t>,</w:t>
      </w:r>
      <w:r w:rsidRPr="0099182D">
        <w:rPr>
          <w:rFonts w:ascii="Arial" w:eastAsia="Times New Roman" w:hAnsi="Arial" w:cs="Arial"/>
          <w:i/>
          <w:iCs/>
          <w:color w:val="000000" w:themeColor="text1"/>
          <w:sz w:val="16"/>
          <w:szCs w:val="16"/>
          <w:lang w:val="en"/>
        </w:rPr>
        <w:t xml:space="preserve"> but</w:t>
      </w:r>
      <w:proofErr w:type="gramEnd"/>
      <w:r w:rsidRPr="0099182D">
        <w:rPr>
          <w:rFonts w:ascii="Arial" w:eastAsia="Times New Roman" w:hAnsi="Arial" w:cs="Arial"/>
          <w:i/>
          <w:iCs/>
          <w:color w:val="000000" w:themeColor="text1"/>
          <w:sz w:val="16"/>
          <w:szCs w:val="16"/>
          <w:lang w:val="en"/>
        </w:rPr>
        <w:t xml:space="preserve"> is not required for accreditation purposes. </w:t>
      </w:r>
    </w:p>
    <w:p w14:paraId="13B86169"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37DAFD8"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CLINICAL (Note </w:t>
      </w:r>
      <w:hyperlink w:anchor="1602" w:history="1">
        <w:r w:rsidRPr="00995898">
          <w:rPr>
            <w:rStyle w:val="Hyperlink"/>
            <w:rFonts w:ascii="Arial" w:eastAsia="Times New Roman" w:hAnsi="Arial" w:cs="Arial"/>
            <w:b/>
            <w:bCs/>
            <w:sz w:val="20"/>
            <w:szCs w:val="20"/>
            <w:lang w:val="en"/>
          </w:rPr>
          <w:t>A</w:t>
        </w:r>
      </w:hyperlink>
      <w:r w:rsidRPr="001006BD">
        <w:rPr>
          <w:rFonts w:ascii="Arial" w:eastAsia="Times New Roman" w:hAnsi="Arial" w:cs="Arial"/>
          <w:b/>
          <w:bCs/>
          <w:color w:val="000000" w:themeColor="text1"/>
          <w:sz w:val="20"/>
          <w:szCs w:val="20"/>
          <w:lang w:val="en"/>
        </w:rPr>
        <w:t xml:space="preserve">) </w:t>
      </w:r>
    </w:p>
    <w:p w14:paraId="27CFBBE0"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67674203"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+Radiographic Findings (Note </w:t>
      </w:r>
      <w:hyperlink w:anchor="1605" w:history="1">
        <w:r w:rsidRPr="00995898">
          <w:rPr>
            <w:rStyle w:val="Hyperlink"/>
            <w:rFonts w:ascii="Arial" w:eastAsia="Times New Roman" w:hAnsi="Arial" w:cs="Arial"/>
            <w:b/>
            <w:bCs/>
            <w:sz w:val="20"/>
            <w:szCs w:val="20"/>
            <w:lang w:val="en"/>
          </w:rPr>
          <w:t>B</w:t>
        </w:r>
      </w:hyperlink>
      <w:r w:rsidRPr="001006BD">
        <w:rPr>
          <w:rFonts w:ascii="Arial" w:eastAsia="Times New Roman" w:hAnsi="Arial" w:cs="Arial"/>
          <w:b/>
          <w:bCs/>
          <w:color w:val="000000" w:themeColor="text1"/>
          <w:sz w:val="20"/>
          <w:szCs w:val="20"/>
          <w:lang w:val="en"/>
        </w:rPr>
        <w:t xml:space="preserve">) </w:t>
      </w:r>
    </w:p>
    <w:p w14:paraId="7F5C4B6C"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Specify: _________________ </w:t>
      </w:r>
    </w:p>
    <w:p w14:paraId="12C66260"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available </w:t>
      </w:r>
    </w:p>
    <w:p w14:paraId="5FB8C554"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4E771A28"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SPECIMEN </w:t>
      </w:r>
    </w:p>
    <w:p w14:paraId="4A3346EC"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C34B622"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Procedure (Note </w:t>
      </w:r>
      <w:hyperlink w:anchor="1603" w:history="1">
        <w:r w:rsidRPr="00F21FF6">
          <w:rPr>
            <w:rStyle w:val="Hyperlink"/>
            <w:rFonts w:ascii="Arial" w:eastAsia="Times New Roman" w:hAnsi="Arial" w:cs="Arial"/>
            <w:b/>
            <w:bCs/>
            <w:sz w:val="20"/>
            <w:szCs w:val="20"/>
            <w:lang w:val="en"/>
          </w:rPr>
          <w:t>C</w:t>
        </w:r>
      </w:hyperlink>
      <w:r w:rsidRPr="001006BD">
        <w:rPr>
          <w:rFonts w:ascii="Arial" w:eastAsia="Times New Roman" w:hAnsi="Arial" w:cs="Arial"/>
          <w:b/>
          <w:bCs/>
          <w:color w:val="000000" w:themeColor="text1"/>
          <w:sz w:val="20"/>
          <w:szCs w:val="20"/>
          <w:lang w:val="en"/>
        </w:rPr>
        <w:t xml:space="preserve">) </w:t>
      </w:r>
    </w:p>
    <w:p w14:paraId="7D3C0D7D"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Core needle biopsy </w:t>
      </w:r>
    </w:p>
    <w:p w14:paraId="03DE7E22"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Curettage </w:t>
      </w:r>
    </w:p>
    <w:p w14:paraId="09998C70"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Excisional biopsy </w:t>
      </w:r>
    </w:p>
    <w:p w14:paraId="62AD4CFF"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Other (specify): _________________ </w:t>
      </w:r>
    </w:p>
    <w:p w14:paraId="2D6FC833"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specified </w:t>
      </w:r>
    </w:p>
    <w:p w14:paraId="34602625"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67A41635"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TUMOR </w:t>
      </w:r>
    </w:p>
    <w:p w14:paraId="1CF4D502"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779C7AD3"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Tumor Site (Note </w:t>
      </w:r>
      <w:hyperlink w:anchor="1604" w:history="1">
        <w:r w:rsidRPr="00F21FF6">
          <w:rPr>
            <w:rStyle w:val="Hyperlink"/>
            <w:rFonts w:ascii="Arial" w:eastAsia="Times New Roman" w:hAnsi="Arial" w:cs="Arial"/>
            <w:b/>
            <w:bCs/>
            <w:sz w:val="20"/>
            <w:szCs w:val="20"/>
            <w:lang w:val="en"/>
          </w:rPr>
          <w:t>D</w:t>
        </w:r>
      </w:hyperlink>
      <w:r w:rsidRPr="001006BD">
        <w:rPr>
          <w:rFonts w:ascii="Arial" w:eastAsia="Times New Roman" w:hAnsi="Arial" w:cs="Arial"/>
          <w:b/>
          <w:bCs/>
          <w:color w:val="000000" w:themeColor="text1"/>
          <w:sz w:val="20"/>
          <w:szCs w:val="20"/>
          <w:lang w:val="en"/>
        </w:rPr>
        <w:t xml:space="preserve">) </w:t>
      </w:r>
    </w:p>
    <w:p w14:paraId="4920ED55"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Appendicular skeleton (specify bone, if known): _________________ </w:t>
      </w:r>
    </w:p>
    <w:p w14:paraId="0F3DB950"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Spine (specify bone, if known): _________________ </w:t>
      </w:r>
    </w:p>
    <w:p w14:paraId="4DFAE6F6"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Pelvis (specify bone, if known): _________________ </w:t>
      </w:r>
    </w:p>
    <w:p w14:paraId="2D7B4E59"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specified </w:t>
      </w:r>
    </w:p>
    <w:p w14:paraId="6E798425"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46CF7B26"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Tumor Location and Extent (Note </w:t>
      </w:r>
      <w:hyperlink w:anchor="1605" w:history="1">
        <w:r w:rsidRPr="00F21FF6">
          <w:rPr>
            <w:rStyle w:val="Hyperlink"/>
            <w:rFonts w:ascii="Arial" w:eastAsia="Times New Roman" w:hAnsi="Arial" w:cs="Arial"/>
            <w:b/>
            <w:bCs/>
            <w:sz w:val="20"/>
            <w:szCs w:val="20"/>
            <w:lang w:val="en"/>
          </w:rPr>
          <w:t>B</w:t>
        </w:r>
      </w:hyperlink>
      <w:r w:rsidRPr="001006BD">
        <w:rPr>
          <w:rFonts w:ascii="Arial" w:eastAsia="Times New Roman" w:hAnsi="Arial" w:cs="Arial"/>
          <w:b/>
          <w:bCs/>
          <w:color w:val="000000" w:themeColor="text1"/>
          <w:sz w:val="20"/>
          <w:szCs w:val="20"/>
          <w:lang w:val="en"/>
        </w:rPr>
        <w:t xml:space="preserve">) (select all that apply) </w:t>
      </w:r>
    </w:p>
    <w:p w14:paraId="20B43673"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Epiphysis or apophysis </w:t>
      </w:r>
    </w:p>
    <w:p w14:paraId="3C99A4DB"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Metaphysis </w:t>
      </w:r>
    </w:p>
    <w:p w14:paraId="6D563F8C"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Diaphysis </w:t>
      </w:r>
    </w:p>
    <w:p w14:paraId="20D0BD78"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Cortex </w:t>
      </w:r>
    </w:p>
    <w:p w14:paraId="030175BF"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Medullary cavity </w:t>
      </w:r>
    </w:p>
    <w:p w14:paraId="6A0EC8FF"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Surface </w:t>
      </w:r>
    </w:p>
    <w:p w14:paraId="5441C9B6"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Involves joint </w:t>
      </w:r>
    </w:p>
    <w:p w14:paraId="7AE42B3F"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Extends into soft tissue </w:t>
      </w:r>
    </w:p>
    <w:p w14:paraId="1E5C11D1"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_________________ </w:t>
      </w:r>
    </w:p>
    <w:p w14:paraId="4D243134"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00806D2A"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Histologic Type (World Health Organization [WHO] Classification of Malignant Bone Tumors) (Note </w:t>
      </w:r>
      <w:hyperlink w:anchor="1606" w:history="1">
        <w:r w:rsidRPr="00F21FF6">
          <w:rPr>
            <w:rStyle w:val="Hyperlink"/>
            <w:rFonts w:ascii="Arial" w:eastAsia="Times New Roman" w:hAnsi="Arial" w:cs="Arial"/>
            <w:b/>
            <w:bCs/>
            <w:sz w:val="20"/>
            <w:szCs w:val="20"/>
            <w:lang w:val="en"/>
          </w:rPr>
          <w:t>E</w:t>
        </w:r>
      </w:hyperlink>
      <w:r w:rsidRPr="001006BD">
        <w:rPr>
          <w:rFonts w:ascii="Arial" w:eastAsia="Times New Roman" w:hAnsi="Arial" w:cs="Arial"/>
          <w:b/>
          <w:bCs/>
          <w:color w:val="000000" w:themeColor="text1"/>
          <w:sz w:val="20"/>
          <w:szCs w:val="20"/>
          <w:lang w:val="en"/>
        </w:rPr>
        <w:t xml:space="preserve">) </w:t>
      </w:r>
    </w:p>
    <w:p w14:paraId="59E88C7E"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Chondrogenic Tumors </w:t>
      </w:r>
    </w:p>
    <w:p w14:paraId="4962AC5E"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Chondrosarcoma </w:t>
      </w:r>
    </w:p>
    <w:p w14:paraId="697B7B58"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Dedifferentiated chondrosarcoma </w:t>
      </w:r>
    </w:p>
    <w:p w14:paraId="4137E012"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lastRenderedPageBreak/>
        <w:t xml:space="preserve">___ Periosteal chondrosarcoma </w:t>
      </w:r>
    </w:p>
    <w:p w14:paraId="179BEB1B"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Clear cell chondrosarcoma </w:t>
      </w:r>
    </w:p>
    <w:p w14:paraId="5397391C"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Mesenchymal chondrosarcoma </w:t>
      </w:r>
    </w:p>
    <w:p w14:paraId="6B76B9E4"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Osteogenic Tumors </w:t>
      </w:r>
    </w:p>
    <w:p w14:paraId="44C64E0C"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Low grade central osteosarcoma </w:t>
      </w:r>
    </w:p>
    <w:p w14:paraId="06AD03B2"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Osteosarcoma NOS </w:t>
      </w:r>
    </w:p>
    <w:p w14:paraId="36737544"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Conventional osteosarcoma </w:t>
      </w:r>
    </w:p>
    <w:p w14:paraId="066694F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Telangiectatic osteosarcoma </w:t>
      </w:r>
    </w:p>
    <w:p w14:paraId="286E54E0"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Small cell osteosarcoma </w:t>
      </w:r>
    </w:p>
    <w:p w14:paraId="2BBADA3C"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w:t>
      </w:r>
      <w:proofErr w:type="spellStart"/>
      <w:r w:rsidRPr="001006BD">
        <w:rPr>
          <w:rFonts w:ascii="Arial" w:eastAsia="Times New Roman" w:hAnsi="Arial" w:cs="Arial"/>
          <w:color w:val="000000" w:themeColor="text1"/>
          <w:sz w:val="20"/>
          <w:szCs w:val="20"/>
          <w:lang w:val="en"/>
        </w:rPr>
        <w:t>Parosteal</w:t>
      </w:r>
      <w:proofErr w:type="spellEnd"/>
      <w:r w:rsidRPr="001006BD">
        <w:rPr>
          <w:rFonts w:ascii="Arial" w:eastAsia="Times New Roman" w:hAnsi="Arial" w:cs="Arial"/>
          <w:color w:val="000000" w:themeColor="text1"/>
          <w:sz w:val="20"/>
          <w:szCs w:val="20"/>
          <w:lang w:val="en"/>
        </w:rPr>
        <w:t xml:space="preserve"> osteosarcoma </w:t>
      </w:r>
    </w:p>
    <w:p w14:paraId="3A5306D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Periosteal osteosarcoma </w:t>
      </w:r>
    </w:p>
    <w:p w14:paraId="1E3B28A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High grade surface osteosarcoma </w:t>
      </w:r>
    </w:p>
    <w:p w14:paraId="5E9426E6"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Secondary osteosarcoma </w:t>
      </w:r>
    </w:p>
    <w:p w14:paraId="74A52C47" w14:textId="77777777" w:rsidR="001006BD" w:rsidRPr="001006BD" w:rsidRDefault="001006BD">
      <w:pPr>
        <w:spacing w:after="0"/>
        <w:ind w:firstLine="48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+Precipitating Factor for Secondary Osteosarcoma: _________________ </w:t>
      </w:r>
    </w:p>
    <w:p w14:paraId="7FA0A11E"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Undifferentiated Small Round Cell Sarcomas </w:t>
      </w:r>
    </w:p>
    <w:p w14:paraId="5051E985"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Ewing sarcoma </w:t>
      </w:r>
    </w:p>
    <w:p w14:paraId="71786343"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Round cell sarcoma with EWSR1-non ETS fusions </w:t>
      </w:r>
    </w:p>
    <w:p w14:paraId="3284FA46"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CIC-rearranged sarcoma </w:t>
      </w:r>
    </w:p>
    <w:p w14:paraId="32822FD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Sarcoma with BCOR genetic alterations </w:t>
      </w:r>
    </w:p>
    <w:p w14:paraId="4773025C"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w:t>
      </w:r>
      <w:proofErr w:type="spellStart"/>
      <w:r w:rsidRPr="001006BD">
        <w:rPr>
          <w:rFonts w:ascii="Arial" w:eastAsia="Times New Roman" w:hAnsi="Arial" w:cs="Arial"/>
          <w:color w:val="000000" w:themeColor="text1"/>
          <w:sz w:val="20"/>
          <w:szCs w:val="20"/>
          <w:lang w:val="en"/>
        </w:rPr>
        <w:t>Fibrogenic</w:t>
      </w:r>
      <w:proofErr w:type="spellEnd"/>
      <w:r w:rsidRPr="001006BD">
        <w:rPr>
          <w:rFonts w:ascii="Arial" w:eastAsia="Times New Roman" w:hAnsi="Arial" w:cs="Arial"/>
          <w:color w:val="000000" w:themeColor="text1"/>
          <w:sz w:val="20"/>
          <w:szCs w:val="20"/>
          <w:lang w:val="en"/>
        </w:rPr>
        <w:t xml:space="preserve"> Tumors - Fibrosarcoma of bone </w:t>
      </w:r>
    </w:p>
    <w:p w14:paraId="222E4B6E"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Malignancy in giant cell tumor of bone </w:t>
      </w:r>
    </w:p>
    <w:p w14:paraId="651083CA"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Notochordal Tumors </w:t>
      </w:r>
    </w:p>
    <w:p w14:paraId="459CCB80"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Chordoma NOS </w:t>
      </w:r>
    </w:p>
    <w:p w14:paraId="2B37D5A7"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Chondroid chordoma </w:t>
      </w:r>
    </w:p>
    <w:p w14:paraId="180C2D94"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Poorly differentiated chordoma </w:t>
      </w:r>
    </w:p>
    <w:p w14:paraId="263D4C4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Dedifferentiated chordoma </w:t>
      </w:r>
    </w:p>
    <w:p w14:paraId="18A4EF08"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Vascular Tumors </w:t>
      </w:r>
    </w:p>
    <w:p w14:paraId="0A72BD35"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Epithelioid hemangioendothelioma </w:t>
      </w:r>
    </w:p>
    <w:p w14:paraId="6ED14FAD"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Angiosarcoma </w:t>
      </w:r>
    </w:p>
    <w:p w14:paraId="6EEA8D3E"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Other Mesenchymal Tumors </w:t>
      </w:r>
    </w:p>
    <w:p w14:paraId="373964DB"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Leiomyosarcoma of bone </w:t>
      </w:r>
    </w:p>
    <w:p w14:paraId="2FDEFD9A"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Adamantinoma </w:t>
      </w:r>
    </w:p>
    <w:p w14:paraId="18B3C0D5"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Dedifferentiated adamantinoma </w:t>
      </w:r>
    </w:p>
    <w:p w14:paraId="42F97496"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Undifferentiated high-grade pleomorphic sarcoma </w:t>
      </w:r>
    </w:p>
    <w:p w14:paraId="76FA63B9"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_________________ </w:t>
      </w:r>
    </w:p>
    <w:p w14:paraId="7ED0AA1D" w14:textId="77777777" w:rsidR="001006BD" w:rsidRPr="001006BD" w:rsidRDefault="001006BD" w:rsidP="00E70EC2">
      <w:pPr>
        <w:spacing w:before="120"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Other histologic type not listed (specify): _________________ </w:t>
      </w:r>
    </w:p>
    <w:p w14:paraId="261B08C2" w14:textId="77777777" w:rsidR="001006BD" w:rsidRPr="001006BD" w:rsidRDefault="001006BD">
      <w:pPr>
        <w:spacing w:after="0"/>
        <w:ind w:firstLine="24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+Histologic Type Comment: _________________ </w:t>
      </w:r>
    </w:p>
    <w:p w14:paraId="762BB571"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05DCAE62"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Histologic Grade (Note </w:t>
      </w:r>
      <w:hyperlink w:anchor="1608" w:history="1">
        <w:r w:rsidRPr="00F21FF6">
          <w:rPr>
            <w:rStyle w:val="Hyperlink"/>
            <w:rFonts w:ascii="Arial" w:eastAsia="Times New Roman" w:hAnsi="Arial" w:cs="Arial"/>
            <w:b/>
            <w:bCs/>
            <w:sz w:val="20"/>
            <w:szCs w:val="20"/>
            <w:lang w:val="en"/>
          </w:rPr>
          <w:t>F</w:t>
        </w:r>
      </w:hyperlink>
      <w:r w:rsidRPr="001006BD">
        <w:rPr>
          <w:rFonts w:ascii="Arial" w:eastAsia="Times New Roman" w:hAnsi="Arial" w:cs="Arial"/>
          <w:b/>
          <w:bCs/>
          <w:color w:val="000000" w:themeColor="text1"/>
          <w:sz w:val="20"/>
          <w:szCs w:val="20"/>
          <w:lang w:val="en"/>
        </w:rPr>
        <w:t xml:space="preserve">) </w:t>
      </w:r>
    </w:p>
    <w:p w14:paraId="7E1AA2AA"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G1, well differentiated, low grade </w:t>
      </w:r>
    </w:p>
    <w:p w14:paraId="5EDF5562"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G2, moderately differentiated, high grade </w:t>
      </w:r>
    </w:p>
    <w:p w14:paraId="38DB73BC"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G3, poorly differentiated, high grade </w:t>
      </w:r>
    </w:p>
    <w:p w14:paraId="55F3B2AF"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GX, cannot be assessed: _________________ </w:t>
      </w:r>
    </w:p>
    <w:p w14:paraId="011AD70B"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applicable </w:t>
      </w:r>
    </w:p>
    <w:p w14:paraId="7DB870F2"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7D1FDB6" w14:textId="6EDEFC92"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lastRenderedPageBreak/>
        <w:t xml:space="preserve">+Mitotic Rate (Note </w:t>
      </w:r>
      <w:hyperlink w:anchor="1607" w:history="1">
        <w:r w:rsidRPr="00F21FF6">
          <w:rPr>
            <w:rStyle w:val="Hyperlink"/>
            <w:rFonts w:ascii="Arial" w:eastAsia="Times New Roman" w:hAnsi="Arial" w:cs="Arial"/>
            <w:b/>
            <w:bCs/>
            <w:sz w:val="20"/>
            <w:szCs w:val="20"/>
            <w:lang w:val="en"/>
          </w:rPr>
          <w:t>G</w:t>
        </w:r>
      </w:hyperlink>
      <w:r w:rsidRPr="001006BD">
        <w:rPr>
          <w:rFonts w:ascii="Arial" w:eastAsia="Times New Roman" w:hAnsi="Arial" w:cs="Arial"/>
          <w:b/>
          <w:bCs/>
          <w:color w:val="000000" w:themeColor="text1"/>
          <w:sz w:val="20"/>
          <w:szCs w:val="20"/>
          <w:lang w:val="en"/>
        </w:rPr>
        <w:t xml:space="preserve">) </w:t>
      </w:r>
    </w:p>
    <w:p w14:paraId="3DFEEFA2"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___ Specify mitotic rate per mm</w:t>
      </w:r>
      <w:r w:rsidRPr="00E70EC2">
        <w:rPr>
          <w:rFonts w:ascii="Arial" w:eastAsia="Times New Roman" w:hAnsi="Arial" w:cs="Arial"/>
          <w:color w:val="000000" w:themeColor="text1"/>
          <w:sz w:val="20"/>
          <w:szCs w:val="20"/>
          <w:vertAlign w:val="superscript"/>
          <w:lang w:val="en"/>
        </w:rPr>
        <w:t>2</w:t>
      </w:r>
      <w:r w:rsidRPr="001006BD">
        <w:rPr>
          <w:rFonts w:ascii="Arial" w:eastAsia="Times New Roman" w:hAnsi="Arial" w:cs="Arial"/>
          <w:color w:val="000000" w:themeColor="text1"/>
          <w:sz w:val="20"/>
          <w:szCs w:val="20"/>
          <w:lang w:val="en"/>
        </w:rPr>
        <w:t>: _________________ mitoses per mm</w:t>
      </w:r>
      <w:r w:rsidRPr="00E70EC2">
        <w:rPr>
          <w:rFonts w:ascii="Arial" w:eastAsia="Times New Roman" w:hAnsi="Arial" w:cs="Arial"/>
          <w:color w:val="000000" w:themeColor="text1"/>
          <w:sz w:val="20"/>
          <w:szCs w:val="20"/>
          <w:vertAlign w:val="superscript"/>
          <w:lang w:val="en"/>
        </w:rPr>
        <w:t>2</w:t>
      </w:r>
    </w:p>
    <w:p w14:paraId="783BDC63" w14:textId="238C9F54"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___ Specify mitotic rate per 10 high-power fields (HPF): _______ mitoses per 10 high-power fields (HPF)</w:t>
      </w:r>
    </w:p>
    <w:p w14:paraId="2B82A732"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(explain): _________________ </w:t>
      </w:r>
    </w:p>
    <w:p w14:paraId="4E54EBED"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AEBB6DE" w14:textId="229B4FD8"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Necrosis (Note </w:t>
      </w:r>
      <w:hyperlink w:anchor="1603" w:history="1">
        <w:r w:rsidRPr="00F21FF6">
          <w:rPr>
            <w:rStyle w:val="Hyperlink"/>
            <w:rFonts w:ascii="Arial" w:eastAsia="Times New Roman" w:hAnsi="Arial" w:cs="Arial"/>
            <w:b/>
            <w:bCs/>
            <w:sz w:val="20"/>
            <w:szCs w:val="20"/>
            <w:lang w:val="en"/>
          </w:rPr>
          <w:t>C</w:t>
        </w:r>
      </w:hyperlink>
      <w:r w:rsidRPr="001006BD">
        <w:rPr>
          <w:rFonts w:ascii="Arial" w:eastAsia="Times New Roman" w:hAnsi="Arial" w:cs="Arial"/>
          <w:b/>
          <w:bCs/>
          <w:color w:val="000000" w:themeColor="text1"/>
          <w:sz w:val="20"/>
          <w:szCs w:val="20"/>
          <w:lang w:val="en"/>
        </w:rPr>
        <w:t xml:space="preserve">) </w:t>
      </w:r>
    </w:p>
    <w:p w14:paraId="2FD33F56"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identified </w:t>
      </w:r>
    </w:p>
    <w:p w14:paraId="5631942B"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Present </w:t>
      </w:r>
    </w:p>
    <w:p w14:paraId="470E0BDD" w14:textId="77777777" w:rsidR="001006BD" w:rsidRPr="001006BD" w:rsidRDefault="001006BD">
      <w:pPr>
        <w:spacing w:after="0"/>
        <w:ind w:firstLine="24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Extent of Necrosis </w:t>
      </w:r>
    </w:p>
    <w:p w14:paraId="00E9F9C0"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___ Specify percentage: _________________ %</w:t>
      </w:r>
    </w:p>
    <w:p w14:paraId="2B1EF3C6" w14:textId="77777777" w:rsidR="001006BD" w:rsidRPr="001006BD" w:rsidRDefault="001006BD">
      <w:pPr>
        <w:spacing w:after="0"/>
        <w:ind w:firstLine="24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(explain): _________________ </w:t>
      </w:r>
    </w:p>
    <w:p w14:paraId="5D7AAF2C"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w:t>
      </w:r>
    </w:p>
    <w:p w14:paraId="469F11D3"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5F7B9DEC"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w:t>
      </w:r>
      <w:proofErr w:type="spellStart"/>
      <w:r w:rsidRPr="001006BD">
        <w:rPr>
          <w:rFonts w:ascii="Arial" w:eastAsia="Times New Roman" w:hAnsi="Arial" w:cs="Arial"/>
          <w:b/>
          <w:bCs/>
          <w:color w:val="000000" w:themeColor="text1"/>
          <w:sz w:val="20"/>
          <w:szCs w:val="20"/>
          <w:lang w:val="en"/>
        </w:rPr>
        <w:t>Lymphovascular</w:t>
      </w:r>
      <w:proofErr w:type="spellEnd"/>
      <w:r w:rsidRPr="001006BD">
        <w:rPr>
          <w:rFonts w:ascii="Arial" w:eastAsia="Times New Roman" w:hAnsi="Arial" w:cs="Arial"/>
          <w:b/>
          <w:bCs/>
          <w:color w:val="000000" w:themeColor="text1"/>
          <w:sz w:val="20"/>
          <w:szCs w:val="20"/>
          <w:lang w:val="en"/>
        </w:rPr>
        <w:t xml:space="preserve"> Invasion (Note </w:t>
      </w:r>
      <w:hyperlink w:anchor="1609" w:history="1">
        <w:r w:rsidRPr="00995898">
          <w:rPr>
            <w:rStyle w:val="Hyperlink"/>
            <w:rFonts w:ascii="Arial" w:eastAsia="Times New Roman" w:hAnsi="Arial" w:cs="Arial"/>
            <w:b/>
            <w:bCs/>
            <w:sz w:val="20"/>
            <w:szCs w:val="20"/>
            <w:lang w:val="en"/>
          </w:rPr>
          <w:t>H</w:t>
        </w:r>
      </w:hyperlink>
      <w:r w:rsidRPr="001006BD">
        <w:rPr>
          <w:rFonts w:ascii="Arial" w:eastAsia="Times New Roman" w:hAnsi="Arial" w:cs="Arial"/>
          <w:b/>
          <w:bCs/>
          <w:color w:val="000000" w:themeColor="text1"/>
          <w:sz w:val="20"/>
          <w:szCs w:val="20"/>
          <w:lang w:val="en"/>
        </w:rPr>
        <w:t xml:space="preserve">) </w:t>
      </w:r>
    </w:p>
    <w:p w14:paraId="24665182"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identified </w:t>
      </w:r>
    </w:p>
    <w:p w14:paraId="0451BBDA"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Present </w:t>
      </w:r>
    </w:p>
    <w:p w14:paraId="4EA04295"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Cannot be determined: _________________ </w:t>
      </w:r>
    </w:p>
    <w:p w14:paraId="7527244B"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79A84D19"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+Tumor Comment: _________________ </w:t>
      </w:r>
    </w:p>
    <w:p w14:paraId="48A2C206"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6FA4975"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ADDITIONAL FINDINGS </w:t>
      </w:r>
    </w:p>
    <w:p w14:paraId="6AE0C8D8"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4C860147"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+Additional Findings (specify): _________________ </w:t>
      </w:r>
    </w:p>
    <w:p w14:paraId="4BEBCF8B"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3085DDAA"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SPECIAL STUDIES </w:t>
      </w:r>
    </w:p>
    <w:p w14:paraId="1A959841"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77FEB2C0"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Immunohistochemistry </w:t>
      </w:r>
    </w:p>
    <w:p w14:paraId="011C7859"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Specify: _________________ </w:t>
      </w:r>
    </w:p>
    <w:p w14:paraId="3C41A6E7"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performed: _________________ </w:t>
      </w:r>
    </w:p>
    <w:p w14:paraId="3DACCB14"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applicable </w:t>
      </w:r>
    </w:p>
    <w:p w14:paraId="28F7976F"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3D7936A5"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Cytogenetics </w:t>
      </w:r>
    </w:p>
    <w:p w14:paraId="6E32300E"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Specify: _________________ </w:t>
      </w:r>
    </w:p>
    <w:p w14:paraId="166A7A4E"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performed: _________________ </w:t>
      </w:r>
    </w:p>
    <w:p w14:paraId="0DE2C780"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applicable </w:t>
      </w:r>
    </w:p>
    <w:p w14:paraId="500C1FB6"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7C297B61"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Molecular Pathology </w:t>
      </w:r>
    </w:p>
    <w:p w14:paraId="5E6F3884"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Specify: _________________ </w:t>
      </w:r>
    </w:p>
    <w:p w14:paraId="6BD7F897"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performed: _________________ </w:t>
      </w:r>
    </w:p>
    <w:p w14:paraId="5768B47C"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___ Not applicable </w:t>
      </w:r>
    </w:p>
    <w:p w14:paraId="66E0EE28"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5E1D7110"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COMMENTS </w:t>
      </w:r>
    </w:p>
    <w:p w14:paraId="2A87484F" w14:textId="77777777" w:rsidR="001006BD" w:rsidRPr="001006BD" w:rsidRDefault="001006BD">
      <w:pPr>
        <w:spacing w:after="0"/>
        <w:divId w:val="212617351"/>
        <w:rPr>
          <w:rFonts w:ascii="Arial" w:eastAsia="Times New Roman" w:hAnsi="Arial" w:cs="Arial"/>
          <w:color w:val="000000" w:themeColor="text1"/>
          <w:sz w:val="20"/>
          <w:szCs w:val="20"/>
          <w:lang w:val="en"/>
        </w:rPr>
      </w:pPr>
    </w:p>
    <w:p w14:paraId="22EDBBD8"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Comment(s): _________________ </w:t>
      </w:r>
    </w:p>
    <w:p w14:paraId="1C0C7A5E" w14:textId="5B4C5312" w:rsidR="001006BD" w:rsidRPr="001006BD" w:rsidRDefault="0099182D" w:rsidP="0099182D">
      <w:pPr>
        <w:rPr>
          <w:rFonts w:ascii="Arial" w:eastAsia="Times New Roman" w:hAnsi="Arial" w:cs="Arial"/>
          <w:color w:val="000000" w:themeColor="text1"/>
          <w:sz w:val="20"/>
          <w:szCs w:val="20"/>
          <w:lang w:val="en"/>
        </w:rPr>
      </w:pPr>
      <w:r>
        <w:rPr>
          <w:rFonts w:ascii="Arial" w:eastAsia="Times New Roman" w:hAnsi="Arial" w:cs="Arial"/>
          <w:color w:val="000000" w:themeColor="text1"/>
          <w:sz w:val="20"/>
          <w:szCs w:val="20"/>
          <w:lang w:val="en"/>
        </w:rPr>
        <w:br w:type="page"/>
      </w:r>
    </w:p>
    <w:p w14:paraId="210F071B" w14:textId="77777777" w:rsidR="001006BD" w:rsidRPr="00B24347" w:rsidRDefault="001006BD" w:rsidP="00B24347">
      <w:pPr>
        <w:pBdr>
          <w:bottom w:val="single" w:sz="4" w:space="1" w:color="auto"/>
        </w:pBdr>
        <w:spacing w:after="0"/>
        <w:rPr>
          <w:rFonts w:ascii="Arial" w:eastAsia="Times New Roman" w:hAnsi="Arial" w:cs="Arial"/>
          <w:b/>
          <w:bCs/>
          <w:color w:val="000000" w:themeColor="text1"/>
          <w:sz w:val="24"/>
          <w:szCs w:val="24"/>
          <w:lang w:val="en"/>
        </w:rPr>
      </w:pPr>
      <w:r w:rsidRPr="00B24347">
        <w:rPr>
          <w:rFonts w:ascii="Arial" w:eastAsia="Times New Roman" w:hAnsi="Arial" w:cs="Arial"/>
          <w:b/>
          <w:bCs/>
          <w:color w:val="000000" w:themeColor="text1"/>
          <w:sz w:val="24"/>
          <w:szCs w:val="24"/>
          <w:lang w:val="en"/>
        </w:rPr>
        <w:lastRenderedPageBreak/>
        <w:t>Explanatory Notes</w:t>
      </w:r>
    </w:p>
    <w:p w14:paraId="59B04B79" w14:textId="77777777" w:rsidR="0099182D" w:rsidRDefault="0099182D">
      <w:pPr>
        <w:spacing w:after="0"/>
        <w:rPr>
          <w:rFonts w:ascii="Arial" w:eastAsia="Times New Roman" w:hAnsi="Arial" w:cs="Arial"/>
          <w:b/>
          <w:bCs/>
          <w:color w:val="000000" w:themeColor="text1"/>
          <w:sz w:val="20"/>
          <w:szCs w:val="20"/>
          <w:lang w:val="en"/>
        </w:rPr>
      </w:pPr>
    </w:p>
    <w:p w14:paraId="589048A2" w14:textId="6AD71E3F" w:rsidR="001006BD" w:rsidRPr="001006BD" w:rsidRDefault="001006BD" w:rsidP="00E07B03">
      <w:pPr>
        <w:spacing w:after="0"/>
        <w:jc w:val="both"/>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A. Scope of Guidelines</w:t>
      </w:r>
    </w:p>
    <w:p w14:paraId="4560AB98" w14:textId="36730580" w:rsidR="001006BD" w:rsidRPr="001006BD" w:rsidRDefault="001006BD" w:rsidP="00E07B03">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These recommendations are used for all primary malignant tumors of bone except hematopoietic neoplasms, </w:t>
      </w:r>
      <w:proofErr w:type="spellStart"/>
      <w:r w:rsidRPr="001006BD">
        <w:rPr>
          <w:rFonts w:ascii="Arial" w:hAnsi="Arial" w:cs="Arial"/>
          <w:color w:val="000000" w:themeColor="text1"/>
          <w:sz w:val="20"/>
          <w:szCs w:val="20"/>
          <w:lang w:val="en"/>
        </w:rPr>
        <w:t>ie</w:t>
      </w:r>
      <w:proofErr w:type="spellEnd"/>
      <w:r w:rsidRPr="001006BD">
        <w:rPr>
          <w:rFonts w:ascii="Arial" w:hAnsi="Arial" w:cs="Arial"/>
          <w:color w:val="000000" w:themeColor="text1"/>
          <w:sz w:val="20"/>
          <w:szCs w:val="20"/>
          <w:lang w:val="en"/>
        </w:rPr>
        <w:t>, lymphoma and plasma cell neoplasms.</w:t>
      </w:r>
    </w:p>
    <w:p w14:paraId="28A3D291" w14:textId="77777777" w:rsidR="001006BD" w:rsidRPr="001006BD" w:rsidRDefault="001006BD" w:rsidP="00E07B03">
      <w:pPr>
        <w:spacing w:after="0"/>
        <w:jc w:val="both"/>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B. Tumor Location and Extent </w:t>
      </w:r>
    </w:p>
    <w:p w14:paraId="1F5296A6" w14:textId="38668565" w:rsidR="001006BD" w:rsidRDefault="001006BD" w:rsidP="00E07B03">
      <w:pPr>
        <w:keepNext/>
        <w:tabs>
          <w:tab w:val="left" w:pos="360"/>
        </w:tabs>
        <w:spacing w:after="0"/>
        <w:jc w:val="both"/>
        <w:outlineLvl w:val="1"/>
        <w:rPr>
          <w:rFonts w:ascii="Arial" w:hAnsi="Arial" w:cs="Arial"/>
          <w:color w:val="000000" w:themeColor="text1"/>
          <w:sz w:val="20"/>
          <w:szCs w:val="20"/>
          <w:lang w:val="en"/>
        </w:rPr>
      </w:pPr>
      <w:r w:rsidRPr="001006BD">
        <w:rPr>
          <w:rFonts w:ascii="Arial" w:hAnsi="Arial" w:cs="Arial"/>
          <w:color w:val="000000" w:themeColor="text1"/>
          <w:sz w:val="20"/>
          <w:szCs w:val="20"/>
          <w:lang w:val="en"/>
        </w:rPr>
        <w:t>Radiographic imaging plays an especially critical role in the diagnosis of bone tumors. Close collaboration with an experienced musculoskeletal radiologist and orthopedic surgeon is recommended.</w:t>
      </w:r>
    </w:p>
    <w:p w14:paraId="501843F0" w14:textId="77777777" w:rsidR="00E579B7" w:rsidRPr="001006BD" w:rsidRDefault="00E579B7" w:rsidP="00E07B03">
      <w:pPr>
        <w:keepNext/>
        <w:tabs>
          <w:tab w:val="left" w:pos="360"/>
        </w:tabs>
        <w:spacing w:after="0"/>
        <w:jc w:val="both"/>
        <w:outlineLvl w:val="1"/>
        <w:rPr>
          <w:rFonts w:ascii="Arial" w:hAnsi="Arial" w:cs="Arial"/>
          <w:color w:val="000000" w:themeColor="text1"/>
          <w:sz w:val="20"/>
          <w:szCs w:val="20"/>
          <w:lang w:val="en"/>
        </w:rPr>
      </w:pPr>
    </w:p>
    <w:p w14:paraId="3E6A15FA" w14:textId="77777777" w:rsidR="001006BD" w:rsidRPr="001006BD" w:rsidRDefault="001006BD" w:rsidP="00E07B03">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Figure 1 is a diagrammatic representation of the “anatomic” regions of a long bone. These locations are very important in classifying bone tumors. For instance, </w:t>
      </w:r>
      <w:proofErr w:type="spellStart"/>
      <w:r w:rsidRPr="001006BD">
        <w:rPr>
          <w:rFonts w:ascii="Arial" w:hAnsi="Arial" w:cs="Arial"/>
          <w:color w:val="000000" w:themeColor="text1"/>
          <w:sz w:val="20"/>
          <w:szCs w:val="20"/>
          <w:lang w:val="en"/>
        </w:rPr>
        <w:t>chondroblastomas</w:t>
      </w:r>
      <w:proofErr w:type="spellEnd"/>
      <w:r w:rsidRPr="001006BD">
        <w:rPr>
          <w:rFonts w:ascii="Arial" w:hAnsi="Arial" w:cs="Arial"/>
          <w:color w:val="000000" w:themeColor="text1"/>
          <w:sz w:val="20"/>
          <w:szCs w:val="20"/>
          <w:lang w:val="en"/>
        </w:rPr>
        <w:t xml:space="preserve"> almost always arise in the epiphysis. Epiphyses and apophyses are secondary ossification centers and therefore are embryonic equivalents. The greater and lesser trochanters are apophyses, while the epiphyses are at the ends of long bones.</w:t>
      </w:r>
    </w:p>
    <w:p w14:paraId="06D9F017" w14:textId="77777777" w:rsidR="001006BD" w:rsidRPr="001006BD" w:rsidRDefault="001006BD">
      <w:pPr>
        <w:rPr>
          <w:rFonts w:ascii="Arial" w:hAnsi="Arial" w:cs="Arial"/>
          <w:color w:val="000000" w:themeColor="text1"/>
          <w:sz w:val="20"/>
          <w:szCs w:val="20"/>
          <w:lang w:val="en"/>
        </w:rPr>
      </w:pPr>
      <w:r w:rsidRPr="001006BD">
        <w:rPr>
          <w:rFonts w:ascii="Arial" w:eastAsia="Times New Roman" w:hAnsi="Arial" w:cs="Arial"/>
          <w:b/>
          <w:noProof/>
          <w:color w:val="000000" w:themeColor="text1"/>
          <w:sz w:val="20"/>
          <w:szCs w:val="20"/>
        </w:rPr>
        <w:drawing>
          <wp:inline distT="0" distB="0" distL="0" distR="0" wp14:anchorId="418A0A7D" wp14:editId="67C12BDC">
            <wp:extent cx="2859405"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p w14:paraId="2CAD5FDD" w14:textId="384C1030" w:rsidR="001006BD" w:rsidRPr="001006BD" w:rsidRDefault="001006BD" w:rsidP="00E07B03">
      <w:pPr>
        <w:spacing w:after="120"/>
        <w:ind w:right="720"/>
        <w:jc w:val="both"/>
        <w:rPr>
          <w:rFonts w:ascii="Arial" w:hAnsi="Arial" w:cs="Arial"/>
          <w:color w:val="000000" w:themeColor="text1"/>
          <w:sz w:val="20"/>
          <w:szCs w:val="20"/>
          <w:lang w:val="en"/>
        </w:rPr>
      </w:pPr>
      <w:r w:rsidRPr="001006BD">
        <w:rPr>
          <w:rStyle w:val="Strong"/>
          <w:rFonts w:ascii="Arial" w:hAnsi="Arial" w:cs="Arial"/>
          <w:bCs w:val="0"/>
          <w:color w:val="000000" w:themeColor="text1"/>
          <w:sz w:val="20"/>
          <w:szCs w:val="20"/>
          <w:lang w:val="en"/>
        </w:rPr>
        <w:t>Figure 1.</w:t>
      </w:r>
      <w:r w:rsidRPr="001006BD">
        <w:rPr>
          <w:rFonts w:ascii="Arial" w:hAnsi="Arial" w:cs="Arial"/>
          <w:color w:val="000000" w:themeColor="text1"/>
          <w:sz w:val="20"/>
          <w:szCs w:val="20"/>
          <w:lang w:val="en"/>
        </w:rPr>
        <w:t xml:space="preserve"> Important anatomic landmarks for tumor diagnosis in long bones. Adapted from </w:t>
      </w:r>
      <w:r w:rsidRPr="001006BD">
        <w:rPr>
          <w:rStyle w:val="Emphasis"/>
          <w:rFonts w:ascii="Arial" w:hAnsi="Arial" w:cs="Arial"/>
          <w:iCs w:val="0"/>
          <w:color w:val="000000" w:themeColor="text1"/>
          <w:sz w:val="20"/>
          <w:szCs w:val="20"/>
          <w:lang w:val="en"/>
        </w:rPr>
        <w:t>Gray’s Anatomy.</w:t>
      </w:r>
      <w:hyperlink w:anchor="5997" w:tooltip="Gray’s Anatomy of the Human Body. Philadelphia, PA: Lea &amp; Febiger; 1918." w:history="1">
        <w:r w:rsidRPr="001006BD">
          <w:rPr>
            <w:rStyle w:val="Hyperlink"/>
            <w:rFonts w:ascii="Arial" w:hAnsi="Arial" w:cs="Arial"/>
            <w:color w:val="000000" w:themeColor="text1"/>
            <w:sz w:val="20"/>
            <w:szCs w:val="20"/>
            <w:vertAlign w:val="superscript"/>
            <w:lang w:val="en"/>
          </w:rPr>
          <w:t>1</w:t>
        </w:r>
      </w:hyperlink>
    </w:p>
    <w:p w14:paraId="124367A5"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3EEBEDEC" w14:textId="376EB635" w:rsidR="001006BD" w:rsidRDefault="001006BD" w:rsidP="00E07B03">
      <w:pPr>
        <w:numPr>
          <w:ilvl w:val="0"/>
          <w:numId w:val="2"/>
        </w:numPr>
        <w:spacing w:after="0" w:line="240" w:lineRule="auto"/>
        <w:ind w:left="1166" w:right="29" w:hanging="446"/>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Gray H, Lewis WH. </w:t>
      </w:r>
      <w:r w:rsidRPr="001006BD">
        <w:rPr>
          <w:rStyle w:val="Emphasis"/>
          <w:rFonts w:ascii="Arial" w:hAnsi="Arial" w:cs="Arial"/>
          <w:color w:val="000000" w:themeColor="text1"/>
          <w:sz w:val="20"/>
          <w:szCs w:val="20"/>
          <w:lang w:val="en"/>
        </w:rPr>
        <w:t>Gray’s Anatomy of the Human Body</w:t>
      </w:r>
      <w:r w:rsidRPr="001006BD">
        <w:rPr>
          <w:rFonts w:ascii="Arial" w:hAnsi="Arial" w:cs="Arial"/>
          <w:color w:val="000000" w:themeColor="text1"/>
          <w:sz w:val="20"/>
          <w:szCs w:val="20"/>
          <w:lang w:val="en"/>
        </w:rPr>
        <w:t xml:space="preserve">. 20th ed. Philadelphia, PA: Lea &amp; </w:t>
      </w:r>
      <w:proofErr w:type="spellStart"/>
      <w:r w:rsidRPr="001006BD">
        <w:rPr>
          <w:rFonts w:ascii="Arial" w:hAnsi="Arial" w:cs="Arial"/>
          <w:color w:val="000000" w:themeColor="text1"/>
          <w:sz w:val="20"/>
          <w:szCs w:val="20"/>
          <w:lang w:val="en"/>
        </w:rPr>
        <w:t>Febiger</w:t>
      </w:r>
      <w:proofErr w:type="spellEnd"/>
      <w:r w:rsidRPr="001006BD">
        <w:rPr>
          <w:rFonts w:ascii="Arial" w:hAnsi="Arial" w:cs="Arial"/>
          <w:color w:val="000000" w:themeColor="text1"/>
          <w:sz w:val="20"/>
          <w:szCs w:val="20"/>
          <w:lang w:val="en"/>
        </w:rPr>
        <w:t>; 1918.</w:t>
      </w:r>
    </w:p>
    <w:p w14:paraId="2D50D816" w14:textId="77777777" w:rsidR="0099182D" w:rsidRPr="001006BD" w:rsidRDefault="0099182D" w:rsidP="0099182D">
      <w:pPr>
        <w:spacing w:before="30" w:after="30" w:line="240" w:lineRule="auto"/>
        <w:ind w:left="1170" w:right="30"/>
        <w:divId w:val="212617351"/>
        <w:rPr>
          <w:rFonts w:ascii="Arial" w:hAnsi="Arial" w:cs="Arial"/>
          <w:color w:val="000000" w:themeColor="text1"/>
          <w:sz w:val="20"/>
          <w:szCs w:val="20"/>
          <w:lang w:val="en"/>
        </w:rPr>
      </w:pPr>
    </w:p>
    <w:p w14:paraId="7C134D6C" w14:textId="77777777" w:rsidR="001006BD" w:rsidRPr="001006BD" w:rsidRDefault="001006BD" w:rsidP="00E07B03">
      <w:pPr>
        <w:spacing w:after="0"/>
        <w:jc w:val="both"/>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C. Procedure / Tissue Processing</w:t>
      </w:r>
    </w:p>
    <w:p w14:paraId="689AF7E2" w14:textId="3EEA638A" w:rsidR="001006BD" w:rsidRPr="001006BD" w:rsidRDefault="001006BD" w:rsidP="00E07B03">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The following is a list of guidelines to be used in defining what type of procedure has been performed. This is based on the surgeon’s intent and not based on the pathologic assessment of the margins.</w:t>
      </w:r>
    </w:p>
    <w:p w14:paraId="3F00E636" w14:textId="3B2AF559" w:rsidR="001006BD" w:rsidRPr="0099182D" w:rsidRDefault="001006BD" w:rsidP="00E07B03">
      <w:pPr>
        <w:keepNext/>
        <w:numPr>
          <w:ilvl w:val="0"/>
          <w:numId w:val="3"/>
        </w:numPr>
        <w:spacing w:after="0"/>
        <w:ind w:left="750" w:right="30"/>
        <w:jc w:val="both"/>
        <w:outlineLvl w:val="2"/>
        <w:rPr>
          <w:rFonts w:ascii="Arial" w:eastAsia="Times New Roman" w:hAnsi="Arial" w:cs="Arial"/>
          <w:color w:val="000000" w:themeColor="text1"/>
          <w:sz w:val="20"/>
          <w:szCs w:val="20"/>
          <w:lang w:val="en"/>
        </w:rPr>
      </w:pPr>
      <w:r w:rsidRPr="001006BD">
        <w:rPr>
          <w:rStyle w:val="Strong"/>
          <w:rFonts w:ascii="Arial" w:eastAsia="Times New Roman" w:hAnsi="Arial" w:cs="Arial"/>
          <w:bCs w:val="0"/>
          <w:color w:val="000000" w:themeColor="text1"/>
          <w:sz w:val="20"/>
          <w:szCs w:val="20"/>
          <w:lang w:val="en"/>
        </w:rPr>
        <w:t>Intralesional Resection</w:t>
      </w:r>
      <w:r w:rsidRPr="001006BD">
        <w:rPr>
          <w:rFonts w:ascii="Arial" w:eastAsia="Times New Roman" w:hAnsi="Arial" w:cs="Arial"/>
          <w:color w:val="000000" w:themeColor="text1"/>
          <w:sz w:val="20"/>
          <w:szCs w:val="20"/>
          <w:lang w:val="en"/>
        </w:rPr>
        <w:t xml:space="preserve">: Leaving gross tumor behind. Partial debulking or curettage are examples. </w:t>
      </w:r>
    </w:p>
    <w:p w14:paraId="4A24D01D" w14:textId="3ED50BB5" w:rsidR="001006BD" w:rsidRPr="0099182D" w:rsidRDefault="001006BD" w:rsidP="00E07B03">
      <w:pPr>
        <w:keepNext/>
        <w:numPr>
          <w:ilvl w:val="0"/>
          <w:numId w:val="4"/>
        </w:numPr>
        <w:spacing w:after="0"/>
        <w:ind w:left="750" w:right="30"/>
        <w:jc w:val="both"/>
        <w:outlineLvl w:val="2"/>
        <w:rPr>
          <w:rFonts w:ascii="Arial" w:eastAsia="Times New Roman" w:hAnsi="Arial" w:cs="Arial"/>
          <w:color w:val="000000" w:themeColor="text1"/>
          <w:sz w:val="20"/>
          <w:szCs w:val="20"/>
          <w:lang w:val="en"/>
        </w:rPr>
      </w:pPr>
      <w:r w:rsidRPr="001006BD">
        <w:rPr>
          <w:rStyle w:val="Strong"/>
          <w:rFonts w:ascii="Arial" w:eastAsia="Times New Roman" w:hAnsi="Arial" w:cs="Arial"/>
          <w:bCs w:val="0"/>
          <w:color w:val="000000" w:themeColor="text1"/>
          <w:sz w:val="20"/>
          <w:szCs w:val="20"/>
          <w:lang w:val="en"/>
        </w:rPr>
        <w:t>Marginal Resection:</w:t>
      </w:r>
      <w:r w:rsidRPr="001006BD">
        <w:rPr>
          <w:rFonts w:ascii="Arial" w:eastAsia="Times New Roman" w:hAnsi="Arial" w:cs="Arial"/>
          <w:color w:val="000000" w:themeColor="text1"/>
          <w:sz w:val="20"/>
          <w:szCs w:val="20"/>
          <w:lang w:val="en"/>
        </w:rPr>
        <w:t xml:space="preserve"> Removing the tumor and its </w:t>
      </w:r>
      <w:proofErr w:type="spellStart"/>
      <w:r w:rsidRPr="001006BD">
        <w:rPr>
          <w:rFonts w:ascii="Arial" w:eastAsia="Times New Roman" w:hAnsi="Arial" w:cs="Arial"/>
          <w:color w:val="000000" w:themeColor="text1"/>
          <w:sz w:val="20"/>
          <w:szCs w:val="20"/>
          <w:lang w:val="en"/>
        </w:rPr>
        <w:t>pseudocapsule</w:t>
      </w:r>
      <w:proofErr w:type="spellEnd"/>
      <w:r w:rsidRPr="001006BD">
        <w:rPr>
          <w:rFonts w:ascii="Arial" w:eastAsia="Times New Roman" w:hAnsi="Arial" w:cs="Arial"/>
          <w:color w:val="000000" w:themeColor="text1"/>
          <w:sz w:val="20"/>
          <w:szCs w:val="20"/>
          <w:lang w:val="en"/>
        </w:rPr>
        <w:t xml:space="preserve"> with a relatively small amount of adjacent tissue. There is no gross tumor at the margin; however, microscopic tumor may be </w:t>
      </w:r>
      <w:r w:rsidRPr="001006BD">
        <w:rPr>
          <w:rFonts w:ascii="Arial" w:eastAsia="Times New Roman" w:hAnsi="Arial" w:cs="Arial"/>
          <w:color w:val="000000" w:themeColor="text1"/>
          <w:sz w:val="20"/>
          <w:szCs w:val="20"/>
          <w:lang w:val="en"/>
        </w:rPr>
        <w:lastRenderedPageBreak/>
        <w:t>present. Note that occasionally, a surgeon will perform an “excisional” biopsy, which effectively accomplishes the same thing as a marginal resection.</w:t>
      </w:r>
    </w:p>
    <w:p w14:paraId="1309C55E" w14:textId="4A9D9CFE" w:rsidR="001006BD" w:rsidRPr="00F21FF6" w:rsidRDefault="001006BD" w:rsidP="00E07B03">
      <w:pPr>
        <w:keepNext/>
        <w:numPr>
          <w:ilvl w:val="0"/>
          <w:numId w:val="5"/>
        </w:numPr>
        <w:spacing w:after="0"/>
        <w:ind w:left="750" w:right="30"/>
        <w:jc w:val="both"/>
        <w:outlineLvl w:val="2"/>
        <w:rPr>
          <w:rFonts w:ascii="Arial" w:eastAsia="Times New Roman" w:hAnsi="Arial" w:cs="Arial"/>
          <w:color w:val="000000" w:themeColor="text1"/>
          <w:sz w:val="20"/>
          <w:szCs w:val="20"/>
          <w:lang w:val="en"/>
        </w:rPr>
      </w:pPr>
      <w:r w:rsidRPr="001006BD">
        <w:rPr>
          <w:rStyle w:val="Strong"/>
          <w:rFonts w:ascii="Arial" w:eastAsia="Times New Roman" w:hAnsi="Arial" w:cs="Arial"/>
          <w:bCs w:val="0"/>
          <w:color w:val="000000" w:themeColor="text1"/>
          <w:sz w:val="20"/>
          <w:szCs w:val="20"/>
          <w:lang w:val="en"/>
        </w:rPr>
        <w:t>Segmental/Wide Resection</w:t>
      </w:r>
      <w:r w:rsidRPr="001006BD">
        <w:rPr>
          <w:rFonts w:ascii="Arial" w:eastAsia="Times New Roman" w:hAnsi="Arial" w:cs="Arial"/>
          <w:color w:val="000000" w:themeColor="text1"/>
          <w:sz w:val="20"/>
          <w:szCs w:val="20"/>
          <w:lang w:val="en"/>
        </w:rPr>
        <w:t xml:space="preserve">: An </w:t>
      </w:r>
      <w:proofErr w:type="spellStart"/>
      <w:r w:rsidRPr="001006BD">
        <w:rPr>
          <w:rFonts w:ascii="Arial" w:eastAsia="Times New Roman" w:hAnsi="Arial" w:cs="Arial"/>
          <w:color w:val="000000" w:themeColor="text1"/>
          <w:sz w:val="20"/>
          <w:szCs w:val="20"/>
          <w:lang w:val="en"/>
        </w:rPr>
        <w:t>intracompartmental</w:t>
      </w:r>
      <w:proofErr w:type="spellEnd"/>
      <w:r w:rsidRPr="001006BD">
        <w:rPr>
          <w:rFonts w:ascii="Arial" w:eastAsia="Times New Roman" w:hAnsi="Arial" w:cs="Arial"/>
          <w:color w:val="000000" w:themeColor="text1"/>
          <w:sz w:val="20"/>
          <w:szCs w:val="20"/>
          <w:lang w:val="en"/>
        </w:rPr>
        <w:t xml:space="preserve"> resection. A single piece of bone is resected, including the lesion and a cuff of normal bone. </w:t>
      </w:r>
    </w:p>
    <w:p w14:paraId="13E65160" w14:textId="1F6C3C4F" w:rsidR="001006BD" w:rsidRDefault="001006BD" w:rsidP="00E07B03">
      <w:pPr>
        <w:keepNext/>
        <w:numPr>
          <w:ilvl w:val="0"/>
          <w:numId w:val="6"/>
        </w:numPr>
        <w:spacing w:after="0"/>
        <w:ind w:left="750" w:right="30"/>
        <w:jc w:val="both"/>
        <w:outlineLvl w:val="2"/>
        <w:rPr>
          <w:rFonts w:ascii="Arial" w:eastAsia="Times New Roman" w:hAnsi="Arial" w:cs="Arial"/>
          <w:color w:val="000000" w:themeColor="text1"/>
          <w:sz w:val="20"/>
          <w:szCs w:val="20"/>
          <w:lang w:val="en"/>
        </w:rPr>
      </w:pPr>
      <w:r w:rsidRPr="001006BD">
        <w:rPr>
          <w:rStyle w:val="Strong"/>
          <w:rFonts w:ascii="Arial" w:eastAsia="Times New Roman" w:hAnsi="Arial" w:cs="Arial"/>
          <w:bCs w:val="0"/>
          <w:color w:val="000000" w:themeColor="text1"/>
          <w:sz w:val="20"/>
          <w:szCs w:val="20"/>
          <w:lang w:val="en"/>
        </w:rPr>
        <w:t>Radical Resection:</w:t>
      </w:r>
      <w:r w:rsidRPr="001006BD">
        <w:rPr>
          <w:rFonts w:ascii="Arial" w:eastAsia="Times New Roman" w:hAnsi="Arial" w:cs="Arial"/>
          <w:color w:val="000000" w:themeColor="text1"/>
          <w:sz w:val="20"/>
          <w:szCs w:val="20"/>
          <w:lang w:val="en"/>
        </w:rPr>
        <w:t xml:space="preserve"> The removal of an entire bone, or the excision of the adjacent muscle groups if the tumor is </w:t>
      </w:r>
      <w:proofErr w:type="spellStart"/>
      <w:r w:rsidRPr="001006BD">
        <w:rPr>
          <w:rFonts w:ascii="Arial" w:eastAsia="Times New Roman" w:hAnsi="Arial" w:cs="Arial"/>
          <w:color w:val="000000" w:themeColor="text1"/>
          <w:sz w:val="20"/>
          <w:szCs w:val="20"/>
          <w:lang w:val="en"/>
        </w:rPr>
        <w:t>extracompartmental</w:t>
      </w:r>
      <w:proofErr w:type="spellEnd"/>
    </w:p>
    <w:p w14:paraId="1652617E" w14:textId="77777777" w:rsidR="00E07B03" w:rsidRPr="001006BD" w:rsidRDefault="00E07B03" w:rsidP="00E07B03">
      <w:pPr>
        <w:keepNext/>
        <w:spacing w:before="30" w:after="30" w:line="240" w:lineRule="auto"/>
        <w:ind w:right="30"/>
        <w:jc w:val="both"/>
        <w:outlineLvl w:val="2"/>
        <w:rPr>
          <w:rFonts w:ascii="Arial" w:eastAsia="Times New Roman" w:hAnsi="Arial" w:cs="Arial"/>
          <w:color w:val="000000" w:themeColor="text1"/>
          <w:sz w:val="20"/>
          <w:szCs w:val="20"/>
          <w:lang w:val="en"/>
        </w:rPr>
      </w:pPr>
    </w:p>
    <w:p w14:paraId="546CBDAE" w14:textId="760A058B" w:rsidR="001006BD" w:rsidRDefault="001006BD" w:rsidP="0094044E">
      <w:pPr>
        <w:pStyle w:val="NormalWeb"/>
        <w:spacing w:before="0" w:beforeAutospacing="0" w:after="0" w:afterAutospacing="0" w:line="259" w:lineRule="auto"/>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Fixation</w:t>
      </w:r>
      <w:r w:rsidRPr="001006BD">
        <w:rPr>
          <w:rFonts w:ascii="Arial" w:hAnsi="Arial" w:cs="Arial"/>
          <w:color w:val="000000" w:themeColor="text1"/>
          <w:sz w:val="20"/>
          <w:szCs w:val="20"/>
          <w:lang w:val="en"/>
        </w:rPr>
        <w:br/>
      </w:r>
      <w:r w:rsidRPr="001006BD">
        <w:rPr>
          <w:rFonts w:ascii="Arial" w:hAnsi="Arial" w:cs="Arial"/>
          <w:color w:val="000000" w:themeColor="text1"/>
          <w:sz w:val="20"/>
          <w:szCs w:val="20"/>
          <w:lang w:val="en"/>
        </w:rPr>
        <w:br/>
        <w:t>Tissue specimens from bone tumors optimally are received fresh/unfixed in case fresh tissue for ancillary studies, such as cytogenetics or molecular studies, needs to be collected. All tissue should be processed in a manner that would allow molecular studies to be undertaken successfully. </w:t>
      </w:r>
      <w:hyperlink w:anchor="5993" w:tooltip="Taylor BS, Barretina J, Maki RG, Antonescu CR,&#10;Singer S, Ladanyi M. Advances in sarcoma genomics and new therapeutic targets. Nat Rev Cancer. 2011;11(8):541-547." w:history="1">
        <w:r w:rsidRPr="001006BD">
          <w:rPr>
            <w:rStyle w:val="Hyperlink"/>
            <w:rFonts w:ascii="Arial" w:hAnsi="Arial" w:cs="Arial"/>
            <w:color w:val="000000" w:themeColor="text1"/>
            <w:sz w:val="20"/>
            <w:szCs w:val="20"/>
            <w:vertAlign w:val="superscript"/>
            <w:lang w:val="en"/>
          </w:rPr>
          <w:t>1,</w:t>
        </w:r>
      </w:hyperlink>
      <w:hyperlink w:anchor="5994" w:tooltip="Rubin BP, Lazar JF, Oliveira AM. Molecular pathology&#10;of bone and soft tissue tumors. In: Tubbs R, Stoler M. Cell and Tissue Based Molecular Pathology. Philadelphia, PA:&#10;Churchill Livingstone; 2009." w:history="1">
        <w:r w:rsidRPr="001006BD">
          <w:rPr>
            <w:rStyle w:val="Hyperlink"/>
            <w:rFonts w:ascii="Arial" w:hAnsi="Arial" w:cs="Arial"/>
            <w:color w:val="000000" w:themeColor="text1"/>
            <w:sz w:val="20"/>
            <w:szCs w:val="20"/>
            <w:vertAlign w:val="superscript"/>
            <w:lang w:val="en"/>
          </w:rPr>
          <w:t>2,</w:t>
        </w:r>
      </w:hyperlink>
      <w:hyperlink w:anchor="5995" w:tooltip="WHO Classification of Tumours Editorial Board. Soft Tissue and Bone Tumors. Lyon (France): International Agency for Research on Cancer; 2020. (WHO classification of tumours series, 5th ed.; vol. 3)." w:history="1">
        <w:r w:rsidRPr="001006BD">
          <w:rPr>
            <w:rStyle w:val="Hyperlink"/>
            <w:rFonts w:ascii="Arial" w:hAnsi="Arial" w:cs="Arial"/>
            <w:color w:val="000000" w:themeColor="text1"/>
            <w:sz w:val="20"/>
            <w:szCs w:val="20"/>
            <w:vertAlign w:val="superscript"/>
            <w:lang w:val="en"/>
          </w:rPr>
          <w:t>3</w:t>
        </w:r>
      </w:hyperlink>
      <w:r w:rsidRPr="001006BD">
        <w:rPr>
          <w:rFonts w:ascii="Arial" w:hAnsi="Arial" w:cs="Arial"/>
          <w:color w:val="000000" w:themeColor="text1"/>
          <w:sz w:val="20"/>
          <w:szCs w:val="20"/>
          <w:lang w:val="en"/>
        </w:rPr>
        <w:t>  Decalcification using harsh acid reagents may be detrimental for nucleic acid-based molecular studies and therefore utilization of EDTA as decalcifying agent has been recommended. Freezing a portion of the sample and/or fixing soft portions</w:t>
      </w:r>
      <w:r w:rsidR="00E07B03">
        <w:rPr>
          <w:rFonts w:ascii="Arial" w:hAnsi="Arial" w:cs="Arial"/>
          <w:color w:val="000000" w:themeColor="text1"/>
          <w:sz w:val="20"/>
          <w:szCs w:val="20"/>
          <w:lang w:val="en"/>
        </w:rPr>
        <w:t xml:space="preserve"> </w:t>
      </w:r>
      <w:r w:rsidRPr="001006BD">
        <w:rPr>
          <w:rFonts w:ascii="Arial" w:hAnsi="Arial" w:cs="Arial"/>
          <w:color w:val="000000" w:themeColor="text1"/>
          <w:sz w:val="20"/>
          <w:szCs w:val="20"/>
          <w:lang w:val="en"/>
        </w:rPr>
        <w:t>of the lesion in buffered formalin is encouraged. </w:t>
      </w:r>
      <w:r w:rsidRPr="001006BD">
        <w:rPr>
          <w:rFonts w:ascii="Arial" w:hAnsi="Arial" w:cs="Arial"/>
          <w:color w:val="000000" w:themeColor="text1"/>
          <w:sz w:val="20"/>
          <w:szCs w:val="20"/>
          <w:lang w:val="en"/>
        </w:rPr>
        <w:br/>
      </w:r>
      <w:r w:rsidRPr="001006BD">
        <w:rPr>
          <w:rFonts w:ascii="Arial" w:hAnsi="Arial" w:cs="Arial"/>
          <w:color w:val="000000" w:themeColor="text1"/>
          <w:sz w:val="20"/>
          <w:szCs w:val="20"/>
          <w:lang w:val="en"/>
        </w:rPr>
        <w:br/>
      </w:r>
      <w:r w:rsidRPr="001006BD">
        <w:rPr>
          <w:rFonts w:ascii="Arial" w:hAnsi="Arial" w:cs="Arial"/>
          <w:color w:val="000000" w:themeColor="text1"/>
          <w:sz w:val="20"/>
          <w:szCs w:val="20"/>
          <w:u w:val="single"/>
          <w:lang w:val="en"/>
        </w:rPr>
        <w:t>Tissue Submission for Histologic Evaluation</w:t>
      </w:r>
      <w:r w:rsidRPr="001006BD">
        <w:rPr>
          <w:rFonts w:ascii="Arial" w:hAnsi="Arial" w:cs="Arial"/>
          <w:color w:val="000000" w:themeColor="text1"/>
          <w:sz w:val="20"/>
          <w:szCs w:val="20"/>
          <w:lang w:val="en"/>
        </w:rPr>
        <w:br/>
      </w:r>
      <w:r w:rsidRPr="001006BD">
        <w:rPr>
          <w:rFonts w:ascii="Arial" w:hAnsi="Arial" w:cs="Arial"/>
          <w:color w:val="000000" w:themeColor="text1"/>
          <w:sz w:val="20"/>
          <w:szCs w:val="20"/>
          <w:lang w:val="en"/>
        </w:rPr>
        <w:br/>
        <w:t>One section per centimeter of maximum dimension is usually recommended, although fewer sections are needed for very large tumors, especially if they are homogeneous. Tumors known to be high grade from a previous biopsy do not require as many sections as those that were previously diagnosed as low grade, as documentation of a high-grade component will change stage and prognosis in the latter case. Sections should be taken of grossly heterogeneous areas, and there is no need to submit more than 1 section of necrotic tumor (always with a transition to viable tumor), with the exception of specimens obtained to assess chemotherapy effect on osteosarcomas and Ewing sarcoma. </w:t>
      </w:r>
      <w:hyperlink w:anchor="5991" w:tooltip="Amin MB, Edge SB, Greene FL, et al., eds. AJCC Cancer Staging Manual. 8th ed. New&#10;York, NY: Springer; 2017." w:history="1">
        <w:r w:rsidRPr="001006BD">
          <w:rPr>
            <w:rStyle w:val="Hyperlink"/>
            <w:rFonts w:ascii="Arial" w:hAnsi="Arial" w:cs="Arial"/>
            <w:color w:val="000000" w:themeColor="text1"/>
            <w:sz w:val="20"/>
            <w:szCs w:val="20"/>
            <w:vertAlign w:val="superscript"/>
            <w:lang w:val="en"/>
          </w:rPr>
          <w:t>4,</w:t>
        </w:r>
      </w:hyperlink>
      <w:hyperlink w:anchor="5992" w:tooltip="Pawel B, Bahrami A, Hicks MJ, Rudzinski E. Protocol&#10;for the Examination of Specimens From Pediatric Patients With Ewing Sarcoma&#10;(ES). 2016. Available at www.cap.org/cancerprotocols." w:history="1">
        <w:r w:rsidRPr="001006BD">
          <w:rPr>
            <w:rStyle w:val="Hyperlink"/>
            <w:rFonts w:ascii="Arial" w:hAnsi="Arial" w:cs="Arial"/>
            <w:color w:val="000000" w:themeColor="text1"/>
            <w:sz w:val="20"/>
            <w:szCs w:val="20"/>
            <w:vertAlign w:val="superscript"/>
            <w:lang w:val="en"/>
          </w:rPr>
          <w:t>5</w:t>
        </w:r>
      </w:hyperlink>
      <w:r w:rsidRPr="001006BD">
        <w:rPr>
          <w:rFonts w:ascii="Arial" w:hAnsi="Arial" w:cs="Arial"/>
          <w:color w:val="000000" w:themeColor="text1"/>
          <w:sz w:val="20"/>
          <w:szCs w:val="20"/>
          <w:lang w:val="en"/>
        </w:rPr>
        <w:t>  Occasionally, gross pathology can be misleading, and areas that appear to be grossly necrotic may actually be myxoid or edematous. When this happens, additional sections of these areas should be submitted for histologic examination. When estimates of gross necrosis exceed those of histologic necrosis, the greater percentage of necrosis should be recorded on the surgical pathology report. In general, most tumors require 12 sections or fewer, excluding margins. Tumors with greater areas of heterogeneity may need to be sampled more thoroughly.</w:t>
      </w:r>
    </w:p>
    <w:p w14:paraId="4BE7AACA" w14:textId="77777777" w:rsidR="00E07B03" w:rsidRDefault="00E07B03" w:rsidP="00E07B03">
      <w:pPr>
        <w:pStyle w:val="NormalWeb"/>
        <w:spacing w:before="0" w:beforeAutospacing="0" w:after="0" w:afterAutospacing="0" w:line="259" w:lineRule="auto"/>
        <w:jc w:val="both"/>
        <w:rPr>
          <w:rFonts w:ascii="Arial" w:hAnsi="Arial" w:cs="Arial"/>
          <w:color w:val="000000" w:themeColor="text1"/>
          <w:sz w:val="20"/>
          <w:szCs w:val="20"/>
          <w:lang w:val="en"/>
        </w:rPr>
      </w:pPr>
    </w:p>
    <w:p w14:paraId="14B7C443" w14:textId="798389E6" w:rsidR="001006BD" w:rsidRDefault="001006BD" w:rsidP="00E70EC2">
      <w:pPr>
        <w:pStyle w:val="NormalWeb"/>
        <w:spacing w:before="0" w:beforeAutospacing="0" w:after="0" w:afterAutospacing="0" w:line="259" w:lineRule="auto"/>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Molecular Studies</w:t>
      </w:r>
      <w:r w:rsidRPr="001006BD">
        <w:rPr>
          <w:rFonts w:ascii="Arial" w:hAnsi="Arial" w:cs="Arial"/>
          <w:color w:val="000000" w:themeColor="text1"/>
          <w:sz w:val="20"/>
          <w:szCs w:val="20"/>
          <w:lang w:val="en"/>
        </w:rPr>
        <w:br/>
      </w:r>
      <w:r w:rsidRPr="001006BD">
        <w:rPr>
          <w:rFonts w:ascii="Arial" w:hAnsi="Arial" w:cs="Arial"/>
          <w:color w:val="000000" w:themeColor="text1"/>
          <w:sz w:val="20"/>
          <w:szCs w:val="20"/>
          <w:lang w:val="en"/>
        </w:rPr>
        <w:br/>
      </w:r>
      <w:r w:rsidRPr="007A5CD4">
        <w:rPr>
          <w:rFonts w:ascii="Arial" w:hAnsi="Arial" w:cs="Arial"/>
          <w:color w:val="000000" w:themeColor="text1"/>
          <w:sz w:val="20"/>
          <w:szCs w:val="20"/>
          <w:lang w:val="en"/>
        </w:rPr>
        <w:t>Additionally, it may be important to snap freeze a small portion of tissue as availability of frozen tissue may be a requirement for patient enrollment in clinical trials. Approximately 1 cm3 of fresh tissue (less is acceptable for small specimens, including core biopsies) should be cut into small, 0.2-cm fragments, reserving sufficient tissue for histologic examination. This frozen tissue should ideally be stored at minus (-)70</w:t>
      </w:r>
      <w:r w:rsidRPr="00E70EC2">
        <w:rPr>
          <w:rFonts w:ascii="Arial" w:hAnsi="Arial" w:cs="Arial"/>
          <w:color w:val="000000" w:themeColor="text1"/>
          <w:sz w:val="20"/>
          <w:szCs w:val="20"/>
          <w:vertAlign w:val="superscript"/>
          <w:lang w:val="en"/>
        </w:rPr>
        <w:t>o</w:t>
      </w:r>
      <w:r w:rsidRPr="007A5CD4">
        <w:rPr>
          <w:rFonts w:ascii="Arial" w:hAnsi="Arial" w:cs="Arial"/>
          <w:color w:val="000000" w:themeColor="text1"/>
          <w:sz w:val="20"/>
          <w:szCs w:val="20"/>
          <w:lang w:val="en"/>
        </w:rPr>
        <w:t>C and can be shipped on dry ice to facilities that perform molecular analysis.  Discretion should be used in triaging tissue from bone sarcomas. Adequate tissue should be submitted for conventional light microscopy before tissue has been taken for cytogenetics, electron microscopy, or molecular analysis.</w:t>
      </w:r>
    </w:p>
    <w:p w14:paraId="464E25AE" w14:textId="77777777" w:rsidR="00E07B03" w:rsidRPr="001006BD" w:rsidRDefault="00E07B03" w:rsidP="00E07B03">
      <w:pPr>
        <w:pStyle w:val="NormalWeb"/>
        <w:spacing w:before="0" w:beforeAutospacing="0" w:after="0" w:afterAutospacing="0" w:line="259" w:lineRule="auto"/>
        <w:jc w:val="both"/>
        <w:rPr>
          <w:rFonts w:ascii="Arial" w:hAnsi="Arial" w:cs="Arial"/>
          <w:color w:val="000000" w:themeColor="text1"/>
          <w:sz w:val="20"/>
          <w:szCs w:val="20"/>
          <w:lang w:val="en"/>
        </w:rPr>
      </w:pPr>
    </w:p>
    <w:p w14:paraId="68F1048C" w14:textId="77777777" w:rsidR="001006BD" w:rsidRPr="001006BD" w:rsidRDefault="001006BD" w:rsidP="00E07B03">
      <w:pPr>
        <w:spacing w:after="0"/>
        <w:jc w:val="both"/>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01485045" w14:textId="77777777" w:rsidR="001006BD" w:rsidRPr="001006BD" w:rsidRDefault="001006BD" w:rsidP="00E07B03">
      <w:pPr>
        <w:numPr>
          <w:ilvl w:val="0"/>
          <w:numId w:val="7"/>
        </w:numPr>
        <w:tabs>
          <w:tab w:val="clear" w:pos="720"/>
          <w:tab w:val="left" w:pos="450"/>
          <w:tab w:val="left" w:pos="1890"/>
        </w:tabs>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Taylor BS, </w:t>
      </w:r>
      <w:proofErr w:type="spellStart"/>
      <w:r w:rsidRPr="001006BD">
        <w:rPr>
          <w:rFonts w:ascii="Arial" w:hAnsi="Arial" w:cs="Arial"/>
          <w:color w:val="000000" w:themeColor="text1"/>
          <w:sz w:val="20"/>
          <w:szCs w:val="20"/>
          <w:lang w:val="en"/>
        </w:rPr>
        <w:t>Barretina</w:t>
      </w:r>
      <w:proofErr w:type="spellEnd"/>
      <w:r w:rsidRPr="001006BD">
        <w:rPr>
          <w:rFonts w:ascii="Arial" w:hAnsi="Arial" w:cs="Arial"/>
          <w:color w:val="000000" w:themeColor="text1"/>
          <w:sz w:val="20"/>
          <w:szCs w:val="20"/>
          <w:lang w:val="en"/>
        </w:rPr>
        <w:t xml:space="preserve"> J, Maki RG, </w:t>
      </w:r>
      <w:proofErr w:type="spellStart"/>
      <w:r w:rsidRPr="001006BD">
        <w:rPr>
          <w:rFonts w:ascii="Arial" w:hAnsi="Arial" w:cs="Arial"/>
          <w:color w:val="000000" w:themeColor="text1"/>
          <w:sz w:val="20"/>
          <w:szCs w:val="20"/>
          <w:lang w:val="en"/>
        </w:rPr>
        <w:t>Antonescu</w:t>
      </w:r>
      <w:proofErr w:type="spellEnd"/>
      <w:r w:rsidRPr="001006BD">
        <w:rPr>
          <w:rFonts w:ascii="Arial" w:hAnsi="Arial" w:cs="Arial"/>
          <w:color w:val="000000" w:themeColor="text1"/>
          <w:sz w:val="20"/>
          <w:szCs w:val="20"/>
          <w:lang w:val="en"/>
        </w:rPr>
        <w:t xml:space="preserve"> CR, Singer S, </w:t>
      </w:r>
      <w:proofErr w:type="spellStart"/>
      <w:r w:rsidRPr="001006BD">
        <w:rPr>
          <w:rFonts w:ascii="Arial" w:hAnsi="Arial" w:cs="Arial"/>
          <w:color w:val="000000" w:themeColor="text1"/>
          <w:sz w:val="20"/>
          <w:szCs w:val="20"/>
          <w:lang w:val="en"/>
        </w:rPr>
        <w:t>Ladanyi</w:t>
      </w:r>
      <w:proofErr w:type="spellEnd"/>
      <w:r w:rsidRPr="001006BD">
        <w:rPr>
          <w:rFonts w:ascii="Arial" w:hAnsi="Arial" w:cs="Arial"/>
          <w:color w:val="000000" w:themeColor="text1"/>
          <w:sz w:val="20"/>
          <w:szCs w:val="20"/>
          <w:lang w:val="en"/>
        </w:rPr>
        <w:t xml:space="preserve"> M. Advances in sarcoma genomics and new therapeutic targets. </w:t>
      </w:r>
      <w:r w:rsidRPr="001006BD">
        <w:rPr>
          <w:rStyle w:val="Emphasis"/>
          <w:rFonts w:ascii="Arial" w:hAnsi="Arial" w:cs="Arial"/>
          <w:iCs w:val="0"/>
          <w:color w:val="000000" w:themeColor="text1"/>
          <w:sz w:val="20"/>
          <w:szCs w:val="20"/>
          <w:lang w:val="en"/>
        </w:rPr>
        <w:t>Nat Rev Cancer</w:t>
      </w:r>
      <w:r w:rsidRPr="001006BD">
        <w:rPr>
          <w:rFonts w:ascii="Arial" w:hAnsi="Arial" w:cs="Arial"/>
          <w:color w:val="000000" w:themeColor="text1"/>
          <w:sz w:val="20"/>
          <w:szCs w:val="20"/>
          <w:lang w:val="en"/>
        </w:rPr>
        <w:t>. 2011;11(8):541-547.</w:t>
      </w:r>
    </w:p>
    <w:p w14:paraId="4E3C1FA3" w14:textId="77777777" w:rsidR="001006BD" w:rsidRPr="001006BD" w:rsidRDefault="001006BD" w:rsidP="00E07B03">
      <w:pPr>
        <w:numPr>
          <w:ilvl w:val="0"/>
          <w:numId w:val="7"/>
        </w:numPr>
        <w:tabs>
          <w:tab w:val="clear" w:pos="720"/>
          <w:tab w:val="left" w:pos="450"/>
          <w:tab w:val="left" w:pos="1890"/>
        </w:tabs>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Rubin BP, Lazar JF, Oliveira AM. Molecular pathology of bone and soft tissue tumors. In: Tubbs R, </w:t>
      </w:r>
      <w:proofErr w:type="spellStart"/>
      <w:r w:rsidRPr="001006BD">
        <w:rPr>
          <w:rFonts w:ascii="Arial" w:hAnsi="Arial" w:cs="Arial"/>
          <w:color w:val="000000" w:themeColor="text1"/>
          <w:sz w:val="20"/>
          <w:szCs w:val="20"/>
          <w:lang w:val="en"/>
        </w:rPr>
        <w:t>Stoler</w:t>
      </w:r>
      <w:proofErr w:type="spellEnd"/>
      <w:r w:rsidRPr="001006BD">
        <w:rPr>
          <w:rFonts w:ascii="Arial" w:hAnsi="Arial" w:cs="Arial"/>
          <w:color w:val="000000" w:themeColor="text1"/>
          <w:sz w:val="20"/>
          <w:szCs w:val="20"/>
          <w:lang w:val="en"/>
        </w:rPr>
        <w:t xml:space="preserve"> M. </w:t>
      </w:r>
      <w:r w:rsidRPr="001006BD">
        <w:rPr>
          <w:rStyle w:val="Emphasis"/>
          <w:rFonts w:ascii="Arial" w:hAnsi="Arial" w:cs="Arial"/>
          <w:iCs w:val="0"/>
          <w:color w:val="000000" w:themeColor="text1"/>
          <w:sz w:val="20"/>
          <w:szCs w:val="20"/>
          <w:lang w:val="en"/>
        </w:rPr>
        <w:t>Cell and Tissue Based Molecular Pathology</w:t>
      </w:r>
      <w:r w:rsidRPr="001006BD">
        <w:rPr>
          <w:rFonts w:ascii="Arial" w:hAnsi="Arial" w:cs="Arial"/>
          <w:color w:val="000000" w:themeColor="text1"/>
          <w:sz w:val="20"/>
          <w:szCs w:val="20"/>
          <w:lang w:val="en"/>
        </w:rPr>
        <w:t>. Philadelphia, PA: Churchill Livingstone; 2009.</w:t>
      </w:r>
    </w:p>
    <w:p w14:paraId="73968F5F" w14:textId="77777777" w:rsidR="001006BD" w:rsidRPr="001006BD" w:rsidRDefault="001006BD" w:rsidP="00E07B03">
      <w:pPr>
        <w:numPr>
          <w:ilvl w:val="0"/>
          <w:numId w:val="7"/>
        </w:numPr>
        <w:spacing w:after="0" w:line="240" w:lineRule="auto"/>
        <w:divId w:val="212617351"/>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lastRenderedPageBreak/>
        <w:t xml:space="preserve">WHO Classification of </w:t>
      </w:r>
      <w:proofErr w:type="spellStart"/>
      <w:r w:rsidRPr="001006BD">
        <w:rPr>
          <w:rFonts w:ascii="Arial" w:eastAsia="Times New Roman" w:hAnsi="Arial" w:cs="Arial"/>
          <w:color w:val="000000" w:themeColor="text1"/>
          <w:sz w:val="20"/>
          <w:szCs w:val="20"/>
          <w:lang w:val="en"/>
        </w:rPr>
        <w:t>Tumours</w:t>
      </w:r>
      <w:proofErr w:type="spellEnd"/>
      <w:r w:rsidRPr="001006BD">
        <w:rPr>
          <w:rFonts w:ascii="Arial" w:eastAsia="Times New Roman" w:hAnsi="Arial" w:cs="Arial"/>
          <w:color w:val="000000" w:themeColor="text1"/>
          <w:sz w:val="20"/>
          <w:szCs w:val="20"/>
          <w:lang w:val="en"/>
        </w:rPr>
        <w:t xml:space="preserve"> Editorial Board. Soft Tissue and Bone Tumors. Lyon (France): International Agency for Research on Cancer; 2020. (WHO classification of </w:t>
      </w:r>
      <w:proofErr w:type="spellStart"/>
      <w:r w:rsidRPr="001006BD">
        <w:rPr>
          <w:rFonts w:ascii="Arial" w:eastAsia="Times New Roman" w:hAnsi="Arial" w:cs="Arial"/>
          <w:color w:val="000000" w:themeColor="text1"/>
          <w:sz w:val="20"/>
          <w:szCs w:val="20"/>
          <w:lang w:val="en"/>
        </w:rPr>
        <w:t>tumours</w:t>
      </w:r>
      <w:proofErr w:type="spellEnd"/>
      <w:r w:rsidRPr="001006BD">
        <w:rPr>
          <w:rFonts w:ascii="Arial" w:eastAsia="Times New Roman" w:hAnsi="Arial" w:cs="Arial"/>
          <w:color w:val="000000" w:themeColor="text1"/>
          <w:sz w:val="20"/>
          <w:szCs w:val="20"/>
          <w:lang w:val="en"/>
        </w:rPr>
        <w:t xml:space="preserve"> series, 5th ed.; vol. 3).</w:t>
      </w:r>
    </w:p>
    <w:p w14:paraId="72072F09" w14:textId="77777777" w:rsidR="001006BD" w:rsidRPr="001006BD" w:rsidRDefault="001006BD" w:rsidP="00E07B03">
      <w:pPr>
        <w:numPr>
          <w:ilvl w:val="0"/>
          <w:numId w:val="7"/>
        </w:numPr>
        <w:tabs>
          <w:tab w:val="clear" w:pos="720"/>
          <w:tab w:val="left" w:pos="450"/>
          <w:tab w:val="left" w:pos="1890"/>
        </w:tabs>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Amin MB, Edge SB, Greene FL, et al., eds. </w:t>
      </w:r>
      <w:r w:rsidRPr="001006BD">
        <w:rPr>
          <w:rStyle w:val="Emphasis"/>
          <w:rFonts w:ascii="Arial" w:hAnsi="Arial" w:cs="Arial"/>
          <w:iCs w:val="0"/>
          <w:color w:val="000000" w:themeColor="text1"/>
          <w:sz w:val="20"/>
          <w:szCs w:val="20"/>
          <w:lang w:val="en"/>
        </w:rPr>
        <w:t>AJCC Cancer Staging Manual</w:t>
      </w:r>
      <w:r w:rsidRPr="001006BD">
        <w:rPr>
          <w:rFonts w:ascii="Arial" w:hAnsi="Arial" w:cs="Arial"/>
          <w:color w:val="000000" w:themeColor="text1"/>
          <w:sz w:val="20"/>
          <w:szCs w:val="20"/>
          <w:lang w:val="en"/>
        </w:rPr>
        <w:t>. 8th ed. New York, NY: Springer; 2017.</w:t>
      </w:r>
    </w:p>
    <w:p w14:paraId="18A47278" w14:textId="73A5FDB3" w:rsidR="001006BD" w:rsidRDefault="001006BD" w:rsidP="00E07B03">
      <w:pPr>
        <w:numPr>
          <w:ilvl w:val="0"/>
          <w:numId w:val="7"/>
        </w:numPr>
        <w:tabs>
          <w:tab w:val="clear" w:pos="720"/>
          <w:tab w:val="left" w:pos="450"/>
          <w:tab w:val="left" w:pos="1890"/>
        </w:tabs>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Pawel B, </w:t>
      </w:r>
      <w:proofErr w:type="spellStart"/>
      <w:r w:rsidRPr="001006BD">
        <w:rPr>
          <w:rFonts w:ascii="Arial" w:hAnsi="Arial" w:cs="Arial"/>
          <w:color w:val="000000" w:themeColor="text1"/>
          <w:sz w:val="20"/>
          <w:szCs w:val="20"/>
          <w:lang w:val="en"/>
        </w:rPr>
        <w:t>Bahrami</w:t>
      </w:r>
      <w:proofErr w:type="spellEnd"/>
      <w:r w:rsidRPr="001006BD">
        <w:rPr>
          <w:rFonts w:ascii="Arial" w:hAnsi="Arial" w:cs="Arial"/>
          <w:color w:val="000000" w:themeColor="text1"/>
          <w:sz w:val="20"/>
          <w:szCs w:val="20"/>
          <w:lang w:val="en"/>
        </w:rPr>
        <w:t xml:space="preserve"> A, Hicks MJ, Rudzinski E. Protocol for the Examination of Specimens </w:t>
      </w:r>
      <w:proofErr w:type="gramStart"/>
      <w:r w:rsidRPr="001006BD">
        <w:rPr>
          <w:rFonts w:ascii="Arial" w:hAnsi="Arial" w:cs="Arial"/>
          <w:color w:val="000000" w:themeColor="text1"/>
          <w:sz w:val="20"/>
          <w:szCs w:val="20"/>
          <w:lang w:val="en"/>
        </w:rPr>
        <w:t>From</w:t>
      </w:r>
      <w:proofErr w:type="gramEnd"/>
      <w:r w:rsidRPr="001006BD">
        <w:rPr>
          <w:rFonts w:ascii="Arial" w:hAnsi="Arial" w:cs="Arial"/>
          <w:color w:val="000000" w:themeColor="text1"/>
          <w:sz w:val="20"/>
          <w:szCs w:val="20"/>
          <w:lang w:val="en"/>
        </w:rPr>
        <w:t xml:space="preserve"> Pediatric Patients With Ewing Sarcoma (ES). 2016. Available at </w:t>
      </w:r>
      <w:hyperlink r:id="rId8" w:history="1">
        <w:r w:rsidRPr="00941AAD">
          <w:rPr>
            <w:rStyle w:val="Hyperlink"/>
            <w:rFonts w:ascii="Arial" w:hAnsi="Arial" w:cs="Arial"/>
            <w:sz w:val="20"/>
            <w:szCs w:val="20"/>
            <w:lang w:val="en"/>
          </w:rPr>
          <w:t>www.cap.org/cancerprotocols</w:t>
        </w:r>
      </w:hyperlink>
      <w:r w:rsidRPr="001006BD">
        <w:rPr>
          <w:rFonts w:ascii="Arial" w:hAnsi="Arial" w:cs="Arial"/>
          <w:color w:val="000000" w:themeColor="text1"/>
          <w:sz w:val="20"/>
          <w:szCs w:val="20"/>
          <w:lang w:val="en"/>
        </w:rPr>
        <w:t>.</w:t>
      </w:r>
    </w:p>
    <w:p w14:paraId="4478DD65" w14:textId="77777777" w:rsidR="001006BD" w:rsidRPr="001006BD" w:rsidRDefault="001006BD" w:rsidP="001006BD">
      <w:pPr>
        <w:tabs>
          <w:tab w:val="left" w:pos="450"/>
          <w:tab w:val="left" w:pos="1890"/>
        </w:tabs>
        <w:spacing w:before="30" w:after="30" w:line="240" w:lineRule="auto"/>
        <w:ind w:left="750" w:right="30"/>
        <w:divId w:val="212617351"/>
        <w:rPr>
          <w:rFonts w:ascii="Arial" w:hAnsi="Arial" w:cs="Arial"/>
          <w:color w:val="000000" w:themeColor="text1"/>
          <w:sz w:val="20"/>
          <w:szCs w:val="20"/>
          <w:lang w:val="en"/>
        </w:rPr>
      </w:pPr>
    </w:p>
    <w:p w14:paraId="77C8255B"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D. Tumor Site </w:t>
      </w:r>
    </w:p>
    <w:p w14:paraId="4FFC5C39" w14:textId="40ACC896"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Given the strong association between the primary anatomic site and outcome, the 8</w:t>
      </w:r>
      <w:r w:rsidRPr="001006BD">
        <w:rPr>
          <w:rFonts w:ascii="Arial" w:hAnsi="Arial" w:cs="Arial"/>
          <w:color w:val="000000" w:themeColor="text1"/>
          <w:sz w:val="20"/>
          <w:szCs w:val="20"/>
          <w:vertAlign w:val="superscript"/>
          <w:lang w:val="en"/>
        </w:rPr>
        <w:t>th</w:t>
      </w:r>
      <w:r w:rsidRPr="001006BD">
        <w:rPr>
          <w:rFonts w:ascii="Arial" w:hAnsi="Arial" w:cs="Arial"/>
          <w:color w:val="000000" w:themeColor="text1"/>
          <w:sz w:val="20"/>
          <w:szCs w:val="20"/>
          <w:lang w:val="en"/>
        </w:rPr>
        <w:t xml:space="preserve"> edition of the </w:t>
      </w:r>
      <w:r w:rsidRPr="001006BD">
        <w:rPr>
          <w:rStyle w:val="Emphasis"/>
          <w:rFonts w:ascii="Arial" w:hAnsi="Arial" w:cs="Arial"/>
          <w:iCs w:val="0"/>
          <w:color w:val="000000" w:themeColor="text1"/>
          <w:sz w:val="20"/>
          <w:szCs w:val="20"/>
          <w:lang w:val="en"/>
        </w:rPr>
        <w:t>AJCC Cancer Staging Manual</w:t>
      </w:r>
      <w:hyperlink w:anchor="5996" w:tooltip="Amin MB, Edge SB, Greene FL, et al, eds. AJCC Cancer&#10;Staging Manual. 8th ed. New York, NY: Springer; 2017." w:history="1">
        <w:r w:rsidRPr="001006BD">
          <w:rPr>
            <w:rStyle w:val="Hyperlink"/>
            <w:rFonts w:ascii="Arial" w:hAnsi="Arial" w:cs="Arial"/>
            <w:color w:val="000000" w:themeColor="text1"/>
            <w:sz w:val="20"/>
            <w:szCs w:val="20"/>
            <w:vertAlign w:val="superscript"/>
            <w:lang w:val="en"/>
          </w:rPr>
          <w:t>1</w:t>
        </w:r>
      </w:hyperlink>
      <w:r w:rsidRPr="001006BD">
        <w:rPr>
          <w:rFonts w:ascii="Arial" w:hAnsi="Arial" w:cs="Arial"/>
          <w:color w:val="000000" w:themeColor="text1"/>
          <w:sz w:val="20"/>
          <w:szCs w:val="20"/>
          <w:lang w:val="en"/>
        </w:rPr>
        <w:t> uses the following site groups for staging purposes:</w:t>
      </w:r>
    </w:p>
    <w:p w14:paraId="1F6AE9F3" w14:textId="77777777" w:rsidR="001006BD" w:rsidRPr="001006BD" w:rsidRDefault="001006BD">
      <w:pPr>
        <w:numPr>
          <w:ilvl w:val="0"/>
          <w:numId w:val="8"/>
        </w:numPr>
        <w:spacing w:before="30" w:after="30" w:line="240" w:lineRule="auto"/>
        <w:ind w:left="750" w:right="3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Appendicular skeleton, including trunk, skull, and facial bones</w:t>
      </w:r>
    </w:p>
    <w:p w14:paraId="639DD0B0" w14:textId="77777777" w:rsidR="001006BD" w:rsidRPr="001006BD" w:rsidRDefault="001006BD">
      <w:pPr>
        <w:numPr>
          <w:ilvl w:val="0"/>
          <w:numId w:val="8"/>
        </w:numPr>
        <w:spacing w:before="30" w:after="30" w:line="240" w:lineRule="auto"/>
        <w:ind w:left="750" w:right="3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Pelvis</w:t>
      </w:r>
    </w:p>
    <w:p w14:paraId="37A2E313" w14:textId="747A289A" w:rsidR="001006BD" w:rsidRDefault="001006BD" w:rsidP="001006BD">
      <w:pPr>
        <w:numPr>
          <w:ilvl w:val="0"/>
          <w:numId w:val="8"/>
        </w:numPr>
        <w:spacing w:before="30" w:after="30" w:line="240" w:lineRule="auto"/>
        <w:ind w:left="750" w:right="3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Spine</w:t>
      </w:r>
    </w:p>
    <w:p w14:paraId="0D747F74" w14:textId="77777777" w:rsidR="001006BD" w:rsidRPr="001006BD" w:rsidRDefault="001006BD" w:rsidP="001006BD">
      <w:pPr>
        <w:spacing w:before="30" w:after="30" w:line="240" w:lineRule="auto"/>
        <w:ind w:left="750" w:right="30"/>
        <w:rPr>
          <w:rFonts w:ascii="Arial" w:eastAsia="Times New Roman" w:hAnsi="Arial" w:cs="Arial"/>
          <w:color w:val="000000" w:themeColor="text1"/>
          <w:sz w:val="20"/>
          <w:szCs w:val="20"/>
          <w:lang w:val="en"/>
        </w:rPr>
      </w:pPr>
    </w:p>
    <w:p w14:paraId="0EF86FE7" w14:textId="5C5EB8B6" w:rsidR="001006BD" w:rsidRPr="001006BD" w:rsidRDefault="001006BD">
      <w:pPr>
        <w:rPr>
          <w:rFonts w:ascii="Arial" w:hAnsi="Arial" w:cs="Arial"/>
          <w:color w:val="000000" w:themeColor="text1"/>
          <w:sz w:val="20"/>
          <w:szCs w:val="20"/>
          <w:lang w:val="en"/>
        </w:rPr>
      </w:pPr>
      <w:r w:rsidRPr="001006BD">
        <w:rPr>
          <w:rFonts w:ascii="Arial" w:hAnsi="Arial" w:cs="Arial"/>
          <w:color w:val="000000" w:themeColor="text1"/>
          <w:sz w:val="20"/>
          <w:szCs w:val="20"/>
          <w:lang w:val="en"/>
        </w:rPr>
        <w:t>This site grouping is reflected by the provision of separate definitions for the primary tumor (T) for each anatomic site.</w:t>
      </w:r>
    </w:p>
    <w:p w14:paraId="6BE99A5A"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7BD359B1" w14:textId="1590C33C" w:rsidR="001006BD" w:rsidRDefault="001006BD" w:rsidP="00E07B03">
      <w:pPr>
        <w:numPr>
          <w:ilvl w:val="0"/>
          <w:numId w:val="9"/>
        </w:numPr>
        <w:tabs>
          <w:tab w:val="clear" w:pos="720"/>
          <w:tab w:val="left" w:pos="450"/>
          <w:tab w:val="left" w:pos="1890"/>
        </w:tabs>
        <w:spacing w:after="0" w:line="240" w:lineRule="auto"/>
        <w:ind w:left="749" w:right="29"/>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Amin MB, Edge SB, Greene FL, et al., eds. </w:t>
      </w:r>
      <w:r w:rsidRPr="001006BD">
        <w:rPr>
          <w:rStyle w:val="Emphasis"/>
          <w:rFonts w:ascii="Arial" w:hAnsi="Arial" w:cs="Arial"/>
          <w:color w:val="000000" w:themeColor="text1"/>
          <w:sz w:val="20"/>
          <w:szCs w:val="20"/>
          <w:lang w:val="en"/>
        </w:rPr>
        <w:t>AJCC Cancer Staging Manual</w:t>
      </w:r>
      <w:r w:rsidRPr="001006BD">
        <w:rPr>
          <w:rFonts w:ascii="Arial" w:hAnsi="Arial" w:cs="Arial"/>
          <w:color w:val="000000" w:themeColor="text1"/>
          <w:sz w:val="20"/>
          <w:szCs w:val="20"/>
          <w:lang w:val="en"/>
        </w:rPr>
        <w:t>. 8th ed. New York, NY: Springer; 2017.</w:t>
      </w:r>
    </w:p>
    <w:p w14:paraId="6D9E92AF" w14:textId="77777777" w:rsidR="001006BD" w:rsidRPr="001006BD" w:rsidRDefault="001006BD" w:rsidP="001006BD">
      <w:pPr>
        <w:tabs>
          <w:tab w:val="left" w:pos="450"/>
          <w:tab w:val="left" w:pos="1890"/>
        </w:tabs>
        <w:spacing w:before="30" w:after="30" w:line="240" w:lineRule="auto"/>
        <w:ind w:left="390" w:right="30"/>
        <w:divId w:val="212617351"/>
        <w:rPr>
          <w:rFonts w:ascii="Arial" w:hAnsi="Arial" w:cs="Arial"/>
          <w:color w:val="000000" w:themeColor="text1"/>
          <w:sz w:val="20"/>
          <w:szCs w:val="20"/>
          <w:lang w:val="en"/>
        </w:rPr>
      </w:pPr>
    </w:p>
    <w:p w14:paraId="7624C3D3"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E. Classification of Bone Tumors</w:t>
      </w:r>
    </w:p>
    <w:p w14:paraId="7B795E79" w14:textId="77777777" w:rsidR="001006BD" w:rsidRPr="001006BD" w:rsidRDefault="001006BD">
      <w:pPr>
        <w:keepNext/>
        <w:tabs>
          <w:tab w:val="left" w:pos="360"/>
        </w:tabs>
        <w:outlineLvl w:val="1"/>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Intraoperative Consultation</w:t>
      </w:r>
    </w:p>
    <w:p w14:paraId="43CB96E2" w14:textId="3E3F1837" w:rsidR="001006BD" w:rsidRPr="001006BD" w:rsidRDefault="001006BD" w:rsidP="00E07B03">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Histologic classification of bone tumors is sufficiently complex that, in many cases, it is unreasonable to expect a precise classification of these tumors based on an intraoperative consultation. A complete understanding of the surgeon’s treatment algorithm is recommended before rendering a frozen section diagnosis. In the case of primary bone tumors, an intraoperative diagnosis of benign versus malignant will generally guide the immediate decision to curette, excise, or wait for permanent sections, and certain therapeutic options may be lost if the wrong path is pursued. Intraoperative consultation is useful in assessing if “</w:t>
      </w:r>
      <w:proofErr w:type="spellStart"/>
      <w:r w:rsidRPr="001006BD">
        <w:rPr>
          <w:rFonts w:ascii="Arial" w:hAnsi="Arial" w:cs="Arial"/>
          <w:color w:val="000000" w:themeColor="text1"/>
          <w:sz w:val="20"/>
          <w:szCs w:val="20"/>
          <w:lang w:val="en"/>
        </w:rPr>
        <w:t>lesional</w:t>
      </w:r>
      <w:proofErr w:type="spellEnd"/>
      <w:r w:rsidRPr="001006BD">
        <w:rPr>
          <w:rFonts w:ascii="Arial" w:hAnsi="Arial" w:cs="Arial"/>
          <w:color w:val="000000" w:themeColor="text1"/>
          <w:sz w:val="20"/>
          <w:szCs w:val="20"/>
          <w:lang w:val="en"/>
        </w:rPr>
        <w:t xml:space="preserve">” tissue is present and </w:t>
      </w:r>
      <w:proofErr w:type="gramStart"/>
      <w:r w:rsidRPr="001006BD">
        <w:rPr>
          <w:rFonts w:ascii="Arial" w:hAnsi="Arial" w:cs="Arial"/>
          <w:color w:val="000000" w:themeColor="text1"/>
          <w:sz w:val="20"/>
          <w:szCs w:val="20"/>
          <w:lang w:val="en"/>
        </w:rPr>
        <w:t>whether or not</w:t>
      </w:r>
      <w:proofErr w:type="gramEnd"/>
      <w:r w:rsidRPr="001006BD">
        <w:rPr>
          <w:rFonts w:ascii="Arial" w:hAnsi="Arial" w:cs="Arial"/>
          <w:color w:val="000000" w:themeColor="text1"/>
          <w:sz w:val="20"/>
          <w:szCs w:val="20"/>
          <w:lang w:val="en"/>
        </w:rPr>
        <w:t xml:space="preserve"> this tissue is necrotic, and in constructing a differential diagnosis that can direct the proper triage of tissue for flow cytometry (lymphoma), electron microscopy, and molecular studies/cytogenetics. Tissue triage optimally is performed at the time of frozen section. In many cases, it is important that a portion of tissue be submitted for ancillary studies, even from fine-needle aspiration (FNA) and core needle biopsy </w:t>
      </w:r>
      <w:proofErr w:type="gramStart"/>
      <w:r w:rsidRPr="001006BD">
        <w:rPr>
          <w:rFonts w:ascii="Arial" w:hAnsi="Arial" w:cs="Arial"/>
          <w:color w:val="000000" w:themeColor="text1"/>
          <w:sz w:val="20"/>
          <w:szCs w:val="20"/>
          <w:lang w:val="en"/>
        </w:rPr>
        <w:t>specimens, once</w:t>
      </w:r>
      <w:proofErr w:type="gramEnd"/>
      <w:r w:rsidRPr="001006BD">
        <w:rPr>
          <w:rFonts w:ascii="Arial" w:hAnsi="Arial" w:cs="Arial"/>
          <w:color w:val="000000" w:themeColor="text1"/>
          <w:sz w:val="20"/>
          <w:szCs w:val="20"/>
          <w:lang w:val="en"/>
        </w:rPr>
        <w:t xml:space="preserve"> sufficient tissue has been submitted for histologic evaluation. </w:t>
      </w:r>
    </w:p>
    <w:p w14:paraId="74682B73" w14:textId="77777777" w:rsidR="001006BD" w:rsidRPr="001006BD" w:rsidRDefault="001006BD">
      <w:pPr>
        <w:keepNext/>
        <w:tabs>
          <w:tab w:val="left" w:pos="360"/>
        </w:tabs>
        <w:outlineLvl w:val="1"/>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Tumor Classification from Biopsies</w:t>
      </w:r>
    </w:p>
    <w:p w14:paraId="50C6EB8E" w14:textId="1D97E11E" w:rsidR="001006BD" w:rsidRPr="001006BD" w:rsidRDefault="001006BD" w:rsidP="0094044E">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It is not always possible to classify bone tumors precisely based on biopsy material, especially FNA and core needle biopsy specimens. Although pathologists should make every attempt to classify lesions in small biopsy specimens, on occasion, stratification into very basic diagnostic categories, such as lymphoma, carcinoma, melanoma, and sarcoma, is all that is possible. In some cases, precise classification is only possible in open biopsies or resection specimens.</w:t>
      </w:r>
    </w:p>
    <w:p w14:paraId="7A4774A8" w14:textId="77777777" w:rsidR="001006BD" w:rsidRPr="001006BD" w:rsidRDefault="001006BD">
      <w:pPr>
        <w:keepNext/>
        <w:tabs>
          <w:tab w:val="left" w:pos="360"/>
        </w:tabs>
        <w:outlineLvl w:val="1"/>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 xml:space="preserve">Histologic Classification of Treated Lesions </w:t>
      </w:r>
    </w:p>
    <w:p w14:paraId="72ECEAB2" w14:textId="631A927A" w:rsidR="001006BD" w:rsidRPr="001006BD" w:rsidRDefault="001006BD" w:rsidP="0094044E">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Due to extensive treatment effects, such as necrosis, fibrosis, and chemotherapy-induced and radiation-induced pleomorphism, it may not be possible to classify some lesions that were either never biopsied or </w:t>
      </w:r>
      <w:r w:rsidRPr="001006BD">
        <w:rPr>
          <w:rFonts w:ascii="Arial" w:hAnsi="Arial" w:cs="Arial"/>
          <w:color w:val="000000" w:themeColor="text1"/>
          <w:sz w:val="20"/>
          <w:szCs w:val="20"/>
          <w:lang w:val="en"/>
        </w:rPr>
        <w:lastRenderedPageBreak/>
        <w:t>where the biopsy was insufficient for a precise diagnosis. In problematic cases, the grade of the pretreatment specimen (if available) should take precedence.</w:t>
      </w:r>
    </w:p>
    <w:p w14:paraId="05F495C5" w14:textId="77777777" w:rsidR="001006BD" w:rsidRPr="001006BD" w:rsidRDefault="001006BD">
      <w:pPr>
        <w:keepNext/>
        <w:tabs>
          <w:tab w:val="left" w:pos="360"/>
        </w:tabs>
        <w:outlineLvl w:val="1"/>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WHO Classification of Malignant Bone Tumors</w:t>
      </w:r>
    </w:p>
    <w:p w14:paraId="132257A6" w14:textId="77777777" w:rsidR="001006BD" w:rsidRPr="001006BD" w:rsidRDefault="001006BD" w:rsidP="0094044E">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Classification of tumors should be made according to the 2020 World Health Organization (WHO) classification of bone tumors.</w:t>
      </w:r>
      <w:hyperlink w:anchor="5998" w:tooltip="Fletcher CDM, Bridge JA, Hogendoorn&#10;PCW, Mertens F, eds. WHO Classification of Tumors of Soft Tissue and Bone.&#10;4th ed. Geneva, Switzerland; WHO Press; 2013." w:history="1">
        <w:r w:rsidRPr="001006BD">
          <w:rPr>
            <w:rStyle w:val="Hyperlink"/>
            <w:rFonts w:ascii="Arial" w:hAnsi="Arial" w:cs="Arial"/>
            <w:color w:val="000000" w:themeColor="text1"/>
            <w:sz w:val="20"/>
            <w:szCs w:val="20"/>
            <w:vertAlign w:val="superscript"/>
            <w:lang w:val="en"/>
          </w:rPr>
          <w:t>1</w:t>
        </w:r>
      </w:hyperlink>
      <w:r w:rsidRPr="001006BD">
        <w:rPr>
          <w:rFonts w:ascii="Arial" w:hAnsi="Arial" w:cs="Arial"/>
          <w:color w:val="000000" w:themeColor="text1"/>
          <w:sz w:val="20"/>
          <w:szCs w:val="20"/>
          <w:vertAlign w:val="superscript"/>
          <w:lang w:val="en"/>
        </w:rPr>
        <w:t> </w:t>
      </w:r>
      <w:r w:rsidRPr="001006BD">
        <w:rPr>
          <w:rFonts w:ascii="Arial" w:hAnsi="Arial" w:cs="Arial"/>
          <w:color w:val="000000" w:themeColor="text1"/>
          <w:sz w:val="20"/>
          <w:szCs w:val="20"/>
          <w:lang w:val="en"/>
        </w:rPr>
        <w:t xml:space="preserve">As part of the WHO classification system, soft tissue tumors are divided into 4 categories: benign, intermediate (locally aggressive), intermediate (rarely metastasizing), and malignant. Primary malignant lymphomas and plasma cell neoplasms are </w:t>
      </w:r>
      <w:r w:rsidRPr="001006BD">
        <w:rPr>
          <w:rStyle w:val="Strong"/>
          <w:rFonts w:ascii="Arial" w:hAnsi="Arial" w:cs="Arial"/>
          <w:color w:val="000000" w:themeColor="text1"/>
          <w:sz w:val="20"/>
          <w:szCs w:val="20"/>
          <w:lang w:val="en"/>
        </w:rPr>
        <w:t>not</w:t>
      </w:r>
      <w:r w:rsidRPr="001006BD">
        <w:rPr>
          <w:rFonts w:ascii="Arial" w:hAnsi="Arial" w:cs="Arial"/>
          <w:color w:val="000000" w:themeColor="text1"/>
          <w:sz w:val="20"/>
          <w:szCs w:val="20"/>
          <w:lang w:val="en"/>
        </w:rPr>
        <w:t xml:space="preserve"> staged using the AJCC system for malignant bone tumors.</w:t>
      </w:r>
    </w:p>
    <w:p w14:paraId="77225FE3" w14:textId="77777777" w:rsidR="00B24347" w:rsidRDefault="001006BD" w:rsidP="00B24347">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54AF2202" w14:textId="3CEFEE9C" w:rsidR="001006BD" w:rsidRPr="00B24347" w:rsidRDefault="001006BD" w:rsidP="00B24347">
      <w:pPr>
        <w:pStyle w:val="ListParagraph"/>
        <w:numPr>
          <w:ilvl w:val="0"/>
          <w:numId w:val="13"/>
        </w:numPr>
        <w:spacing w:after="0" w:line="240" w:lineRule="auto"/>
        <w:rPr>
          <w:rFonts w:ascii="Arial" w:eastAsia="Times New Roman" w:hAnsi="Arial" w:cs="Arial"/>
          <w:color w:val="000000" w:themeColor="text1"/>
          <w:sz w:val="20"/>
          <w:szCs w:val="20"/>
          <w:lang w:val="en"/>
        </w:rPr>
      </w:pPr>
      <w:r w:rsidRPr="00B24347">
        <w:rPr>
          <w:rFonts w:ascii="Arial" w:hAnsi="Arial" w:cs="Arial"/>
          <w:color w:val="000000" w:themeColor="text1"/>
          <w:sz w:val="20"/>
          <w:szCs w:val="20"/>
          <w:lang w:val="en"/>
        </w:rPr>
        <w:t xml:space="preserve">WHO Classification of </w:t>
      </w:r>
      <w:proofErr w:type="spellStart"/>
      <w:r w:rsidRPr="00B24347">
        <w:rPr>
          <w:rFonts w:ascii="Arial" w:hAnsi="Arial" w:cs="Arial"/>
          <w:color w:val="000000" w:themeColor="text1"/>
          <w:sz w:val="20"/>
          <w:szCs w:val="20"/>
          <w:lang w:val="en"/>
        </w:rPr>
        <w:t>Tumours</w:t>
      </w:r>
      <w:proofErr w:type="spellEnd"/>
      <w:r w:rsidRPr="00B24347">
        <w:rPr>
          <w:rFonts w:ascii="Arial" w:hAnsi="Arial" w:cs="Arial"/>
          <w:color w:val="000000" w:themeColor="text1"/>
          <w:sz w:val="20"/>
          <w:szCs w:val="20"/>
          <w:lang w:val="en"/>
        </w:rPr>
        <w:t xml:space="preserve"> Editorial Board. Soft Tissue and Bone Tumors. Lyon (France): International Agency for Research on Cancer; 2020. (WHO classification of </w:t>
      </w:r>
      <w:proofErr w:type="spellStart"/>
      <w:r w:rsidRPr="00B24347">
        <w:rPr>
          <w:rFonts w:ascii="Arial" w:hAnsi="Arial" w:cs="Arial"/>
          <w:color w:val="000000" w:themeColor="text1"/>
          <w:sz w:val="20"/>
          <w:szCs w:val="20"/>
          <w:lang w:val="en"/>
        </w:rPr>
        <w:t>tumours</w:t>
      </w:r>
      <w:proofErr w:type="spellEnd"/>
      <w:r w:rsidRPr="00B24347">
        <w:rPr>
          <w:rFonts w:ascii="Arial" w:hAnsi="Arial" w:cs="Arial"/>
          <w:color w:val="000000" w:themeColor="text1"/>
          <w:sz w:val="20"/>
          <w:szCs w:val="20"/>
          <w:lang w:val="en"/>
        </w:rPr>
        <w:t xml:space="preserve"> series, 5th ed.; vol. 3).</w:t>
      </w:r>
    </w:p>
    <w:p w14:paraId="5BA1B1EF" w14:textId="77777777" w:rsidR="00B24347" w:rsidRPr="00B24347" w:rsidRDefault="00B24347" w:rsidP="00B24347">
      <w:pPr>
        <w:pStyle w:val="ListParagraph"/>
        <w:spacing w:after="0"/>
        <w:rPr>
          <w:rFonts w:ascii="Arial" w:eastAsia="Times New Roman" w:hAnsi="Arial" w:cs="Arial"/>
          <w:color w:val="000000" w:themeColor="text1"/>
          <w:sz w:val="20"/>
          <w:szCs w:val="20"/>
          <w:lang w:val="en"/>
        </w:rPr>
      </w:pPr>
    </w:p>
    <w:p w14:paraId="76B4FFD8" w14:textId="18C7F2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F. Grading</w:t>
      </w:r>
    </w:p>
    <w:p w14:paraId="3FFB082F" w14:textId="15ED75CA"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The grading of bone tumors is largely driven by the histologic diagnosis, and traditionally grading has been based on the system advocated by </w:t>
      </w:r>
      <w:proofErr w:type="spellStart"/>
      <w:r w:rsidRPr="001006BD">
        <w:rPr>
          <w:rFonts w:ascii="Arial" w:hAnsi="Arial" w:cs="Arial"/>
          <w:color w:val="000000" w:themeColor="text1"/>
          <w:sz w:val="20"/>
          <w:szCs w:val="20"/>
          <w:lang w:val="en"/>
        </w:rPr>
        <w:t>Broders</w:t>
      </w:r>
      <w:proofErr w:type="spellEnd"/>
      <w:r w:rsidRPr="001006BD">
        <w:rPr>
          <w:rFonts w:ascii="Arial" w:hAnsi="Arial" w:cs="Arial"/>
          <w:color w:val="000000" w:themeColor="text1"/>
          <w:sz w:val="20"/>
          <w:szCs w:val="20"/>
          <w:lang w:val="en"/>
        </w:rPr>
        <w:t>, which assesses cellularity and nuclear features/degree of anaplasia.</w:t>
      </w:r>
      <w:hyperlink w:anchor="6000" w:tooltip="Inwards CY, Unni KK. Classification and grading of&#10;bone sarcomas. Hematol Oncol Clin North&#10;Am. 1995;9(3):545-569." w:history="1">
        <w:r w:rsidRPr="001006BD">
          <w:rPr>
            <w:rStyle w:val="Hyperlink"/>
            <w:rFonts w:ascii="Arial" w:hAnsi="Arial" w:cs="Arial"/>
            <w:color w:val="000000" w:themeColor="text1"/>
            <w:sz w:val="20"/>
            <w:szCs w:val="20"/>
            <w:vertAlign w:val="superscript"/>
            <w:lang w:val="en"/>
          </w:rPr>
          <w:t>1</w:t>
        </w:r>
      </w:hyperlink>
      <w:r w:rsidRPr="001006BD">
        <w:rPr>
          <w:rFonts w:ascii="Arial" w:hAnsi="Arial" w:cs="Arial"/>
          <w:color w:val="000000" w:themeColor="text1"/>
          <w:sz w:val="20"/>
          <w:szCs w:val="20"/>
          <w:lang w:val="en"/>
        </w:rPr>
        <w:t xml:space="preserve"> The eighth edition of the </w:t>
      </w:r>
      <w:r w:rsidRPr="001006BD">
        <w:rPr>
          <w:rStyle w:val="Emphasis"/>
          <w:rFonts w:ascii="Arial" w:hAnsi="Arial" w:cs="Arial"/>
          <w:color w:val="000000" w:themeColor="text1"/>
          <w:sz w:val="20"/>
          <w:szCs w:val="20"/>
          <w:lang w:val="en"/>
        </w:rPr>
        <w:t>AJCC Cancer Staging Manual</w:t>
      </w:r>
      <w:r w:rsidRPr="001006BD">
        <w:rPr>
          <w:rFonts w:ascii="Arial" w:hAnsi="Arial" w:cs="Arial"/>
          <w:color w:val="000000" w:themeColor="text1"/>
          <w:sz w:val="20"/>
          <w:szCs w:val="20"/>
          <w:lang w:val="en"/>
        </w:rPr>
        <w:t xml:space="preserve"> recommends a 2-tiered system (low vs high grade) for recording grading.</w:t>
      </w:r>
      <w:hyperlink w:anchor="6001" w:tooltip="Amin MB, Edge SB, Greene FL, et&#10;al, eds. AJCC Cancer Staging Manual. 8th ed. New York, NY: Springer;&#10;2017." w:history="1">
        <w:r w:rsidRPr="001006BD">
          <w:rPr>
            <w:rStyle w:val="Hyperlink"/>
            <w:rFonts w:ascii="Arial" w:hAnsi="Arial" w:cs="Arial"/>
            <w:color w:val="000000" w:themeColor="text1"/>
            <w:sz w:val="20"/>
            <w:szCs w:val="20"/>
            <w:vertAlign w:val="superscript"/>
            <w:lang w:val="en"/>
          </w:rPr>
          <w:t>2</w:t>
        </w:r>
      </w:hyperlink>
      <w:r w:rsidRPr="001006BD">
        <w:rPr>
          <w:rFonts w:ascii="Arial" w:hAnsi="Arial" w:cs="Arial"/>
          <w:color w:val="000000" w:themeColor="text1"/>
          <w:sz w:val="20"/>
          <w:szCs w:val="20"/>
          <w:lang w:val="en"/>
        </w:rPr>
        <w:t xml:space="preserve"> Histologic grading uses a 3-tiered system: Grade 1 is considered low grade, and Grade 2 and Grade 3 are grouped together as high grade for biological grading. In bone sarcomas, the histologic subtype often determines the clinical </w:t>
      </w:r>
      <w:proofErr w:type="spellStart"/>
      <w:r w:rsidRPr="001006BD">
        <w:rPr>
          <w:rFonts w:ascii="Arial" w:hAnsi="Arial" w:cs="Arial"/>
          <w:color w:val="000000" w:themeColor="text1"/>
          <w:sz w:val="20"/>
          <w:szCs w:val="20"/>
          <w:lang w:val="en"/>
        </w:rPr>
        <w:t>behaviour</w:t>
      </w:r>
      <w:proofErr w:type="spellEnd"/>
      <w:r w:rsidRPr="001006BD">
        <w:rPr>
          <w:rFonts w:ascii="Arial" w:hAnsi="Arial" w:cs="Arial"/>
          <w:color w:val="000000" w:themeColor="text1"/>
          <w:sz w:val="20"/>
          <w:szCs w:val="20"/>
          <w:lang w:val="en"/>
        </w:rPr>
        <w:t xml:space="preserve"> and grade. Therefore, a more pragmatic approach to grading aggressive and malignant primary tumors of bone can be used.</w:t>
      </w:r>
      <w:hyperlink w:anchor="6005" w:tooltip="WHO Classification of Tumours Editorial Board. Soft Tissue and Bone Tumors. Lyon (France): International Agency for Research on Cancer; 2020. (WHO classification of tumours series, 5th ed.; vol. 3)" w:history="1">
        <w:r w:rsidRPr="001006BD">
          <w:rPr>
            <w:rStyle w:val="Hyperlink"/>
            <w:rFonts w:ascii="Arial" w:hAnsi="Arial" w:cs="Arial"/>
            <w:color w:val="000000" w:themeColor="text1"/>
            <w:sz w:val="20"/>
            <w:szCs w:val="20"/>
            <w:vertAlign w:val="superscript"/>
            <w:lang w:val="en"/>
          </w:rPr>
          <w:t>3</w:t>
        </w:r>
      </w:hyperlink>
      <w:r w:rsidRPr="001006BD">
        <w:rPr>
          <w:rFonts w:ascii="Arial" w:hAnsi="Arial" w:cs="Arial"/>
          <w:color w:val="000000" w:themeColor="text1"/>
          <w:sz w:val="20"/>
          <w:szCs w:val="20"/>
          <w:lang w:val="en"/>
        </w:rPr>
        <w:t> </w:t>
      </w:r>
    </w:p>
    <w:p w14:paraId="6C1557C4" w14:textId="3028F388"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Two bone tumors that are locally aggressive and metastasize infrequently, and thus are usually low grade, are low-grade central osteosarcoma and </w:t>
      </w:r>
      <w:proofErr w:type="spellStart"/>
      <w:r w:rsidRPr="001006BD">
        <w:rPr>
          <w:rFonts w:ascii="Arial" w:hAnsi="Arial" w:cs="Arial"/>
          <w:color w:val="000000" w:themeColor="text1"/>
          <w:sz w:val="20"/>
          <w:szCs w:val="20"/>
          <w:lang w:val="en"/>
        </w:rPr>
        <w:t>parosteal</w:t>
      </w:r>
      <w:proofErr w:type="spellEnd"/>
      <w:r w:rsidRPr="001006BD">
        <w:rPr>
          <w:rFonts w:ascii="Arial" w:hAnsi="Arial" w:cs="Arial"/>
          <w:color w:val="000000" w:themeColor="text1"/>
          <w:sz w:val="20"/>
          <w:szCs w:val="20"/>
          <w:lang w:val="en"/>
        </w:rPr>
        <w:t xml:space="preserve"> osteosarcoma. Periosteal osteosarcoma is generally regarded as a grade 2 osteosarcoma. Primary bone tumors that are generally high grade include malignant giant cell tumor, Ewing sarcoma, angiosarcoma, dedifferentiated chondrosarcoma, conventional osteosarcoma, </w:t>
      </w:r>
      <w:proofErr w:type="spellStart"/>
      <w:r w:rsidRPr="001006BD">
        <w:rPr>
          <w:rFonts w:ascii="Arial" w:hAnsi="Arial" w:cs="Arial"/>
          <w:color w:val="000000" w:themeColor="text1"/>
          <w:sz w:val="20"/>
          <w:szCs w:val="20"/>
          <w:lang w:val="en"/>
        </w:rPr>
        <w:t>telangiectactic</w:t>
      </w:r>
      <w:proofErr w:type="spellEnd"/>
      <w:r w:rsidRPr="001006BD">
        <w:rPr>
          <w:rFonts w:ascii="Arial" w:hAnsi="Arial" w:cs="Arial"/>
          <w:color w:val="000000" w:themeColor="text1"/>
          <w:sz w:val="20"/>
          <w:szCs w:val="20"/>
          <w:lang w:val="en"/>
        </w:rPr>
        <w:t xml:space="preserve"> osteosarcoma, small cell osteosarcoma, secondary osteosarcoma, and high-grade surface osteosarcoma.</w:t>
      </w:r>
    </w:p>
    <w:p w14:paraId="499A44E9" w14:textId="38F7D06B"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Grading of conventional chondrosarcoma is based on cellularity, cytologic atypia, and mitotic figures, following the grading system proposed by Evans et al. </w:t>
      </w:r>
      <w:hyperlink w:anchor="6006" w:tooltip="Evans HL, Ayala AG, Romsdahl MM. Prognostic factors in chondrosarcoma of bone: a clinicopathologic analysis with emphasis on histologic grading. Cancer. 1977 Aug;40(2):818-31." w:history="1">
        <w:r w:rsidRPr="001006BD">
          <w:rPr>
            <w:rStyle w:val="Hyperlink"/>
            <w:rFonts w:ascii="Arial" w:hAnsi="Arial" w:cs="Arial"/>
            <w:color w:val="000000" w:themeColor="text1"/>
            <w:sz w:val="20"/>
            <w:szCs w:val="20"/>
            <w:vertAlign w:val="superscript"/>
            <w:lang w:val="en"/>
          </w:rPr>
          <w:t>4</w:t>
        </w:r>
      </w:hyperlink>
      <w:r w:rsidRPr="001006BD">
        <w:rPr>
          <w:rFonts w:ascii="Arial" w:hAnsi="Arial" w:cs="Arial"/>
          <w:color w:val="000000" w:themeColor="text1"/>
          <w:sz w:val="20"/>
          <w:szCs w:val="20"/>
          <w:lang w:val="en"/>
        </w:rPr>
        <w:t> Grade 1 (low-grade) chondrosarcoma is hypocellular and similar histologically to enchondroma. Grade 2 (</w:t>
      </w:r>
      <w:proofErr w:type="gramStart"/>
      <w:r w:rsidRPr="001006BD">
        <w:rPr>
          <w:rFonts w:ascii="Arial" w:hAnsi="Arial" w:cs="Arial"/>
          <w:color w:val="000000" w:themeColor="text1"/>
          <w:sz w:val="20"/>
          <w:szCs w:val="20"/>
          <w:lang w:val="en"/>
        </w:rPr>
        <w:t>intermediate-grade</w:t>
      </w:r>
      <w:proofErr w:type="gramEnd"/>
      <w:r w:rsidRPr="001006BD">
        <w:rPr>
          <w:rFonts w:ascii="Arial" w:hAnsi="Arial" w:cs="Arial"/>
          <w:color w:val="000000" w:themeColor="text1"/>
          <w:sz w:val="20"/>
          <w:szCs w:val="20"/>
          <w:lang w:val="en"/>
        </w:rPr>
        <w:t xml:space="preserve">) chondrosarcoma is more cellular than grade 1 chondrosarcoma; has more cytologic atypia, greater </w:t>
      </w:r>
      <w:proofErr w:type="spellStart"/>
      <w:r w:rsidRPr="001006BD">
        <w:rPr>
          <w:rFonts w:ascii="Arial" w:hAnsi="Arial" w:cs="Arial"/>
          <w:color w:val="000000" w:themeColor="text1"/>
          <w:sz w:val="20"/>
          <w:szCs w:val="20"/>
          <w:lang w:val="en"/>
        </w:rPr>
        <w:t>hyperchromasia</w:t>
      </w:r>
      <w:proofErr w:type="spellEnd"/>
      <w:r w:rsidRPr="001006BD">
        <w:rPr>
          <w:rFonts w:ascii="Arial" w:hAnsi="Arial" w:cs="Arial"/>
          <w:color w:val="000000" w:themeColor="text1"/>
          <w:sz w:val="20"/>
          <w:szCs w:val="20"/>
          <w:lang w:val="en"/>
        </w:rPr>
        <w:t xml:space="preserve"> and nuclear size; or has extensive myxoid stroma. Grade 3 (high-grade) chondrosarcoma is hypercellular, pleomorphic, and contains prominent mitotic activity.</w:t>
      </w:r>
    </w:p>
    <w:p w14:paraId="7ABA37AD" w14:textId="1DB35D86"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Mesenchymal chondrosarcoma, fibrosarcoma, leiomyosarcoma, liposarcoma, undifferentiated high-grade pleomorphic sarcoma of bone and other “soft tissue-type” sarcomas that rarely occur in bone can be graded according to the French Federation of Cancer Centers Sarcoma Group (FNCLCC) grading system</w:t>
      </w:r>
      <w:hyperlink w:anchor="6002" w:tooltip="Guillou&#10;L, Coindre JM, Bonichon F, et al. Comparative study of the National Cancer&#10;Institute and French Federation of Cancer Centers Sarcoma Group grading systems&#10;in a population of 410 adult patients with soft tissue sarcoma. J Clin Oncol.&#10;1997;15(1):350-362." w:history="1">
        <w:r w:rsidRPr="001006BD">
          <w:rPr>
            <w:rStyle w:val="Hyperlink"/>
            <w:rFonts w:ascii="Arial" w:hAnsi="Arial" w:cs="Arial"/>
            <w:color w:val="000000" w:themeColor="text1"/>
            <w:sz w:val="20"/>
            <w:szCs w:val="20"/>
            <w:vertAlign w:val="superscript"/>
            <w:lang w:val="en"/>
          </w:rPr>
          <w:t>5</w:t>
        </w:r>
      </w:hyperlink>
      <w:r w:rsidRPr="001006BD">
        <w:rPr>
          <w:rFonts w:ascii="Arial" w:hAnsi="Arial" w:cs="Arial"/>
          <w:color w:val="000000" w:themeColor="text1"/>
          <w:sz w:val="20"/>
          <w:szCs w:val="20"/>
          <w:lang w:val="en"/>
        </w:rPr>
        <w:t> (see College of American Pathologists protocol for soft tissue tumors</w:t>
      </w:r>
      <w:hyperlink w:anchor="6003" w:tooltip="Laurini&#10;JA, Cooper K, Fletcher CDM, et al. Protocol for the Examination of Specimens&#10;From Patients With Soft Tissue Tumors. 2017. Available at&#10;www.cap.org/cancerprotocols." w:history="1">
        <w:r w:rsidRPr="001006BD">
          <w:rPr>
            <w:rStyle w:val="Hyperlink"/>
            <w:rFonts w:ascii="Arial" w:hAnsi="Arial" w:cs="Arial"/>
            <w:color w:val="000000" w:themeColor="text1"/>
            <w:sz w:val="20"/>
            <w:szCs w:val="20"/>
            <w:vertAlign w:val="superscript"/>
            <w:lang w:val="en"/>
          </w:rPr>
          <w:t>6</w:t>
        </w:r>
      </w:hyperlink>
      <w:r w:rsidRPr="001006BD">
        <w:rPr>
          <w:rFonts w:ascii="Arial" w:hAnsi="Arial" w:cs="Arial"/>
          <w:color w:val="000000" w:themeColor="text1"/>
          <w:sz w:val="20"/>
          <w:szCs w:val="20"/>
          <w:lang w:val="en"/>
        </w:rPr>
        <w:t>).</w:t>
      </w:r>
    </w:p>
    <w:p w14:paraId="1D95FEE4" w14:textId="757E743A"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Chordomas are locally aggressive lesions with a propensity for metastasis late in their clinical course and are not graded. Adamantinomas tend to have a low-grade clinical course, but this is variable. Fortunately, they are very rare. According to the 2020 WHO classification of tumors of bone, adamantinomas are not graded.</w:t>
      </w:r>
      <w:hyperlink w:anchor="6005" w:tooltip="WHO Classification of Tumours Editorial Board. Soft Tissue and Bone Tumors. Lyon (France): International Agency for Research on Cancer; 2020. (WHO classification of tumours series, 5th ed.; vol. 3)" w:history="1">
        <w:r w:rsidRPr="001006BD">
          <w:rPr>
            <w:rStyle w:val="Hyperlink"/>
            <w:rFonts w:ascii="Arial" w:hAnsi="Arial" w:cs="Arial"/>
            <w:color w:val="000000" w:themeColor="text1"/>
            <w:sz w:val="20"/>
            <w:szCs w:val="20"/>
            <w:vertAlign w:val="superscript"/>
            <w:lang w:val="en"/>
          </w:rPr>
          <w:t>3</w:t>
        </w:r>
      </w:hyperlink>
    </w:p>
    <w:p w14:paraId="6B601EDB" w14:textId="06EC8B85" w:rsidR="001006BD" w:rsidRPr="001006BD" w:rsidRDefault="001006BD" w:rsidP="007A5CD4">
      <w:pPr>
        <w:keepNext/>
        <w:tabs>
          <w:tab w:val="left" w:pos="360"/>
        </w:tabs>
        <w:spacing w:after="0"/>
        <w:jc w:val="both"/>
        <w:outlineLvl w:val="1"/>
        <w:rPr>
          <w:rFonts w:ascii="Arial" w:hAnsi="Arial" w:cs="Arial"/>
          <w:color w:val="000000" w:themeColor="text1"/>
          <w:sz w:val="20"/>
          <w:szCs w:val="20"/>
          <w:lang w:val="en"/>
        </w:rPr>
      </w:pPr>
      <w:r w:rsidRPr="001006BD">
        <w:rPr>
          <w:rStyle w:val="Strong"/>
          <w:rFonts w:ascii="Arial" w:hAnsi="Arial" w:cs="Arial"/>
          <w:bCs w:val="0"/>
          <w:color w:val="000000" w:themeColor="text1"/>
          <w:sz w:val="20"/>
          <w:szCs w:val="20"/>
          <w:lang w:val="en"/>
        </w:rPr>
        <w:t>Bone Tumor Grades (Summary)</w:t>
      </w:r>
    </w:p>
    <w:p w14:paraId="618CAE8B" w14:textId="77777777" w:rsidR="001006BD" w:rsidRPr="001006BD" w:rsidRDefault="001006BD" w:rsidP="007A5CD4">
      <w:pPr>
        <w:keepNext/>
        <w:spacing w:after="0"/>
        <w:jc w:val="both"/>
        <w:outlineLvl w:val="2"/>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Grade 1 (Low Grade)</w:t>
      </w:r>
    </w:p>
    <w:p w14:paraId="6D10F56B"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Low-grade intramedullary (central) osteosarcoma</w:t>
      </w:r>
    </w:p>
    <w:p w14:paraId="3EA3EB6E" w14:textId="77777777" w:rsidR="001006BD" w:rsidRPr="001006BD" w:rsidRDefault="001006BD" w:rsidP="007A5CD4">
      <w:pPr>
        <w:spacing w:after="0"/>
        <w:jc w:val="both"/>
        <w:rPr>
          <w:rFonts w:ascii="Arial" w:hAnsi="Arial" w:cs="Arial"/>
          <w:color w:val="000000" w:themeColor="text1"/>
          <w:sz w:val="20"/>
          <w:szCs w:val="20"/>
          <w:lang w:val="en"/>
        </w:rPr>
      </w:pPr>
      <w:proofErr w:type="spellStart"/>
      <w:r w:rsidRPr="001006BD">
        <w:rPr>
          <w:rFonts w:ascii="Arial" w:hAnsi="Arial" w:cs="Arial"/>
          <w:color w:val="000000" w:themeColor="text1"/>
          <w:sz w:val="20"/>
          <w:szCs w:val="20"/>
          <w:lang w:val="en"/>
        </w:rPr>
        <w:lastRenderedPageBreak/>
        <w:t>Parosteal</w:t>
      </w:r>
      <w:proofErr w:type="spellEnd"/>
      <w:r w:rsidRPr="001006BD">
        <w:rPr>
          <w:rFonts w:ascii="Arial" w:hAnsi="Arial" w:cs="Arial"/>
          <w:color w:val="000000" w:themeColor="text1"/>
          <w:sz w:val="20"/>
          <w:szCs w:val="20"/>
          <w:lang w:val="en"/>
        </w:rPr>
        <w:t xml:space="preserve"> osteosarcoma</w:t>
      </w:r>
    </w:p>
    <w:p w14:paraId="318BA19F"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Grade I chondrosarcoma</w:t>
      </w:r>
    </w:p>
    <w:p w14:paraId="0089F6D3" w14:textId="39D6FA97" w:rsid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Clear cell chondrosarcoma</w:t>
      </w:r>
    </w:p>
    <w:p w14:paraId="07584428" w14:textId="77777777" w:rsidR="001006BD" w:rsidRPr="001006BD" w:rsidRDefault="001006BD" w:rsidP="007A5CD4">
      <w:pPr>
        <w:spacing w:after="0"/>
        <w:jc w:val="both"/>
        <w:rPr>
          <w:rFonts w:ascii="Arial" w:hAnsi="Arial" w:cs="Arial"/>
          <w:color w:val="000000" w:themeColor="text1"/>
          <w:sz w:val="20"/>
          <w:szCs w:val="20"/>
          <w:lang w:val="en"/>
        </w:rPr>
      </w:pPr>
    </w:p>
    <w:p w14:paraId="47CEB7B2" w14:textId="77777777" w:rsidR="001006BD" w:rsidRPr="001006BD" w:rsidRDefault="001006BD" w:rsidP="007A5CD4">
      <w:pPr>
        <w:keepNext/>
        <w:spacing w:after="0"/>
        <w:jc w:val="both"/>
        <w:outlineLvl w:val="2"/>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Grade 2</w:t>
      </w:r>
    </w:p>
    <w:p w14:paraId="606A0699"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Periosteal osteosarcoma</w:t>
      </w:r>
    </w:p>
    <w:p w14:paraId="3CD6E4F0" w14:textId="38A0F7F9" w:rsidR="001006BD" w:rsidRDefault="001006BD" w:rsidP="00B24347">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Grade II chondrosarcoma</w:t>
      </w:r>
    </w:p>
    <w:p w14:paraId="1255EAB2" w14:textId="77777777" w:rsidR="00B24347" w:rsidRPr="001006BD" w:rsidRDefault="00B24347" w:rsidP="00B24347">
      <w:pPr>
        <w:spacing w:after="0"/>
        <w:jc w:val="both"/>
        <w:rPr>
          <w:rFonts w:ascii="Arial" w:hAnsi="Arial" w:cs="Arial"/>
          <w:color w:val="000000" w:themeColor="text1"/>
          <w:sz w:val="20"/>
          <w:szCs w:val="20"/>
          <w:lang w:val="en"/>
        </w:rPr>
      </w:pPr>
    </w:p>
    <w:p w14:paraId="1B19A22F" w14:textId="77777777" w:rsidR="001006BD" w:rsidRPr="001006BD" w:rsidRDefault="001006BD" w:rsidP="007A5CD4">
      <w:pPr>
        <w:keepNext/>
        <w:spacing w:after="0"/>
        <w:jc w:val="both"/>
        <w:outlineLvl w:val="2"/>
        <w:rPr>
          <w:rFonts w:ascii="Arial" w:hAnsi="Arial" w:cs="Arial"/>
          <w:color w:val="000000" w:themeColor="text1"/>
          <w:sz w:val="20"/>
          <w:szCs w:val="20"/>
          <w:lang w:val="en"/>
        </w:rPr>
      </w:pPr>
      <w:r w:rsidRPr="001006BD">
        <w:rPr>
          <w:rFonts w:ascii="Arial" w:hAnsi="Arial" w:cs="Arial"/>
          <w:color w:val="000000" w:themeColor="text1"/>
          <w:sz w:val="20"/>
          <w:szCs w:val="20"/>
          <w:u w:val="single"/>
          <w:lang w:val="en"/>
        </w:rPr>
        <w:t>Grade 3 (High Grade)</w:t>
      </w:r>
    </w:p>
    <w:p w14:paraId="416F9421"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Ewing sarcoma</w:t>
      </w:r>
    </w:p>
    <w:p w14:paraId="70929286"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Conventional osteosarcoma</w:t>
      </w:r>
    </w:p>
    <w:p w14:paraId="420C0508" w14:textId="77777777" w:rsidR="001006BD" w:rsidRPr="001006BD" w:rsidRDefault="001006BD" w:rsidP="007A5CD4">
      <w:pPr>
        <w:spacing w:after="0"/>
        <w:jc w:val="both"/>
        <w:rPr>
          <w:rFonts w:ascii="Arial" w:hAnsi="Arial" w:cs="Arial"/>
          <w:color w:val="000000" w:themeColor="text1"/>
          <w:sz w:val="20"/>
          <w:szCs w:val="20"/>
          <w:lang w:val="en"/>
        </w:rPr>
      </w:pPr>
      <w:proofErr w:type="spellStart"/>
      <w:r w:rsidRPr="001006BD">
        <w:rPr>
          <w:rFonts w:ascii="Arial" w:hAnsi="Arial" w:cs="Arial"/>
          <w:color w:val="000000" w:themeColor="text1"/>
          <w:sz w:val="20"/>
          <w:szCs w:val="20"/>
          <w:lang w:val="en"/>
        </w:rPr>
        <w:t>Telangiectactic</w:t>
      </w:r>
      <w:proofErr w:type="spellEnd"/>
      <w:r w:rsidRPr="001006BD">
        <w:rPr>
          <w:rFonts w:ascii="Arial" w:hAnsi="Arial" w:cs="Arial"/>
          <w:color w:val="000000" w:themeColor="text1"/>
          <w:sz w:val="20"/>
          <w:szCs w:val="20"/>
          <w:lang w:val="en"/>
        </w:rPr>
        <w:t xml:space="preserve"> osteosarcoma</w:t>
      </w:r>
    </w:p>
    <w:p w14:paraId="6229E28A"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Mesenchymal chondrosarcoma</w:t>
      </w:r>
    </w:p>
    <w:p w14:paraId="7BE4B1C7"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Small cell osteosarcoma</w:t>
      </w:r>
    </w:p>
    <w:p w14:paraId="0F8523D8"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Secondary osteosarcoma</w:t>
      </w:r>
    </w:p>
    <w:p w14:paraId="01BCD563"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High-grade surface osteosarcoma</w:t>
      </w:r>
    </w:p>
    <w:p w14:paraId="4452E81E"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Dedifferentiated chondrosarcoma</w:t>
      </w:r>
    </w:p>
    <w:p w14:paraId="3B9FA6BC"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Dedifferentiated chordoma</w:t>
      </w:r>
    </w:p>
    <w:p w14:paraId="76CC50FC"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Malignancy in giant cell tumor</w:t>
      </w:r>
    </w:p>
    <w:p w14:paraId="174BD9D2"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Grade III chondrosarcoma</w:t>
      </w:r>
    </w:p>
    <w:p w14:paraId="53F013F2"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Soft-tissue type sarcomas (</w:t>
      </w:r>
      <w:proofErr w:type="spellStart"/>
      <w:r w:rsidRPr="001006BD">
        <w:rPr>
          <w:rFonts w:ascii="Arial" w:hAnsi="Arial" w:cs="Arial"/>
          <w:color w:val="000000" w:themeColor="text1"/>
          <w:sz w:val="20"/>
          <w:szCs w:val="20"/>
          <w:lang w:val="en"/>
        </w:rPr>
        <w:t>eg</w:t>
      </w:r>
      <w:proofErr w:type="spellEnd"/>
      <w:r w:rsidRPr="001006BD">
        <w:rPr>
          <w:rFonts w:ascii="Arial" w:hAnsi="Arial" w:cs="Arial"/>
          <w:color w:val="000000" w:themeColor="text1"/>
          <w:sz w:val="20"/>
          <w:szCs w:val="20"/>
          <w:lang w:val="en"/>
        </w:rPr>
        <w:t>, leiomyosarcoma)</w:t>
      </w:r>
    </w:p>
    <w:p w14:paraId="3C3A0FC5" w14:textId="77777777"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Undifferentiated high-grade pleomorphic sarcoma</w:t>
      </w:r>
    </w:p>
    <w:p w14:paraId="1A7BBEC7" w14:textId="77777777" w:rsidR="001006BD" w:rsidRPr="001006BD" w:rsidRDefault="001006BD">
      <w:pPr>
        <w:rPr>
          <w:rFonts w:ascii="Arial" w:hAnsi="Arial" w:cs="Arial"/>
          <w:color w:val="000000" w:themeColor="text1"/>
          <w:sz w:val="20"/>
          <w:szCs w:val="20"/>
          <w:lang w:val="en"/>
        </w:rPr>
      </w:pPr>
      <w:r w:rsidRPr="001006BD">
        <w:rPr>
          <w:rFonts w:ascii="Arial" w:hAnsi="Arial" w:cs="Arial"/>
          <w:color w:val="000000" w:themeColor="text1"/>
          <w:sz w:val="20"/>
          <w:szCs w:val="20"/>
          <w:lang w:val="en"/>
        </w:rPr>
        <w:t> </w:t>
      </w:r>
    </w:p>
    <w:p w14:paraId="18529357" w14:textId="77777777" w:rsidR="001006BD" w:rsidRPr="001006BD" w:rsidRDefault="001006BD" w:rsidP="007A5CD4">
      <w:pPr>
        <w:keepNext/>
        <w:tabs>
          <w:tab w:val="left" w:pos="360"/>
        </w:tabs>
        <w:spacing w:after="0"/>
        <w:outlineLvl w:val="1"/>
        <w:rPr>
          <w:rFonts w:ascii="Arial" w:hAnsi="Arial" w:cs="Arial"/>
          <w:color w:val="000000" w:themeColor="text1"/>
          <w:sz w:val="20"/>
          <w:szCs w:val="20"/>
          <w:lang w:val="en"/>
        </w:rPr>
      </w:pPr>
      <w:r w:rsidRPr="001006BD">
        <w:rPr>
          <w:rStyle w:val="Strong"/>
          <w:rFonts w:ascii="Arial" w:hAnsi="Arial" w:cs="Arial"/>
          <w:bCs w:val="0"/>
          <w:color w:val="000000" w:themeColor="text1"/>
          <w:sz w:val="20"/>
          <w:szCs w:val="20"/>
          <w:lang w:val="en"/>
        </w:rPr>
        <w:t>TNM Grading</w:t>
      </w:r>
    </w:p>
    <w:p w14:paraId="02978283" w14:textId="53622235" w:rsidR="001006BD" w:rsidRPr="001006BD" w:rsidRDefault="001006BD" w:rsidP="007A5CD4">
      <w:pPr>
        <w:spacing w:after="0"/>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The 8</w:t>
      </w:r>
      <w:r w:rsidRPr="001006BD">
        <w:rPr>
          <w:rFonts w:ascii="Arial" w:hAnsi="Arial" w:cs="Arial"/>
          <w:color w:val="000000" w:themeColor="text1"/>
          <w:sz w:val="20"/>
          <w:szCs w:val="20"/>
          <w:vertAlign w:val="superscript"/>
          <w:lang w:val="en"/>
        </w:rPr>
        <w:t>th</w:t>
      </w:r>
      <w:r w:rsidRPr="001006BD">
        <w:rPr>
          <w:rFonts w:ascii="Arial" w:hAnsi="Arial" w:cs="Arial"/>
          <w:color w:val="000000" w:themeColor="text1"/>
          <w:sz w:val="20"/>
          <w:szCs w:val="20"/>
          <w:lang w:val="en"/>
        </w:rPr>
        <w:t xml:space="preserve"> edition of the American Joint Committee on Cancer (AJCC) and International Union Against Cancer (UICC) staging system for bone tumors includes a 3-grade system but effectively collapses into high grade and low grade.</w:t>
      </w:r>
      <w:hyperlink w:anchor="6001" w:tooltip="Amin MB, Edge SB, Greene FL, et&#10;al, eds. AJCC Cancer Staging Manual. 8th ed. New York, NY: Springer;&#10;2017." w:history="1">
        <w:r w:rsidRPr="001006BD">
          <w:rPr>
            <w:rStyle w:val="Hyperlink"/>
            <w:rFonts w:ascii="Arial" w:hAnsi="Arial" w:cs="Arial"/>
            <w:color w:val="000000" w:themeColor="text1"/>
            <w:sz w:val="20"/>
            <w:szCs w:val="20"/>
            <w:vertAlign w:val="superscript"/>
            <w:lang w:val="en"/>
          </w:rPr>
          <w:t>2,</w:t>
        </w:r>
      </w:hyperlink>
      <w:hyperlink w:anchor="6004" w:tooltip="Brierley JD, Gospodarowicz&#10;MK, Wittekind C, et al, eds. TNM Classification of Malignant Tumours. 8th ed.&#10;Oxford, UK: Wiley; 2016." w:history="1">
        <w:r w:rsidRPr="001006BD">
          <w:rPr>
            <w:rStyle w:val="Hyperlink"/>
            <w:rFonts w:ascii="Arial" w:hAnsi="Arial" w:cs="Arial"/>
            <w:color w:val="000000" w:themeColor="text1"/>
            <w:sz w:val="20"/>
            <w:szCs w:val="20"/>
            <w:vertAlign w:val="superscript"/>
            <w:lang w:val="en"/>
          </w:rPr>
          <w:t>7</w:t>
        </w:r>
      </w:hyperlink>
      <w:r w:rsidRPr="001006BD">
        <w:rPr>
          <w:rFonts w:ascii="Arial" w:hAnsi="Arial" w:cs="Arial"/>
          <w:color w:val="000000" w:themeColor="text1"/>
          <w:sz w:val="20"/>
          <w:szCs w:val="20"/>
          <w:lang w:val="en"/>
        </w:rPr>
        <w:t>  Grading in the TNM grading system is based on differentiation only and does not generally apply to sarcomas.</w:t>
      </w:r>
    </w:p>
    <w:p w14:paraId="097682EE" w14:textId="77777777" w:rsidR="001006BD" w:rsidRPr="001006BD" w:rsidRDefault="001006BD">
      <w:pPr>
        <w:keepNext/>
        <w:rPr>
          <w:rFonts w:ascii="Arial" w:hAnsi="Arial" w:cs="Arial"/>
          <w:color w:val="000000" w:themeColor="text1"/>
          <w:sz w:val="20"/>
          <w:szCs w:val="20"/>
          <w:lang w:val="en"/>
        </w:rPr>
      </w:pPr>
      <w:r w:rsidRPr="001006BD">
        <w:rPr>
          <w:rFonts w:ascii="Arial" w:hAnsi="Arial" w:cs="Arial"/>
          <w:color w:val="000000" w:themeColor="text1"/>
          <w:sz w:val="20"/>
          <w:szCs w:val="20"/>
          <w:lang w:val="en"/>
        </w:rPr>
        <w:t>GX</w:t>
      </w:r>
      <w:r w:rsidRPr="001006BD">
        <w:rPr>
          <w:rFonts w:ascii="Arial" w:hAnsi="Arial" w:cs="Arial"/>
          <w:color w:val="000000" w:themeColor="text1"/>
          <w:sz w:val="20"/>
          <w:szCs w:val="20"/>
          <w:lang w:val="en"/>
        </w:rPr>
        <w:tab/>
        <w:t>Grade cannot be assessed</w:t>
      </w:r>
    </w:p>
    <w:p w14:paraId="2289A5CE" w14:textId="77777777" w:rsidR="001006BD" w:rsidRPr="001006BD" w:rsidRDefault="001006BD">
      <w:pPr>
        <w:rPr>
          <w:rFonts w:ascii="Arial" w:hAnsi="Arial" w:cs="Arial"/>
          <w:color w:val="000000" w:themeColor="text1"/>
          <w:sz w:val="20"/>
          <w:szCs w:val="20"/>
          <w:lang w:val="en"/>
        </w:rPr>
      </w:pPr>
      <w:r w:rsidRPr="001006BD">
        <w:rPr>
          <w:rFonts w:ascii="Arial" w:hAnsi="Arial" w:cs="Arial"/>
          <w:color w:val="000000" w:themeColor="text1"/>
          <w:sz w:val="20"/>
          <w:szCs w:val="20"/>
          <w:lang w:val="en"/>
        </w:rPr>
        <w:t>G1</w:t>
      </w:r>
      <w:r w:rsidRPr="001006BD">
        <w:rPr>
          <w:rFonts w:ascii="Arial" w:hAnsi="Arial" w:cs="Arial"/>
          <w:color w:val="000000" w:themeColor="text1"/>
          <w:sz w:val="20"/>
          <w:szCs w:val="20"/>
          <w:lang w:val="en"/>
        </w:rPr>
        <w:tab/>
        <w:t>Well differentiated, low grade</w:t>
      </w:r>
    </w:p>
    <w:p w14:paraId="15AA82EE" w14:textId="77777777" w:rsidR="001006BD" w:rsidRPr="001006BD" w:rsidRDefault="001006BD">
      <w:pPr>
        <w:rPr>
          <w:rFonts w:ascii="Arial" w:hAnsi="Arial" w:cs="Arial"/>
          <w:color w:val="000000" w:themeColor="text1"/>
          <w:sz w:val="20"/>
          <w:szCs w:val="20"/>
          <w:lang w:val="en"/>
        </w:rPr>
      </w:pPr>
      <w:r w:rsidRPr="001006BD">
        <w:rPr>
          <w:rFonts w:ascii="Arial" w:hAnsi="Arial" w:cs="Arial"/>
          <w:color w:val="000000" w:themeColor="text1"/>
          <w:sz w:val="20"/>
          <w:szCs w:val="20"/>
          <w:lang w:val="en"/>
        </w:rPr>
        <w:t>G2</w:t>
      </w:r>
      <w:r w:rsidRPr="001006BD">
        <w:rPr>
          <w:rFonts w:ascii="Arial" w:hAnsi="Arial" w:cs="Arial"/>
          <w:color w:val="000000" w:themeColor="text1"/>
          <w:sz w:val="20"/>
          <w:szCs w:val="20"/>
          <w:lang w:val="en"/>
        </w:rPr>
        <w:tab/>
        <w:t>Moderately differentiated, high grade</w:t>
      </w:r>
    </w:p>
    <w:p w14:paraId="0F2F33FC" w14:textId="68186BE7" w:rsidR="001006BD" w:rsidRPr="001006BD" w:rsidRDefault="001006BD">
      <w:pPr>
        <w:rPr>
          <w:rFonts w:ascii="Arial" w:hAnsi="Arial" w:cs="Arial"/>
          <w:color w:val="000000" w:themeColor="text1"/>
          <w:sz w:val="20"/>
          <w:szCs w:val="20"/>
          <w:lang w:val="en"/>
        </w:rPr>
      </w:pPr>
      <w:r w:rsidRPr="001006BD">
        <w:rPr>
          <w:rFonts w:ascii="Arial" w:hAnsi="Arial" w:cs="Arial"/>
          <w:color w:val="000000" w:themeColor="text1"/>
          <w:sz w:val="20"/>
          <w:szCs w:val="20"/>
          <w:lang w:val="en"/>
        </w:rPr>
        <w:t>G3</w:t>
      </w:r>
      <w:r w:rsidRPr="001006BD">
        <w:rPr>
          <w:rFonts w:ascii="Arial" w:hAnsi="Arial" w:cs="Arial"/>
          <w:color w:val="000000" w:themeColor="text1"/>
          <w:sz w:val="20"/>
          <w:szCs w:val="20"/>
          <w:lang w:val="en"/>
        </w:rPr>
        <w:tab/>
        <w:t xml:space="preserve">Poorly differentiated, high grade </w:t>
      </w:r>
    </w:p>
    <w:p w14:paraId="4BD15D34" w14:textId="542B55C2"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For purposes of using the AJCC staging system, 3-grade systems can be converted to a 2-grade (TNM) system as follows: grade 1= low-grade; grade 2 and grade 3 = high-grade.</w:t>
      </w:r>
    </w:p>
    <w:p w14:paraId="39F17F0A"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00A372BC" w14:textId="77777777" w:rsidR="001006BD" w:rsidRPr="001006BD" w:rsidRDefault="001006BD" w:rsidP="007A5CD4">
      <w:pPr>
        <w:numPr>
          <w:ilvl w:val="0"/>
          <w:numId w:val="11"/>
        </w:numPr>
        <w:tabs>
          <w:tab w:val="left" w:pos="450"/>
        </w:tabs>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Inwards CY, </w:t>
      </w:r>
      <w:proofErr w:type="spellStart"/>
      <w:r w:rsidRPr="001006BD">
        <w:rPr>
          <w:rFonts w:ascii="Arial" w:hAnsi="Arial" w:cs="Arial"/>
          <w:color w:val="000000" w:themeColor="text1"/>
          <w:sz w:val="20"/>
          <w:szCs w:val="20"/>
          <w:lang w:val="en"/>
        </w:rPr>
        <w:t>Unni</w:t>
      </w:r>
      <w:proofErr w:type="spellEnd"/>
      <w:r w:rsidRPr="001006BD">
        <w:rPr>
          <w:rFonts w:ascii="Arial" w:hAnsi="Arial" w:cs="Arial"/>
          <w:color w:val="000000" w:themeColor="text1"/>
          <w:sz w:val="20"/>
          <w:szCs w:val="20"/>
          <w:lang w:val="en"/>
        </w:rPr>
        <w:t xml:space="preserve"> KK. Classification and grading of bone sarcomas. </w:t>
      </w:r>
      <w:proofErr w:type="spellStart"/>
      <w:r w:rsidRPr="001006BD">
        <w:rPr>
          <w:rStyle w:val="Emphasis"/>
          <w:rFonts w:ascii="Arial" w:hAnsi="Arial" w:cs="Arial"/>
          <w:iCs w:val="0"/>
          <w:color w:val="000000" w:themeColor="text1"/>
          <w:sz w:val="20"/>
          <w:szCs w:val="20"/>
          <w:lang w:val="en"/>
        </w:rPr>
        <w:t>Hematol</w:t>
      </w:r>
      <w:proofErr w:type="spellEnd"/>
      <w:r w:rsidRPr="001006BD">
        <w:rPr>
          <w:rStyle w:val="Emphasis"/>
          <w:rFonts w:ascii="Arial" w:hAnsi="Arial" w:cs="Arial"/>
          <w:iCs w:val="0"/>
          <w:color w:val="000000" w:themeColor="text1"/>
          <w:sz w:val="20"/>
          <w:szCs w:val="20"/>
          <w:lang w:val="en"/>
        </w:rPr>
        <w:t xml:space="preserve"> Oncol Clin North Am</w:t>
      </w:r>
      <w:r w:rsidRPr="001006BD">
        <w:rPr>
          <w:rFonts w:ascii="Arial" w:hAnsi="Arial" w:cs="Arial"/>
          <w:color w:val="000000" w:themeColor="text1"/>
          <w:sz w:val="20"/>
          <w:szCs w:val="20"/>
          <w:lang w:val="en"/>
        </w:rPr>
        <w:t>. 1995;9(3):545-569.</w:t>
      </w:r>
    </w:p>
    <w:p w14:paraId="19755072" w14:textId="77777777" w:rsidR="001006BD" w:rsidRPr="001006BD" w:rsidRDefault="001006BD" w:rsidP="007A5CD4">
      <w:pPr>
        <w:numPr>
          <w:ilvl w:val="0"/>
          <w:numId w:val="11"/>
        </w:numPr>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Amin MB, Edge SB, Greene FL, et al., eds. </w:t>
      </w:r>
      <w:r w:rsidRPr="001006BD">
        <w:rPr>
          <w:rStyle w:val="Emphasis"/>
          <w:rFonts w:ascii="Arial" w:hAnsi="Arial" w:cs="Arial"/>
          <w:color w:val="000000" w:themeColor="text1"/>
          <w:sz w:val="20"/>
          <w:szCs w:val="20"/>
          <w:lang w:val="en"/>
        </w:rPr>
        <w:t>AJCC Cancer Staging Manual</w:t>
      </w:r>
      <w:r w:rsidRPr="001006BD">
        <w:rPr>
          <w:rFonts w:ascii="Arial" w:hAnsi="Arial" w:cs="Arial"/>
          <w:color w:val="000000" w:themeColor="text1"/>
          <w:sz w:val="20"/>
          <w:szCs w:val="20"/>
          <w:lang w:val="en"/>
        </w:rPr>
        <w:t>. 8th ed. New York, NY: Springer; 2017.</w:t>
      </w:r>
    </w:p>
    <w:p w14:paraId="449BD718" w14:textId="77777777" w:rsidR="001006BD" w:rsidRPr="001006BD" w:rsidRDefault="001006BD" w:rsidP="007A5CD4">
      <w:pPr>
        <w:numPr>
          <w:ilvl w:val="0"/>
          <w:numId w:val="11"/>
        </w:numPr>
        <w:spacing w:after="0" w:line="240" w:lineRule="auto"/>
        <w:divId w:val="212617351"/>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WHO Classification of </w:t>
      </w:r>
      <w:proofErr w:type="spellStart"/>
      <w:r w:rsidRPr="001006BD">
        <w:rPr>
          <w:rFonts w:ascii="Arial" w:eastAsia="Times New Roman" w:hAnsi="Arial" w:cs="Arial"/>
          <w:color w:val="000000" w:themeColor="text1"/>
          <w:sz w:val="20"/>
          <w:szCs w:val="20"/>
          <w:lang w:val="en"/>
        </w:rPr>
        <w:t>Tumours</w:t>
      </w:r>
      <w:proofErr w:type="spellEnd"/>
      <w:r w:rsidRPr="001006BD">
        <w:rPr>
          <w:rFonts w:ascii="Arial" w:eastAsia="Times New Roman" w:hAnsi="Arial" w:cs="Arial"/>
          <w:color w:val="000000" w:themeColor="text1"/>
          <w:sz w:val="20"/>
          <w:szCs w:val="20"/>
          <w:lang w:val="en"/>
        </w:rPr>
        <w:t xml:space="preserve"> Editorial Board. Soft Tissue and Bone Tumors. Lyon (France): International Agency for Research on Cancer; 2020. (WHO classification of </w:t>
      </w:r>
      <w:proofErr w:type="spellStart"/>
      <w:r w:rsidRPr="001006BD">
        <w:rPr>
          <w:rFonts w:ascii="Arial" w:eastAsia="Times New Roman" w:hAnsi="Arial" w:cs="Arial"/>
          <w:color w:val="000000" w:themeColor="text1"/>
          <w:sz w:val="20"/>
          <w:szCs w:val="20"/>
          <w:lang w:val="en"/>
        </w:rPr>
        <w:t>tumours</w:t>
      </w:r>
      <w:proofErr w:type="spellEnd"/>
      <w:r w:rsidRPr="001006BD">
        <w:rPr>
          <w:rFonts w:ascii="Arial" w:eastAsia="Times New Roman" w:hAnsi="Arial" w:cs="Arial"/>
          <w:color w:val="000000" w:themeColor="text1"/>
          <w:sz w:val="20"/>
          <w:szCs w:val="20"/>
          <w:lang w:val="en"/>
        </w:rPr>
        <w:t xml:space="preserve"> series, 5th ed.; vol. 3)</w:t>
      </w:r>
    </w:p>
    <w:p w14:paraId="2997831B" w14:textId="77777777" w:rsidR="001006BD" w:rsidRPr="001006BD" w:rsidRDefault="001006BD" w:rsidP="007A5CD4">
      <w:pPr>
        <w:numPr>
          <w:ilvl w:val="0"/>
          <w:numId w:val="11"/>
        </w:numPr>
        <w:spacing w:after="0" w:line="240" w:lineRule="auto"/>
        <w:divId w:val="212617351"/>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 xml:space="preserve">Evans HL, Ayala AG, </w:t>
      </w:r>
      <w:proofErr w:type="spellStart"/>
      <w:r w:rsidRPr="001006BD">
        <w:rPr>
          <w:rFonts w:ascii="Arial" w:eastAsia="Times New Roman" w:hAnsi="Arial" w:cs="Arial"/>
          <w:color w:val="000000" w:themeColor="text1"/>
          <w:sz w:val="20"/>
          <w:szCs w:val="20"/>
          <w:lang w:val="en"/>
        </w:rPr>
        <w:t>Romsdahl</w:t>
      </w:r>
      <w:proofErr w:type="spellEnd"/>
      <w:r w:rsidRPr="001006BD">
        <w:rPr>
          <w:rFonts w:ascii="Arial" w:eastAsia="Times New Roman" w:hAnsi="Arial" w:cs="Arial"/>
          <w:color w:val="000000" w:themeColor="text1"/>
          <w:sz w:val="20"/>
          <w:szCs w:val="20"/>
          <w:lang w:val="en"/>
        </w:rPr>
        <w:t xml:space="preserve"> MM. Prognostic factors in chondrosarcoma of bone: a clinicopathologic analysis with emphasis on histologic grading. Cancer. 1977 Aug;40(2):818-31.</w:t>
      </w:r>
    </w:p>
    <w:p w14:paraId="348D7AA0" w14:textId="77777777" w:rsidR="001006BD" w:rsidRPr="001006BD" w:rsidRDefault="001006BD" w:rsidP="007A5CD4">
      <w:pPr>
        <w:numPr>
          <w:ilvl w:val="0"/>
          <w:numId w:val="11"/>
        </w:numPr>
        <w:spacing w:after="0" w:line="240" w:lineRule="auto"/>
        <w:ind w:left="750" w:right="30"/>
        <w:divId w:val="212617351"/>
        <w:rPr>
          <w:rFonts w:ascii="Arial" w:hAnsi="Arial" w:cs="Arial"/>
          <w:color w:val="000000" w:themeColor="text1"/>
          <w:sz w:val="20"/>
          <w:szCs w:val="20"/>
          <w:lang w:val="en"/>
        </w:rPr>
      </w:pPr>
      <w:proofErr w:type="spellStart"/>
      <w:r w:rsidRPr="001006BD">
        <w:rPr>
          <w:rFonts w:ascii="Arial" w:hAnsi="Arial" w:cs="Arial"/>
          <w:color w:val="000000" w:themeColor="text1"/>
          <w:sz w:val="20"/>
          <w:szCs w:val="20"/>
          <w:lang w:val="en"/>
        </w:rPr>
        <w:lastRenderedPageBreak/>
        <w:t>Guillou</w:t>
      </w:r>
      <w:proofErr w:type="spellEnd"/>
      <w:r w:rsidRPr="001006BD">
        <w:rPr>
          <w:rFonts w:ascii="Arial" w:hAnsi="Arial" w:cs="Arial"/>
          <w:color w:val="000000" w:themeColor="text1"/>
          <w:sz w:val="20"/>
          <w:szCs w:val="20"/>
          <w:lang w:val="en"/>
        </w:rPr>
        <w:t xml:space="preserve"> L, </w:t>
      </w:r>
      <w:proofErr w:type="spellStart"/>
      <w:r w:rsidRPr="001006BD">
        <w:rPr>
          <w:rFonts w:ascii="Arial" w:hAnsi="Arial" w:cs="Arial"/>
          <w:color w:val="000000" w:themeColor="text1"/>
          <w:sz w:val="20"/>
          <w:szCs w:val="20"/>
          <w:lang w:val="en"/>
        </w:rPr>
        <w:t>Coindre</w:t>
      </w:r>
      <w:proofErr w:type="spellEnd"/>
      <w:r w:rsidRPr="001006BD">
        <w:rPr>
          <w:rFonts w:ascii="Arial" w:hAnsi="Arial" w:cs="Arial"/>
          <w:color w:val="000000" w:themeColor="text1"/>
          <w:sz w:val="20"/>
          <w:szCs w:val="20"/>
          <w:lang w:val="en"/>
        </w:rPr>
        <w:t xml:space="preserve"> JM, </w:t>
      </w:r>
      <w:proofErr w:type="spellStart"/>
      <w:r w:rsidRPr="001006BD">
        <w:rPr>
          <w:rFonts w:ascii="Arial" w:hAnsi="Arial" w:cs="Arial"/>
          <w:color w:val="000000" w:themeColor="text1"/>
          <w:sz w:val="20"/>
          <w:szCs w:val="20"/>
          <w:lang w:val="en"/>
        </w:rPr>
        <w:t>Bonichon</w:t>
      </w:r>
      <w:proofErr w:type="spellEnd"/>
      <w:r w:rsidRPr="001006BD">
        <w:rPr>
          <w:rFonts w:ascii="Arial" w:hAnsi="Arial" w:cs="Arial"/>
          <w:color w:val="000000" w:themeColor="text1"/>
          <w:sz w:val="20"/>
          <w:szCs w:val="20"/>
          <w:lang w:val="en"/>
        </w:rPr>
        <w:t xml:space="preserve"> F, et al. Comparative study of the National Cancer Institute and French Federation of Cancer Centers Sarcoma Group grading systems in a population of 410 adult patients with soft tissue sarcoma. </w:t>
      </w:r>
      <w:r w:rsidRPr="001006BD">
        <w:rPr>
          <w:rStyle w:val="Emphasis"/>
          <w:rFonts w:ascii="Arial" w:hAnsi="Arial" w:cs="Arial"/>
          <w:color w:val="000000" w:themeColor="text1"/>
          <w:sz w:val="20"/>
          <w:szCs w:val="20"/>
          <w:lang w:val="en"/>
        </w:rPr>
        <w:t>J Clin Oncol</w:t>
      </w:r>
      <w:r w:rsidRPr="001006BD">
        <w:rPr>
          <w:rFonts w:ascii="Arial" w:hAnsi="Arial" w:cs="Arial"/>
          <w:color w:val="000000" w:themeColor="text1"/>
          <w:sz w:val="20"/>
          <w:szCs w:val="20"/>
          <w:lang w:val="en"/>
        </w:rPr>
        <w:t>. 1997;15(1):350-362.</w:t>
      </w:r>
    </w:p>
    <w:p w14:paraId="32A62178" w14:textId="77777777" w:rsidR="001006BD" w:rsidRPr="001006BD" w:rsidRDefault="001006BD" w:rsidP="007A5CD4">
      <w:pPr>
        <w:numPr>
          <w:ilvl w:val="0"/>
          <w:numId w:val="11"/>
        </w:numPr>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Laurini JA. Protocol for the Examination of Specimens </w:t>
      </w:r>
      <w:proofErr w:type="gramStart"/>
      <w:r w:rsidRPr="001006BD">
        <w:rPr>
          <w:rFonts w:ascii="Arial" w:hAnsi="Arial" w:cs="Arial"/>
          <w:color w:val="000000" w:themeColor="text1"/>
          <w:sz w:val="20"/>
          <w:szCs w:val="20"/>
          <w:lang w:val="en"/>
        </w:rPr>
        <w:t>From</w:t>
      </w:r>
      <w:proofErr w:type="gramEnd"/>
      <w:r w:rsidRPr="001006BD">
        <w:rPr>
          <w:rFonts w:ascii="Arial" w:hAnsi="Arial" w:cs="Arial"/>
          <w:color w:val="000000" w:themeColor="text1"/>
          <w:sz w:val="20"/>
          <w:szCs w:val="20"/>
          <w:lang w:val="en"/>
        </w:rPr>
        <w:t xml:space="preserve"> Patients With Soft Tissue Tumors. 2021. Available at www.cap.org/cancerprotocols.</w:t>
      </w:r>
    </w:p>
    <w:p w14:paraId="2A5ECE2A" w14:textId="2F95BFF2" w:rsidR="001006BD" w:rsidRDefault="001006BD" w:rsidP="007A5CD4">
      <w:pPr>
        <w:numPr>
          <w:ilvl w:val="0"/>
          <w:numId w:val="11"/>
        </w:numPr>
        <w:kinsoku w:val="0"/>
        <w:overflowPunct w:val="0"/>
        <w:spacing w:after="0" w:line="240" w:lineRule="auto"/>
        <w:ind w:left="750" w:right="30"/>
        <w:divId w:val="212617351"/>
        <w:rPr>
          <w:rFonts w:ascii="Arial" w:hAnsi="Arial" w:cs="Arial"/>
          <w:color w:val="000000" w:themeColor="text1"/>
          <w:sz w:val="20"/>
          <w:szCs w:val="20"/>
          <w:lang w:val="en"/>
        </w:rPr>
      </w:pPr>
      <w:r w:rsidRPr="001006BD">
        <w:rPr>
          <w:rFonts w:ascii="Arial" w:hAnsi="Arial" w:cs="Arial"/>
          <w:color w:val="000000" w:themeColor="text1"/>
          <w:sz w:val="20"/>
          <w:szCs w:val="20"/>
          <w:lang w:val="en"/>
        </w:rPr>
        <w:t xml:space="preserve">Brierley JD, </w:t>
      </w:r>
      <w:proofErr w:type="spellStart"/>
      <w:r w:rsidRPr="001006BD">
        <w:rPr>
          <w:rFonts w:ascii="Arial" w:hAnsi="Arial" w:cs="Arial"/>
          <w:color w:val="000000" w:themeColor="text1"/>
          <w:sz w:val="20"/>
          <w:szCs w:val="20"/>
          <w:lang w:val="en"/>
        </w:rPr>
        <w:t>Gospodarowicz</w:t>
      </w:r>
      <w:proofErr w:type="spellEnd"/>
      <w:r w:rsidRPr="001006BD">
        <w:rPr>
          <w:rFonts w:ascii="Arial" w:hAnsi="Arial" w:cs="Arial"/>
          <w:color w:val="000000" w:themeColor="text1"/>
          <w:sz w:val="20"/>
          <w:szCs w:val="20"/>
          <w:lang w:val="en"/>
        </w:rPr>
        <w:t xml:space="preserve"> MK, Wittekind C, et al., eds</w:t>
      </w:r>
      <w:r w:rsidRPr="001006BD">
        <w:rPr>
          <w:rStyle w:val="Emphasis"/>
          <w:rFonts w:ascii="Arial" w:hAnsi="Arial" w:cs="Arial"/>
          <w:color w:val="000000" w:themeColor="text1"/>
          <w:sz w:val="20"/>
          <w:szCs w:val="20"/>
          <w:lang w:val="en"/>
        </w:rPr>
        <w:t xml:space="preserve">. TNM Classification of Malignant </w:t>
      </w:r>
      <w:proofErr w:type="spellStart"/>
      <w:r w:rsidRPr="001006BD">
        <w:rPr>
          <w:rStyle w:val="Emphasis"/>
          <w:rFonts w:ascii="Arial" w:hAnsi="Arial" w:cs="Arial"/>
          <w:color w:val="000000" w:themeColor="text1"/>
          <w:sz w:val="20"/>
          <w:szCs w:val="20"/>
          <w:lang w:val="en"/>
        </w:rPr>
        <w:t>Tumours</w:t>
      </w:r>
      <w:proofErr w:type="spellEnd"/>
      <w:r w:rsidRPr="001006BD">
        <w:rPr>
          <w:rFonts w:ascii="Arial" w:hAnsi="Arial" w:cs="Arial"/>
          <w:color w:val="000000" w:themeColor="text1"/>
          <w:sz w:val="20"/>
          <w:szCs w:val="20"/>
          <w:lang w:val="en"/>
        </w:rPr>
        <w:t>. 8th ed. Oxford, UK: Wiley; 2016</w:t>
      </w:r>
    </w:p>
    <w:p w14:paraId="1EF17990" w14:textId="77777777" w:rsidR="00F21FF6" w:rsidRPr="001006BD" w:rsidRDefault="00F21FF6" w:rsidP="00F21FF6">
      <w:pPr>
        <w:kinsoku w:val="0"/>
        <w:overflowPunct w:val="0"/>
        <w:spacing w:before="30" w:after="30" w:line="204" w:lineRule="exact"/>
        <w:ind w:left="750" w:right="30"/>
        <w:divId w:val="212617351"/>
        <w:rPr>
          <w:rFonts w:ascii="Arial" w:hAnsi="Arial" w:cs="Arial"/>
          <w:color w:val="000000" w:themeColor="text1"/>
          <w:sz w:val="20"/>
          <w:szCs w:val="20"/>
          <w:lang w:val="en"/>
        </w:rPr>
      </w:pPr>
    </w:p>
    <w:p w14:paraId="39C72542" w14:textId="776D09CA" w:rsidR="001006BD" w:rsidRPr="007A5CD4" w:rsidRDefault="001006BD" w:rsidP="007A5CD4">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G. Mitotic Rate</w:t>
      </w:r>
    </w:p>
    <w:p w14:paraId="27ED3436" w14:textId="77777777"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Mitotic rate is determined by counting mitotic figures in the most mitotically active area, away from areas of necrosis, in either 10 consecutive high-power fields (HPF) (use the X40 objective) (1 HPF x 400 = 0.1734 mm</w:t>
      </w:r>
      <w:r w:rsidRPr="001006BD">
        <w:rPr>
          <w:rFonts w:ascii="Arial" w:hAnsi="Arial" w:cs="Arial"/>
          <w:color w:val="000000" w:themeColor="text1"/>
          <w:sz w:val="20"/>
          <w:szCs w:val="20"/>
          <w:vertAlign w:val="superscript"/>
          <w:lang w:val="en"/>
        </w:rPr>
        <w:t>2</w:t>
      </w:r>
      <w:r w:rsidRPr="001006BD">
        <w:rPr>
          <w:rFonts w:ascii="Arial" w:hAnsi="Arial" w:cs="Arial"/>
          <w:color w:val="000000" w:themeColor="text1"/>
          <w:sz w:val="20"/>
          <w:szCs w:val="20"/>
          <w:lang w:val="en"/>
        </w:rPr>
        <w:t>) or in the appropriate number of HPF to encompass 1 mm</w:t>
      </w:r>
      <w:r w:rsidRPr="001006BD">
        <w:rPr>
          <w:rFonts w:ascii="Arial" w:hAnsi="Arial" w:cs="Arial"/>
          <w:color w:val="000000" w:themeColor="text1"/>
          <w:sz w:val="20"/>
          <w:szCs w:val="20"/>
          <w:vertAlign w:val="superscript"/>
          <w:lang w:val="en"/>
        </w:rPr>
        <w:t>2</w:t>
      </w:r>
      <w:r w:rsidRPr="001006BD">
        <w:rPr>
          <w:rFonts w:ascii="Arial" w:hAnsi="Arial" w:cs="Arial"/>
          <w:color w:val="000000" w:themeColor="text1"/>
          <w:sz w:val="20"/>
          <w:szCs w:val="20"/>
          <w:lang w:val="en"/>
        </w:rPr>
        <w:t> based on each individual microscope.</w:t>
      </w:r>
    </w:p>
    <w:p w14:paraId="51F8D049" w14:textId="77777777"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The area of 1 HPF originally used measured 0.1734 mm</w:t>
      </w:r>
      <w:r w:rsidRPr="001006BD">
        <w:rPr>
          <w:rFonts w:ascii="Arial" w:hAnsi="Arial" w:cs="Arial"/>
          <w:color w:val="000000" w:themeColor="text1"/>
          <w:sz w:val="20"/>
          <w:szCs w:val="20"/>
          <w:vertAlign w:val="superscript"/>
          <w:lang w:val="en"/>
        </w:rPr>
        <w:t>2</w:t>
      </w:r>
      <w:r w:rsidRPr="001006BD">
        <w:rPr>
          <w:rFonts w:ascii="Arial" w:hAnsi="Arial" w:cs="Arial"/>
          <w:color w:val="000000" w:themeColor="text1"/>
          <w:sz w:val="20"/>
          <w:szCs w:val="20"/>
          <w:lang w:val="en"/>
        </w:rPr>
        <w:t>. However, the area of 1 HPF using most modern microscopes with wider 40x lenses will most likely be higher. Pathologists are encouraged to determine the field area of their 40x lenses and divide 0.1734 by the obtained field area to obtain a conversion factor.  The number of mitotic figures in 10 HPF multiplied by the obtained conversion factor and rounded to the nearest whole number should be used for reporting purposes.</w:t>
      </w:r>
    </w:p>
    <w:p w14:paraId="515B6419" w14:textId="77777777" w:rsidR="001006BD" w:rsidRPr="001006BD" w:rsidRDefault="001006BD" w:rsidP="007A5CD4">
      <w:pPr>
        <w:jc w:val="both"/>
        <w:rPr>
          <w:rFonts w:ascii="Arial" w:hAnsi="Arial" w:cs="Arial"/>
          <w:color w:val="000000" w:themeColor="text1"/>
          <w:sz w:val="20"/>
          <w:szCs w:val="20"/>
          <w:lang w:val="en"/>
        </w:rPr>
      </w:pPr>
      <w:r w:rsidRPr="001006BD">
        <w:rPr>
          <w:rFonts w:ascii="Arial" w:hAnsi="Arial" w:cs="Arial"/>
          <w:color w:val="000000" w:themeColor="text1"/>
          <w:sz w:val="20"/>
          <w:szCs w:val="20"/>
          <w:lang w:val="en"/>
        </w:rPr>
        <w:t>An important change in the 5</w:t>
      </w:r>
      <w:r w:rsidRPr="001006BD">
        <w:rPr>
          <w:rFonts w:ascii="Arial" w:hAnsi="Arial" w:cs="Arial"/>
          <w:color w:val="000000" w:themeColor="text1"/>
          <w:sz w:val="20"/>
          <w:szCs w:val="20"/>
          <w:vertAlign w:val="superscript"/>
          <w:lang w:val="en"/>
        </w:rPr>
        <w:t>th</w:t>
      </w:r>
      <w:r w:rsidRPr="001006BD">
        <w:rPr>
          <w:rFonts w:ascii="Arial" w:hAnsi="Arial" w:cs="Arial"/>
          <w:color w:val="000000" w:themeColor="text1"/>
          <w:sz w:val="20"/>
          <w:szCs w:val="20"/>
          <w:lang w:val="en"/>
        </w:rPr>
        <w:t xml:space="preserve"> Edition of the WHO Classification of </w:t>
      </w:r>
      <w:proofErr w:type="spellStart"/>
      <w:r w:rsidRPr="001006BD">
        <w:rPr>
          <w:rFonts w:ascii="Arial" w:hAnsi="Arial" w:cs="Arial"/>
          <w:color w:val="000000" w:themeColor="text1"/>
          <w:sz w:val="20"/>
          <w:szCs w:val="20"/>
          <w:lang w:val="en"/>
        </w:rPr>
        <w:t>Tumours</w:t>
      </w:r>
      <w:proofErr w:type="spellEnd"/>
      <w:r w:rsidRPr="001006BD">
        <w:rPr>
          <w:rFonts w:ascii="Arial" w:hAnsi="Arial" w:cs="Arial"/>
          <w:color w:val="000000" w:themeColor="text1"/>
          <w:sz w:val="20"/>
          <w:szCs w:val="20"/>
          <w:lang w:val="en"/>
        </w:rPr>
        <w:t xml:space="preserve"> series</w:t>
      </w:r>
      <w:hyperlink w:anchor="5999" w:tooltip="WHO Classification of Tumours Editorial Board. Soft Tissue and Bone Tumors. Lyon (France): International Agency for Research on Cancer; 2020. (WHO classification of tumours series, 5th ed.; vol. 3)" w:history="1">
        <w:r w:rsidRPr="001006BD">
          <w:rPr>
            <w:rStyle w:val="Hyperlink"/>
            <w:rFonts w:ascii="Arial" w:hAnsi="Arial" w:cs="Arial"/>
            <w:color w:val="000000" w:themeColor="text1"/>
            <w:sz w:val="20"/>
            <w:szCs w:val="20"/>
            <w:vertAlign w:val="superscript"/>
            <w:lang w:val="en"/>
          </w:rPr>
          <w:t>1</w:t>
        </w:r>
      </w:hyperlink>
      <w:r w:rsidRPr="001006BD">
        <w:rPr>
          <w:rFonts w:ascii="Arial" w:hAnsi="Arial" w:cs="Arial"/>
          <w:color w:val="000000" w:themeColor="text1"/>
          <w:sz w:val="20"/>
          <w:szCs w:val="20"/>
          <w:lang w:val="en"/>
        </w:rPr>
        <w:t> is the conversion of mitotic count from the traditional denominator of 10 HPFs to a defined area expressed in mm</w:t>
      </w:r>
      <w:r w:rsidRPr="001006BD">
        <w:rPr>
          <w:rFonts w:ascii="Arial" w:hAnsi="Arial" w:cs="Arial"/>
          <w:color w:val="000000" w:themeColor="text1"/>
          <w:sz w:val="20"/>
          <w:szCs w:val="20"/>
          <w:vertAlign w:val="superscript"/>
          <w:lang w:val="en"/>
        </w:rPr>
        <w:t>2</w:t>
      </w:r>
      <w:r w:rsidRPr="001006BD">
        <w:rPr>
          <w:rFonts w:ascii="Arial" w:hAnsi="Arial" w:cs="Arial"/>
          <w:color w:val="000000" w:themeColor="text1"/>
          <w:sz w:val="20"/>
          <w:szCs w:val="20"/>
          <w:lang w:val="en"/>
        </w:rPr>
        <w:t>, as an attempt to standardize the area used for mitotic count. Table 1 shows the approximate number of fields required to encompass 1 mm</w:t>
      </w:r>
      <w:r w:rsidRPr="001006BD">
        <w:rPr>
          <w:rFonts w:ascii="Arial" w:hAnsi="Arial" w:cs="Arial"/>
          <w:color w:val="000000" w:themeColor="text1"/>
          <w:sz w:val="20"/>
          <w:szCs w:val="20"/>
          <w:vertAlign w:val="superscript"/>
          <w:lang w:val="en"/>
        </w:rPr>
        <w:t>2</w:t>
      </w:r>
      <w:r w:rsidRPr="001006BD">
        <w:rPr>
          <w:rFonts w:ascii="Arial" w:hAnsi="Arial" w:cs="Arial"/>
          <w:color w:val="000000" w:themeColor="text1"/>
          <w:sz w:val="20"/>
          <w:szCs w:val="20"/>
          <w:lang w:val="en"/>
        </w:rPr>
        <w:t> based on the field diameter and its corresponding area. </w:t>
      </w:r>
    </w:p>
    <w:p w14:paraId="3DBC21AB" w14:textId="77777777" w:rsidR="001006BD" w:rsidRDefault="001006BD" w:rsidP="001006BD">
      <w:pPr>
        <w:spacing w:after="0"/>
        <w:ind w:left="1080" w:hanging="1080"/>
        <w:rPr>
          <w:rStyle w:val="Strong"/>
          <w:rFonts w:ascii="Arial" w:hAnsi="Arial" w:cs="Arial"/>
          <w:color w:val="000000" w:themeColor="text1"/>
          <w:sz w:val="20"/>
          <w:szCs w:val="20"/>
          <w:lang w:val="en"/>
        </w:rPr>
      </w:pPr>
      <w:r w:rsidRPr="001006BD">
        <w:rPr>
          <w:rStyle w:val="Strong"/>
          <w:rFonts w:ascii="Arial" w:hAnsi="Arial" w:cs="Arial"/>
          <w:color w:val="000000" w:themeColor="text1"/>
          <w:sz w:val="20"/>
          <w:szCs w:val="20"/>
          <w:lang w:val="en"/>
        </w:rPr>
        <w:t>Table 1. Approximate number of fields per 1 mm</w:t>
      </w:r>
      <w:r w:rsidRPr="001006BD">
        <w:rPr>
          <w:rStyle w:val="Strong"/>
          <w:rFonts w:ascii="Arial" w:hAnsi="Arial" w:cs="Arial"/>
          <w:color w:val="000000" w:themeColor="text1"/>
          <w:sz w:val="20"/>
          <w:szCs w:val="20"/>
          <w:vertAlign w:val="superscript"/>
          <w:lang w:val="en"/>
        </w:rPr>
        <w:t>2</w:t>
      </w:r>
      <w:r w:rsidRPr="001006BD">
        <w:rPr>
          <w:rStyle w:val="Strong"/>
          <w:rFonts w:ascii="Arial" w:hAnsi="Arial" w:cs="Arial"/>
          <w:color w:val="000000" w:themeColor="text1"/>
          <w:sz w:val="20"/>
          <w:szCs w:val="20"/>
          <w:lang w:val="en"/>
        </w:rPr>
        <w:t> based on field diameter and its corresponding</w:t>
      </w:r>
    </w:p>
    <w:p w14:paraId="3A1BFC48" w14:textId="54E058D1" w:rsidR="001006BD" w:rsidRPr="001006BD" w:rsidRDefault="001006BD" w:rsidP="001006BD">
      <w:pPr>
        <w:spacing w:after="0"/>
        <w:ind w:left="1080" w:hanging="1080"/>
        <w:rPr>
          <w:rFonts w:ascii="Arial" w:hAnsi="Arial" w:cs="Arial"/>
          <w:b/>
          <w:bCs/>
          <w:color w:val="000000" w:themeColor="text1"/>
          <w:sz w:val="20"/>
          <w:szCs w:val="20"/>
          <w:lang w:val="en"/>
        </w:rPr>
      </w:pPr>
      <w:r w:rsidRPr="001006BD">
        <w:rPr>
          <w:rStyle w:val="Strong"/>
          <w:rFonts w:ascii="Arial" w:hAnsi="Arial" w:cs="Arial"/>
          <w:color w:val="000000" w:themeColor="text1"/>
          <w:sz w:val="20"/>
          <w:szCs w:val="20"/>
          <w:lang w:val="en"/>
        </w:rPr>
        <w:t>area</w:t>
      </w:r>
    </w:p>
    <w:tbl>
      <w:tblPr>
        <w:tblW w:w="5000" w:type="pct"/>
        <w:tblCellMar>
          <w:left w:w="0" w:type="dxa"/>
          <w:right w:w="0" w:type="dxa"/>
        </w:tblCellMar>
        <w:tblLook w:val="04A0" w:firstRow="1" w:lastRow="0" w:firstColumn="1" w:lastColumn="0" w:noHBand="0" w:noVBand="1"/>
      </w:tblPr>
      <w:tblGrid>
        <w:gridCol w:w="2621"/>
        <w:gridCol w:w="1935"/>
        <w:gridCol w:w="4784"/>
      </w:tblGrid>
      <w:tr w:rsidR="001006BD" w:rsidRPr="009B7F43" w14:paraId="4FC02603" w14:textId="77777777" w:rsidTr="009B7F43">
        <w:trPr>
          <w:trHeight w:val="20"/>
        </w:trPr>
        <w:tc>
          <w:tcPr>
            <w:tcW w:w="1403"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5EAA30E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Style w:val="Strong"/>
                <w:rFonts w:ascii="Arial" w:hAnsi="Arial" w:cs="Arial"/>
                <w:color w:val="000000" w:themeColor="text1"/>
                <w:sz w:val="18"/>
                <w:szCs w:val="18"/>
              </w:rPr>
              <w:t>Field diameter (mm)</w:t>
            </w:r>
            <w:r w:rsidRPr="009B7F43">
              <w:rPr>
                <w:rStyle w:val="Strong"/>
                <w:rFonts w:ascii="Arial" w:hAnsi="Arial" w:cs="Arial"/>
                <w:color w:val="000000" w:themeColor="text1"/>
                <w:sz w:val="18"/>
                <w:szCs w:val="18"/>
                <w:vertAlign w:val="superscript"/>
              </w:rPr>
              <w:t> </w:t>
            </w:r>
          </w:p>
        </w:tc>
        <w:tc>
          <w:tcPr>
            <w:tcW w:w="1036"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422299C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Style w:val="Strong"/>
                <w:rFonts w:ascii="Arial" w:hAnsi="Arial" w:cs="Arial"/>
                <w:color w:val="000000" w:themeColor="text1"/>
                <w:sz w:val="18"/>
                <w:szCs w:val="18"/>
              </w:rPr>
              <w:t>Area (mm</w:t>
            </w:r>
            <w:r w:rsidRPr="009B7F43">
              <w:rPr>
                <w:rStyle w:val="Strong"/>
                <w:rFonts w:ascii="Arial" w:hAnsi="Arial" w:cs="Arial"/>
                <w:color w:val="000000" w:themeColor="text1"/>
                <w:sz w:val="18"/>
                <w:szCs w:val="18"/>
                <w:vertAlign w:val="superscript"/>
              </w:rPr>
              <w:t>2</w:t>
            </w:r>
            <w:r w:rsidRPr="009B7F43">
              <w:rPr>
                <w:rStyle w:val="Strong"/>
                <w:rFonts w:ascii="Arial" w:hAnsi="Arial" w:cs="Arial"/>
                <w:color w:val="000000" w:themeColor="text1"/>
                <w:sz w:val="18"/>
                <w:szCs w:val="18"/>
              </w:rPr>
              <w:t>)</w:t>
            </w:r>
          </w:p>
        </w:tc>
        <w:tc>
          <w:tcPr>
            <w:tcW w:w="2561"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447175C7"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Style w:val="Strong"/>
                <w:rFonts w:ascii="Arial" w:hAnsi="Arial" w:cs="Arial"/>
                <w:color w:val="000000" w:themeColor="text1"/>
                <w:sz w:val="18"/>
                <w:szCs w:val="18"/>
              </w:rPr>
              <w:t>Approximate number of fields per 1 mm</w:t>
            </w:r>
            <w:r w:rsidRPr="009B7F43">
              <w:rPr>
                <w:rStyle w:val="Strong"/>
                <w:rFonts w:ascii="Arial" w:hAnsi="Arial" w:cs="Arial"/>
                <w:color w:val="000000" w:themeColor="text1"/>
                <w:sz w:val="18"/>
                <w:szCs w:val="18"/>
                <w:vertAlign w:val="superscript"/>
              </w:rPr>
              <w:t>2</w:t>
            </w:r>
          </w:p>
        </w:tc>
      </w:tr>
      <w:tr w:rsidR="001006BD" w:rsidRPr="009B7F43" w14:paraId="7DF1E966"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97F2F50"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F46CAF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0.126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9E4EA0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8</w:t>
            </w:r>
          </w:p>
        </w:tc>
      </w:tr>
      <w:tr w:rsidR="001006BD" w:rsidRPr="009B7F43" w14:paraId="6E9AFA0D"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493E15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839C1F7"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0.132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AD3135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8</w:t>
            </w:r>
          </w:p>
        </w:tc>
      </w:tr>
      <w:tr w:rsidR="001006BD" w:rsidRPr="009B7F43" w14:paraId="49F42ADF"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77BD0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E9CB77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0.138</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D38752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7</w:t>
            </w:r>
          </w:p>
        </w:tc>
      </w:tr>
      <w:tr w:rsidR="001006BD" w:rsidRPr="009B7F43" w14:paraId="1105B9F9"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71D7997"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0CE61C3"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0.145</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889296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7</w:t>
            </w:r>
          </w:p>
        </w:tc>
      </w:tr>
      <w:tr w:rsidR="001006BD" w:rsidRPr="009B7F43" w14:paraId="27650B07"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3BC3FD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7EADE8A"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0.152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867F66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7</w:t>
            </w:r>
          </w:p>
        </w:tc>
      </w:tr>
      <w:tr w:rsidR="001006BD" w:rsidRPr="009B7F43" w14:paraId="3D42BD80"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A64C47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6D2CB0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0.159</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FC46AD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6</w:t>
            </w:r>
          </w:p>
        </w:tc>
      </w:tr>
      <w:tr w:rsidR="001006BD" w:rsidRPr="009B7F43" w14:paraId="621EB333"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46CAEB7"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8778CC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0.166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D618B0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6</w:t>
            </w:r>
          </w:p>
        </w:tc>
      </w:tr>
      <w:tr w:rsidR="001006BD" w:rsidRPr="009B7F43" w14:paraId="58EFEE3C"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ECDA5C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25EE0D3"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0.173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CE3C456"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6</w:t>
            </w:r>
          </w:p>
        </w:tc>
      </w:tr>
      <w:tr w:rsidR="001006BD" w:rsidRPr="009B7F43" w14:paraId="6F779BD1"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793493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86C9F8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0.181</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A30714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6</w:t>
            </w:r>
          </w:p>
        </w:tc>
      </w:tr>
      <w:tr w:rsidR="001006BD" w:rsidRPr="009B7F43" w14:paraId="0DDDFE51"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A1A300"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0.49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5F71D6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0.188</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430C40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5</w:t>
            </w:r>
          </w:p>
        </w:tc>
      </w:tr>
      <w:tr w:rsidR="001006BD" w:rsidRPr="009B7F43" w14:paraId="5B3FC778"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87229F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EBFC516"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0.196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DF8C23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5</w:t>
            </w:r>
          </w:p>
        </w:tc>
      </w:tr>
      <w:tr w:rsidR="001006BD" w:rsidRPr="009B7F43" w14:paraId="10003559"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8D41A5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C043E7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0.204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9DD75E3"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5</w:t>
            </w:r>
          </w:p>
        </w:tc>
      </w:tr>
      <w:tr w:rsidR="001006BD" w:rsidRPr="009B7F43" w14:paraId="37E6409D"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30B4D6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3A6545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0.212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EFE96A6"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5</w:t>
            </w:r>
          </w:p>
        </w:tc>
      </w:tr>
      <w:tr w:rsidR="001006BD" w:rsidRPr="009B7F43" w14:paraId="5FFE18AD"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749868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AB9B09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0.221</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0B7A33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5</w:t>
            </w:r>
          </w:p>
        </w:tc>
      </w:tr>
      <w:tr w:rsidR="001006BD" w:rsidRPr="009B7F43" w14:paraId="1CB29238"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205838F"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894CF3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0.229</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FDDD7F5"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3D76C9D8"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9A03B60"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3127AD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0.237</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700317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1564186A"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2A49F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E649B84"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0.246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4AEEA6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272BBDE5"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C09528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CB0E654"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0.255</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9810F10"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62808B63"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420AEF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4E4289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0.264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FF62F47"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0AC38D01"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8703193"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0.59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32AC1BA"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0.273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A56B0A6"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54C4059D"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05086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B2105C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0.283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CE693E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4</w:t>
            </w:r>
          </w:p>
        </w:tc>
      </w:tr>
      <w:tr w:rsidR="001006BD" w:rsidRPr="009B7F43" w14:paraId="6B2B0D99"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F1840E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07FF60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0.292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80F39D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344EB711"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DB5A9A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D3979D9"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0.302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1047D7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6C3E688D"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D1E9C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20278FE"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0.312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3E8923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1F906942"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3DCCE1"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2AE99DB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0.322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F5373DA"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6A6231F2"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222D48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D3F364D"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0.332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D12EED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4C6AD086"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422FF2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lastRenderedPageBreak/>
              <w:t>0.66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DA29C9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0.342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25EDDA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1166B953"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8CE71A2"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2EA1C3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0.352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A49EF1B"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5CE36A8A"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CE068D0"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821CE3A"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0.363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3F158AC"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r w:rsidR="001006BD" w:rsidRPr="009B7F43" w14:paraId="326B0901" w14:textId="77777777" w:rsidTr="009B7F43">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B7B28D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0.69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EDAB1D8"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0.374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6E5A156" w14:textId="77777777" w:rsidR="001006BD" w:rsidRPr="009B7F43" w:rsidRDefault="001006BD" w:rsidP="007A5CD4">
            <w:pPr>
              <w:spacing w:after="0" w:line="240" w:lineRule="auto"/>
              <w:contextualSpacing/>
              <w:jc w:val="center"/>
              <w:rPr>
                <w:rFonts w:ascii="Arial" w:hAnsi="Arial" w:cs="Arial"/>
                <w:color w:val="000000" w:themeColor="text1"/>
                <w:sz w:val="18"/>
                <w:szCs w:val="18"/>
              </w:rPr>
            </w:pPr>
            <w:r w:rsidRPr="009B7F43">
              <w:rPr>
                <w:rFonts w:ascii="Arial" w:hAnsi="Arial" w:cs="Arial"/>
                <w:color w:val="000000" w:themeColor="text1"/>
                <w:sz w:val="18"/>
                <w:szCs w:val="18"/>
              </w:rPr>
              <w:t>3</w:t>
            </w:r>
          </w:p>
        </w:tc>
      </w:tr>
    </w:tbl>
    <w:p w14:paraId="2E68B9FB" w14:textId="51B8D7A9" w:rsidR="001006BD" w:rsidRPr="001006BD" w:rsidRDefault="001006BD" w:rsidP="001006BD">
      <w:pPr>
        <w:ind w:left="1080" w:hanging="1080"/>
        <w:rPr>
          <w:rFonts w:ascii="Arial" w:hAnsi="Arial" w:cs="Arial"/>
          <w:color w:val="000000" w:themeColor="text1"/>
          <w:sz w:val="20"/>
          <w:szCs w:val="20"/>
          <w:lang w:val="en"/>
        </w:rPr>
      </w:pPr>
      <w:r w:rsidRPr="001006BD">
        <w:rPr>
          <w:rFonts w:ascii="Arial" w:hAnsi="Arial" w:cs="Arial"/>
          <w:color w:val="000000" w:themeColor="text1"/>
          <w:sz w:val="20"/>
          <w:szCs w:val="20"/>
          <w:lang w:val="en"/>
        </w:rPr>
        <w:t> </w:t>
      </w:r>
    </w:p>
    <w:p w14:paraId="02B39134" w14:textId="77777777" w:rsidR="001006BD" w:rsidRPr="001006BD" w:rsidRDefault="001006BD">
      <w:pPr>
        <w:spacing w:after="0"/>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lang w:val="en"/>
        </w:rPr>
        <w:t>References</w:t>
      </w:r>
    </w:p>
    <w:p w14:paraId="3DD62227" w14:textId="48BF08DF" w:rsidR="001006BD" w:rsidRPr="007A5CD4" w:rsidRDefault="001006BD" w:rsidP="007A5CD4">
      <w:pPr>
        <w:numPr>
          <w:ilvl w:val="0"/>
          <w:numId w:val="12"/>
        </w:numPr>
        <w:spacing w:after="0" w:line="240" w:lineRule="auto"/>
        <w:divId w:val="212617351"/>
        <w:rPr>
          <w:rFonts w:ascii="Arial" w:eastAsia="Times New Roman" w:hAnsi="Arial" w:cs="Arial"/>
          <w:color w:val="000000" w:themeColor="text1"/>
          <w:sz w:val="20"/>
          <w:szCs w:val="20"/>
          <w:lang w:val="en"/>
        </w:rPr>
      </w:pPr>
      <w:r w:rsidRPr="001006BD">
        <w:rPr>
          <w:rFonts w:ascii="Arial" w:eastAsia="Times New Roman" w:hAnsi="Arial" w:cs="Arial"/>
          <w:color w:val="000000" w:themeColor="text1"/>
          <w:sz w:val="20"/>
          <w:szCs w:val="20"/>
          <w:shd w:val="clear" w:color="auto" w:fill="FFFFFF"/>
          <w:lang w:val="en"/>
        </w:rPr>
        <w:t xml:space="preserve">WHO Classification of </w:t>
      </w:r>
      <w:proofErr w:type="spellStart"/>
      <w:r w:rsidRPr="001006BD">
        <w:rPr>
          <w:rFonts w:ascii="Arial" w:eastAsia="Times New Roman" w:hAnsi="Arial" w:cs="Arial"/>
          <w:color w:val="000000" w:themeColor="text1"/>
          <w:sz w:val="20"/>
          <w:szCs w:val="20"/>
          <w:shd w:val="clear" w:color="auto" w:fill="FFFFFF"/>
          <w:lang w:val="en"/>
        </w:rPr>
        <w:t>Tumours</w:t>
      </w:r>
      <w:proofErr w:type="spellEnd"/>
      <w:r w:rsidRPr="001006BD">
        <w:rPr>
          <w:rFonts w:ascii="Arial" w:eastAsia="Times New Roman" w:hAnsi="Arial" w:cs="Arial"/>
          <w:color w:val="000000" w:themeColor="text1"/>
          <w:sz w:val="20"/>
          <w:szCs w:val="20"/>
          <w:shd w:val="clear" w:color="auto" w:fill="FFFFFF"/>
          <w:lang w:val="en"/>
        </w:rPr>
        <w:t xml:space="preserve"> Editorial Board. Soft Tissue and Bone Tumors. Lyon (France): International Agency for Research on Cancer; 2020. (WHO classification of </w:t>
      </w:r>
      <w:proofErr w:type="spellStart"/>
      <w:r w:rsidRPr="001006BD">
        <w:rPr>
          <w:rFonts w:ascii="Arial" w:eastAsia="Times New Roman" w:hAnsi="Arial" w:cs="Arial"/>
          <w:color w:val="000000" w:themeColor="text1"/>
          <w:sz w:val="20"/>
          <w:szCs w:val="20"/>
          <w:shd w:val="clear" w:color="auto" w:fill="FFFFFF"/>
          <w:lang w:val="en"/>
        </w:rPr>
        <w:t>tumours</w:t>
      </w:r>
      <w:proofErr w:type="spellEnd"/>
      <w:r w:rsidRPr="001006BD">
        <w:rPr>
          <w:rFonts w:ascii="Arial" w:eastAsia="Times New Roman" w:hAnsi="Arial" w:cs="Arial"/>
          <w:color w:val="000000" w:themeColor="text1"/>
          <w:sz w:val="20"/>
          <w:szCs w:val="20"/>
          <w:shd w:val="clear" w:color="auto" w:fill="FFFFFF"/>
          <w:lang w:val="en"/>
        </w:rPr>
        <w:t xml:space="preserve"> series, 5th ed.; vol. 3)</w:t>
      </w:r>
    </w:p>
    <w:p w14:paraId="63C4353E" w14:textId="77777777" w:rsidR="007A5CD4" w:rsidRPr="001006BD" w:rsidRDefault="007A5CD4" w:rsidP="007A5CD4">
      <w:pPr>
        <w:spacing w:after="0" w:line="240" w:lineRule="auto"/>
        <w:ind w:left="720"/>
        <w:divId w:val="212617351"/>
        <w:rPr>
          <w:rFonts w:ascii="Arial" w:eastAsia="Times New Roman" w:hAnsi="Arial" w:cs="Arial"/>
          <w:color w:val="000000" w:themeColor="text1"/>
          <w:sz w:val="20"/>
          <w:szCs w:val="20"/>
          <w:lang w:val="en"/>
        </w:rPr>
      </w:pPr>
    </w:p>
    <w:p w14:paraId="5AE8F6BA" w14:textId="77777777" w:rsidR="001006BD" w:rsidRPr="001006BD" w:rsidRDefault="001006BD">
      <w:pPr>
        <w:spacing w:after="0"/>
        <w:rPr>
          <w:rFonts w:ascii="Arial" w:eastAsia="Times New Roman" w:hAnsi="Arial" w:cs="Arial"/>
          <w:b/>
          <w:bCs/>
          <w:color w:val="000000" w:themeColor="text1"/>
          <w:sz w:val="20"/>
          <w:szCs w:val="20"/>
          <w:lang w:val="en"/>
        </w:rPr>
      </w:pPr>
      <w:r w:rsidRPr="001006BD">
        <w:rPr>
          <w:rFonts w:ascii="Arial" w:eastAsia="Times New Roman" w:hAnsi="Arial" w:cs="Arial"/>
          <w:b/>
          <w:bCs/>
          <w:color w:val="000000" w:themeColor="text1"/>
          <w:sz w:val="20"/>
          <w:szCs w:val="20"/>
          <w:lang w:val="en"/>
        </w:rPr>
        <w:t xml:space="preserve">H. </w:t>
      </w:r>
      <w:proofErr w:type="spellStart"/>
      <w:r w:rsidRPr="001006BD">
        <w:rPr>
          <w:rFonts w:ascii="Arial" w:eastAsia="Times New Roman" w:hAnsi="Arial" w:cs="Arial"/>
          <w:b/>
          <w:bCs/>
          <w:color w:val="000000" w:themeColor="text1"/>
          <w:sz w:val="20"/>
          <w:szCs w:val="20"/>
          <w:lang w:val="en"/>
        </w:rPr>
        <w:t>Lymphovascular</w:t>
      </w:r>
      <w:proofErr w:type="spellEnd"/>
      <w:r w:rsidRPr="001006BD">
        <w:rPr>
          <w:rFonts w:ascii="Arial" w:eastAsia="Times New Roman" w:hAnsi="Arial" w:cs="Arial"/>
          <w:b/>
          <w:bCs/>
          <w:color w:val="000000" w:themeColor="text1"/>
          <w:sz w:val="20"/>
          <w:szCs w:val="20"/>
          <w:lang w:val="en"/>
        </w:rPr>
        <w:t xml:space="preserve"> Invasion</w:t>
      </w:r>
    </w:p>
    <w:p w14:paraId="364E3621" w14:textId="77777777" w:rsidR="001006BD" w:rsidRPr="001006BD" w:rsidRDefault="001006BD" w:rsidP="007A5CD4">
      <w:pPr>
        <w:keepNext/>
        <w:tabs>
          <w:tab w:val="left" w:pos="360"/>
        </w:tabs>
        <w:jc w:val="both"/>
        <w:outlineLvl w:val="1"/>
        <w:rPr>
          <w:rFonts w:ascii="Arial" w:hAnsi="Arial" w:cs="Arial"/>
          <w:color w:val="000000" w:themeColor="text1"/>
          <w:sz w:val="20"/>
          <w:szCs w:val="20"/>
          <w:lang w:val="en"/>
        </w:rPr>
      </w:pPr>
      <w:proofErr w:type="spellStart"/>
      <w:r w:rsidRPr="001006BD">
        <w:rPr>
          <w:rFonts w:ascii="Arial" w:hAnsi="Arial" w:cs="Arial"/>
          <w:color w:val="000000" w:themeColor="text1"/>
          <w:sz w:val="20"/>
          <w:szCs w:val="20"/>
          <w:lang w:val="en"/>
        </w:rPr>
        <w:t>Lymphovascular</w:t>
      </w:r>
      <w:proofErr w:type="spellEnd"/>
      <w:r w:rsidRPr="001006BD">
        <w:rPr>
          <w:rFonts w:ascii="Arial" w:hAnsi="Arial" w:cs="Arial"/>
          <w:color w:val="000000" w:themeColor="text1"/>
          <w:sz w:val="20"/>
          <w:szCs w:val="20"/>
          <w:lang w:val="en"/>
        </w:rPr>
        <w:t xml:space="preserve"> invasion (LVI) indicates whether microscopic </w:t>
      </w:r>
      <w:proofErr w:type="spellStart"/>
      <w:r w:rsidRPr="001006BD">
        <w:rPr>
          <w:rFonts w:ascii="Arial" w:hAnsi="Arial" w:cs="Arial"/>
          <w:color w:val="000000" w:themeColor="text1"/>
          <w:sz w:val="20"/>
          <w:szCs w:val="20"/>
          <w:lang w:val="en"/>
        </w:rPr>
        <w:t>lymphovascular</w:t>
      </w:r>
      <w:proofErr w:type="spellEnd"/>
      <w:r w:rsidRPr="001006BD">
        <w:rPr>
          <w:rFonts w:ascii="Arial" w:hAnsi="Arial" w:cs="Arial"/>
          <w:color w:val="000000" w:themeColor="text1"/>
          <w:sz w:val="20"/>
          <w:szCs w:val="20"/>
          <w:lang w:val="en"/>
        </w:rPr>
        <w:t xml:space="preserve"> invasion is identified. LVI includes lymphatic invasion, vascular invasion, or </w:t>
      </w:r>
      <w:proofErr w:type="spellStart"/>
      <w:r w:rsidRPr="001006BD">
        <w:rPr>
          <w:rFonts w:ascii="Arial" w:hAnsi="Arial" w:cs="Arial"/>
          <w:color w:val="000000" w:themeColor="text1"/>
          <w:sz w:val="20"/>
          <w:szCs w:val="20"/>
          <w:lang w:val="en"/>
        </w:rPr>
        <w:t>lymphovascular</w:t>
      </w:r>
      <w:proofErr w:type="spellEnd"/>
      <w:r w:rsidRPr="001006BD">
        <w:rPr>
          <w:rFonts w:ascii="Arial" w:hAnsi="Arial" w:cs="Arial"/>
          <w:color w:val="000000" w:themeColor="text1"/>
          <w:sz w:val="20"/>
          <w:szCs w:val="20"/>
          <w:lang w:val="en"/>
        </w:rPr>
        <w:t xml:space="preserve"> invasion. By AJCC/UICC convention, LVI does not affect the T category indicating local extent of tumor unless specifically included in the definition of a T category.</w:t>
      </w:r>
    </w:p>
    <w:p w14:paraId="717F73CA" w14:textId="77777777" w:rsidR="001006BD" w:rsidRPr="001006BD" w:rsidRDefault="001006BD">
      <w:pPr>
        <w:keepNext/>
        <w:tabs>
          <w:tab w:val="left" w:pos="360"/>
        </w:tabs>
        <w:outlineLvl w:val="1"/>
        <w:rPr>
          <w:rFonts w:ascii="Arial" w:hAnsi="Arial" w:cs="Arial"/>
          <w:color w:val="000000" w:themeColor="text1"/>
          <w:sz w:val="20"/>
          <w:szCs w:val="20"/>
          <w:lang w:val="en"/>
        </w:rPr>
      </w:pPr>
      <w:r w:rsidRPr="001006BD">
        <w:rPr>
          <w:rFonts w:ascii="Arial" w:hAnsi="Arial" w:cs="Arial"/>
          <w:color w:val="000000" w:themeColor="text1"/>
          <w:sz w:val="20"/>
          <w:szCs w:val="20"/>
          <w:lang w:val="en"/>
        </w:rPr>
        <w:t> </w:t>
      </w:r>
    </w:p>
    <w:sectPr w:rsidR="001006BD" w:rsidRPr="001006B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00BB" w14:textId="77777777" w:rsidR="00F8311D" w:rsidRDefault="00F8311D">
      <w:pPr>
        <w:spacing w:after="0" w:line="240" w:lineRule="auto"/>
      </w:pPr>
      <w:r>
        <w:separator/>
      </w:r>
    </w:p>
  </w:endnote>
  <w:endnote w:type="continuationSeparator" w:id="0">
    <w:p w14:paraId="54D90B77" w14:textId="77777777" w:rsidR="00F8311D" w:rsidRDefault="00F8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0F321" w14:textId="77777777" w:rsidR="001006BD" w:rsidRDefault="001006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6230" w14:textId="4DB8A3AE" w:rsidR="001006BD" w:rsidRDefault="001006BD">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BAC8" w14:textId="77777777" w:rsidR="001006BD" w:rsidRDefault="001006B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14163" w14:textId="77777777" w:rsidR="00F8311D" w:rsidRDefault="00F8311D">
      <w:pPr>
        <w:spacing w:after="0" w:line="240" w:lineRule="auto"/>
      </w:pPr>
      <w:r>
        <w:separator/>
      </w:r>
    </w:p>
  </w:footnote>
  <w:footnote w:type="continuationSeparator" w:id="0">
    <w:p w14:paraId="62EB54D7" w14:textId="77777777" w:rsidR="00F8311D" w:rsidRDefault="00F83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4E70" w14:textId="77777777" w:rsidR="001006BD" w:rsidRDefault="00100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E9BA" w14:textId="77777777" w:rsidR="001006BD" w:rsidRDefault="001006B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1006BD" w14:paraId="040D3AFB" w14:textId="77777777" w:rsidTr="001006BD">
      <w:tc>
        <w:tcPr>
          <w:tcW w:w="1500" w:type="dxa"/>
        </w:tcPr>
        <w:p w14:paraId="5FFC483B" w14:textId="77777777" w:rsidR="001006BD" w:rsidRDefault="001006BD">
          <w:r>
            <w:t>CAP Approved</w:t>
          </w:r>
        </w:p>
      </w:tc>
      <w:tc>
        <w:tcPr>
          <w:tcW w:w="8076" w:type="dxa"/>
        </w:tcPr>
        <w:p w14:paraId="6C6BF119" w14:textId="2516B538" w:rsidR="001006BD" w:rsidRDefault="001006BD">
          <w:pPr>
            <w:jc w:val="right"/>
          </w:pPr>
          <w:r>
            <w:t>Bone.Bx_4.1.0.0.</w:t>
          </w:r>
          <w:r w:rsidR="0099182D">
            <w:t>REL</w:t>
          </w:r>
          <w:r>
            <w:t>_CAPCP</w:t>
          </w:r>
        </w:p>
      </w:tc>
    </w:tr>
  </w:tbl>
  <w:p w14:paraId="0A9C5C12" w14:textId="77777777" w:rsidR="001006BD" w:rsidRDefault="001006B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D132" w14:textId="77777777" w:rsidR="001006BD" w:rsidRDefault="001006BD">
    <w:r>
      <w:rPr>
        <w:noProof/>
      </w:rPr>
      <w:drawing>
        <wp:inline distT="0" distB="0" distL="0" distR="0" wp14:anchorId="1F61435A" wp14:editId="7161A2AB">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A52"/>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41B29"/>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E1205"/>
    <w:multiLevelType w:val="multilevel"/>
    <w:tmpl w:val="07A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125FD"/>
    <w:multiLevelType w:val="multilevel"/>
    <w:tmpl w:val="337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D5AAB"/>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75743"/>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23E65"/>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93AA8"/>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B23F74"/>
    <w:multiLevelType w:val="multilevel"/>
    <w:tmpl w:val="0B3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4D621D"/>
    <w:multiLevelType w:val="multilevel"/>
    <w:tmpl w:val="9F3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A92C5E"/>
    <w:multiLevelType w:val="multilevel"/>
    <w:tmpl w:val="B2E2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149EB"/>
    <w:multiLevelType w:val="multilevel"/>
    <w:tmpl w:val="19B6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C43D2C"/>
    <w:multiLevelType w:val="hybridMultilevel"/>
    <w:tmpl w:val="EA821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1"/>
  </w:num>
  <w:num w:numId="4">
    <w:abstractNumId w:val="2"/>
  </w:num>
  <w:num w:numId="5">
    <w:abstractNumId w:val="9"/>
  </w:num>
  <w:num w:numId="6">
    <w:abstractNumId w:val="3"/>
  </w:num>
  <w:num w:numId="7">
    <w:abstractNumId w:val="6"/>
  </w:num>
  <w:num w:numId="8">
    <w:abstractNumId w:val="8"/>
  </w:num>
  <w:num w:numId="9">
    <w:abstractNumId w:val="4"/>
  </w:num>
  <w:num w:numId="10">
    <w:abstractNumId w:val="7"/>
  </w:num>
  <w:num w:numId="11">
    <w:abstractNumId w:val="5"/>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29"/>
    <w:rsid w:val="001006BD"/>
    <w:rsid w:val="00153D14"/>
    <w:rsid w:val="00592829"/>
    <w:rsid w:val="007A5CD4"/>
    <w:rsid w:val="0094044E"/>
    <w:rsid w:val="0099182D"/>
    <w:rsid w:val="00995898"/>
    <w:rsid w:val="009B7F43"/>
    <w:rsid w:val="00B24347"/>
    <w:rsid w:val="00BC1B29"/>
    <w:rsid w:val="00C37273"/>
    <w:rsid w:val="00D93AD3"/>
    <w:rsid w:val="00E07B03"/>
    <w:rsid w:val="00E5711D"/>
    <w:rsid w:val="00E579B7"/>
    <w:rsid w:val="00E70EC2"/>
    <w:rsid w:val="00F21FF6"/>
    <w:rsid w:val="00F8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8B187EE"/>
  <w15:docId w15:val="{34B73797-3ED9-4DD1-B04F-66DFAA73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semiHidden/>
    <w:unhideWhenUsed/>
    <w:rsid w:val="00C372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7273"/>
    <w:rPr>
      <w:rFonts w:ascii="Times New Roman" w:hAnsi="Times New Roman" w:cs="Times New Roman"/>
      <w:sz w:val="18"/>
      <w:szCs w:val="18"/>
    </w:rPr>
  </w:style>
  <w:style w:type="paragraph" w:styleId="ListParagraph">
    <w:name w:val="List Paragraph"/>
    <w:basedOn w:val="Normal"/>
    <w:uiPriority w:val="34"/>
    <w:qFormat/>
    <w:rsid w:val="00B24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7351">
      <w:marLeft w:val="0"/>
      <w:marRight w:val="0"/>
      <w:marTop w:val="0"/>
      <w:marBottom w:val="0"/>
      <w:divBdr>
        <w:top w:val="none" w:sz="0" w:space="0" w:color="auto"/>
        <w:left w:val="none" w:sz="0" w:space="0" w:color="auto"/>
        <w:bottom w:val="none" w:sz="0" w:space="0" w:color="auto"/>
        <w:right w:val="none" w:sz="0" w:space="0" w:color="auto"/>
      </w:divBdr>
      <w:divsChild>
        <w:div w:id="2123306817">
          <w:marLeft w:val="0"/>
          <w:marRight w:val="0"/>
          <w:marTop w:val="0"/>
          <w:marBottom w:val="0"/>
          <w:divBdr>
            <w:top w:val="none" w:sz="0" w:space="0" w:color="auto"/>
            <w:left w:val="none" w:sz="0" w:space="0" w:color="auto"/>
            <w:bottom w:val="none" w:sz="0" w:space="0" w:color="auto"/>
            <w:right w:val="none" w:sz="0" w:space="0" w:color="auto"/>
          </w:divBdr>
        </w:div>
        <w:div w:id="486243610">
          <w:marLeft w:val="0"/>
          <w:marRight w:val="0"/>
          <w:marTop w:val="0"/>
          <w:marBottom w:val="0"/>
          <w:divBdr>
            <w:top w:val="none" w:sz="0" w:space="0" w:color="auto"/>
            <w:left w:val="none" w:sz="0" w:space="0" w:color="auto"/>
            <w:bottom w:val="none" w:sz="0" w:space="0" w:color="auto"/>
            <w:right w:val="none" w:sz="0" w:space="0" w:color="auto"/>
          </w:divBdr>
        </w:div>
        <w:div w:id="7802305">
          <w:marLeft w:val="0"/>
          <w:marRight w:val="0"/>
          <w:marTop w:val="0"/>
          <w:marBottom w:val="0"/>
          <w:divBdr>
            <w:top w:val="none" w:sz="0" w:space="0" w:color="auto"/>
            <w:left w:val="none" w:sz="0" w:space="0" w:color="auto"/>
            <w:bottom w:val="none" w:sz="0" w:space="0" w:color="auto"/>
            <w:right w:val="none" w:sz="0" w:space="0" w:color="auto"/>
          </w:divBdr>
        </w:div>
        <w:div w:id="712727844">
          <w:marLeft w:val="0"/>
          <w:marRight w:val="0"/>
          <w:marTop w:val="0"/>
          <w:marBottom w:val="0"/>
          <w:divBdr>
            <w:top w:val="none" w:sz="0" w:space="0" w:color="auto"/>
            <w:left w:val="none" w:sz="0" w:space="0" w:color="auto"/>
            <w:bottom w:val="none" w:sz="0" w:space="0" w:color="auto"/>
            <w:right w:val="none" w:sz="0" w:space="0" w:color="auto"/>
          </w:divBdr>
        </w:div>
        <w:div w:id="1645046547">
          <w:marLeft w:val="0"/>
          <w:marRight w:val="0"/>
          <w:marTop w:val="0"/>
          <w:marBottom w:val="0"/>
          <w:divBdr>
            <w:top w:val="none" w:sz="0" w:space="0" w:color="auto"/>
            <w:left w:val="none" w:sz="0" w:space="0" w:color="auto"/>
            <w:bottom w:val="none" w:sz="0" w:space="0" w:color="auto"/>
            <w:right w:val="none" w:sz="0" w:space="0" w:color="auto"/>
          </w:divBdr>
        </w:div>
        <w:div w:id="1515877426">
          <w:marLeft w:val="0"/>
          <w:marRight w:val="0"/>
          <w:marTop w:val="0"/>
          <w:marBottom w:val="0"/>
          <w:divBdr>
            <w:top w:val="none" w:sz="0" w:space="0" w:color="auto"/>
            <w:left w:val="none" w:sz="0" w:space="0" w:color="auto"/>
            <w:bottom w:val="none" w:sz="0" w:space="0" w:color="auto"/>
            <w:right w:val="none" w:sz="0" w:space="0" w:color="auto"/>
          </w:divBdr>
        </w:div>
        <w:div w:id="1215851844">
          <w:marLeft w:val="0"/>
          <w:marRight w:val="0"/>
          <w:marTop w:val="0"/>
          <w:marBottom w:val="0"/>
          <w:divBdr>
            <w:top w:val="none" w:sz="0" w:space="0" w:color="auto"/>
            <w:left w:val="none" w:sz="0" w:space="0" w:color="auto"/>
            <w:bottom w:val="none" w:sz="0" w:space="0" w:color="auto"/>
            <w:right w:val="none" w:sz="0" w:space="0" w:color="auto"/>
          </w:divBdr>
        </w:div>
      </w:divsChild>
    </w:div>
    <w:div w:id="71246143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p.org/cancerprotocol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3724</Words>
  <Characters>21715</Characters>
  <Application>Microsoft Office Word</Application>
  <DocSecurity>0</DocSecurity>
  <Lines>434</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6</cp:revision>
  <dcterms:created xsi:type="dcterms:W3CDTF">2021-06-14T14:19:00Z</dcterms:created>
  <dcterms:modified xsi:type="dcterms:W3CDTF">2021-06-22T18:50:00Z</dcterms:modified>
</cp:coreProperties>
</file>