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9BC10" w14:textId="31948860" w:rsidR="006D476D" w:rsidRPr="00DD2053" w:rsidRDefault="006D476D" w:rsidP="0062605A">
      <w:pPr>
        <w:pBdr>
          <w:bottom w:val="single" w:sz="4" w:space="1" w:color="auto"/>
        </w:pBdr>
        <w:rPr>
          <w:rFonts w:ascii="Arial" w:hAnsi="Arial" w:cs="Arial"/>
          <w:b/>
          <w:bCs/>
          <w:sz w:val="32"/>
          <w:szCs w:val="32"/>
        </w:rPr>
      </w:pPr>
      <w:r w:rsidRPr="00DD2053">
        <w:rPr>
          <w:rFonts w:ascii="Arial" w:hAnsi="Arial" w:cs="Arial"/>
          <w:b/>
          <w:bCs/>
          <w:sz w:val="32"/>
          <w:szCs w:val="32"/>
        </w:rPr>
        <w:t xml:space="preserve">Template for Reporting Results of </w:t>
      </w:r>
      <w:r w:rsidR="00052112">
        <w:rPr>
          <w:rFonts w:ascii="Arial" w:hAnsi="Arial" w:cs="Arial"/>
          <w:b/>
          <w:bCs/>
          <w:sz w:val="32"/>
          <w:szCs w:val="32"/>
        </w:rPr>
        <w:t xml:space="preserve">DNA Mismatch Repair </w:t>
      </w:r>
      <w:r w:rsidRPr="00DD2053">
        <w:rPr>
          <w:rFonts w:ascii="Arial" w:hAnsi="Arial" w:cs="Arial"/>
          <w:b/>
          <w:bCs/>
          <w:sz w:val="32"/>
          <w:szCs w:val="32"/>
        </w:rPr>
        <w:t xml:space="preserve">Testing </w:t>
      </w:r>
      <w:r w:rsidR="00052112">
        <w:rPr>
          <w:rFonts w:ascii="Arial" w:hAnsi="Arial" w:cs="Arial"/>
          <w:b/>
          <w:bCs/>
          <w:sz w:val="32"/>
          <w:szCs w:val="32"/>
        </w:rPr>
        <w:t xml:space="preserve">in Patients Being Considered for </w:t>
      </w:r>
      <w:r w:rsidR="004877E3">
        <w:rPr>
          <w:rFonts w:ascii="Arial" w:hAnsi="Arial" w:cs="Arial"/>
          <w:b/>
          <w:bCs/>
          <w:sz w:val="32"/>
          <w:szCs w:val="32"/>
        </w:rPr>
        <w:t xml:space="preserve">Checkpoint </w:t>
      </w:r>
      <w:r w:rsidR="00526467">
        <w:rPr>
          <w:rFonts w:ascii="Arial" w:hAnsi="Arial" w:cs="Arial"/>
          <w:b/>
          <w:bCs/>
          <w:sz w:val="32"/>
          <w:szCs w:val="32"/>
        </w:rPr>
        <w:t>Inhibitor Immunotherapy</w:t>
      </w:r>
    </w:p>
    <w:p w14:paraId="1100BD1B" w14:textId="77777777" w:rsidR="006D476D" w:rsidRDefault="006D476D">
      <w:pPr>
        <w:rPr>
          <w:rFonts w:ascii="Arial" w:hAnsi="Arial" w:cs="Arial"/>
          <w:b/>
          <w:bCs/>
          <w:sz w:val="24"/>
          <w:szCs w:val="24"/>
        </w:rPr>
      </w:pPr>
    </w:p>
    <w:tbl>
      <w:tblPr>
        <w:tblW w:w="11178" w:type="dxa"/>
        <w:tblLook w:val="04A0" w:firstRow="1" w:lastRow="0" w:firstColumn="1" w:lastColumn="0" w:noHBand="0" w:noVBand="1"/>
      </w:tblPr>
      <w:tblGrid>
        <w:gridCol w:w="4428"/>
        <w:gridCol w:w="5760"/>
        <w:gridCol w:w="990"/>
      </w:tblGrid>
      <w:tr w:rsidR="00132B69" w:rsidRPr="00132B69" w14:paraId="41846970" w14:textId="77777777" w:rsidTr="00C12C87">
        <w:tc>
          <w:tcPr>
            <w:tcW w:w="4428" w:type="dxa"/>
            <w:shd w:val="clear" w:color="auto" w:fill="auto"/>
          </w:tcPr>
          <w:p w14:paraId="08CC1EB0" w14:textId="07FE753E" w:rsidR="00132B69" w:rsidRPr="00132B69" w:rsidRDefault="00132B69" w:rsidP="00052112">
            <w:pPr>
              <w:rPr>
                <w:rFonts w:ascii="Arial" w:eastAsia="Cambria" w:hAnsi="Arial" w:cs="Arial"/>
                <w:b/>
                <w:szCs w:val="24"/>
                <w:lang w:eastAsia="es-ES_tradnl"/>
              </w:rPr>
            </w:pPr>
            <w:r w:rsidRPr="00132B69">
              <w:rPr>
                <w:rFonts w:ascii="Arial" w:eastAsia="Cambria" w:hAnsi="Arial" w:cs="Arial"/>
                <w:b/>
                <w:szCs w:val="24"/>
                <w:lang w:eastAsia="es-ES_tradnl"/>
              </w:rPr>
              <w:t xml:space="preserve">Version: </w:t>
            </w:r>
            <w:proofErr w:type="spellStart"/>
            <w:r w:rsidR="00F16790">
              <w:rPr>
                <w:rFonts w:ascii="Arial" w:eastAsia="Cambria" w:hAnsi="Arial" w:cs="Arial"/>
                <w:b/>
                <w:szCs w:val="24"/>
                <w:lang w:eastAsia="es-ES_tradnl"/>
              </w:rPr>
              <w:t>DNAMismatchRepair</w:t>
            </w:r>
            <w:proofErr w:type="spellEnd"/>
            <w:r w:rsidR="00F16790">
              <w:rPr>
                <w:rFonts w:ascii="Arial" w:eastAsia="Cambria" w:hAnsi="Arial" w:cs="Arial"/>
                <w:b/>
                <w:szCs w:val="24"/>
                <w:lang w:eastAsia="es-ES_tradnl"/>
              </w:rPr>
              <w:t xml:space="preserve"> </w:t>
            </w:r>
            <w:r w:rsidR="00052112">
              <w:rPr>
                <w:rFonts w:ascii="Arial" w:hAnsi="Arial" w:cs="Arial"/>
                <w:kern w:val="18"/>
              </w:rPr>
              <w:t>1.0.0.</w:t>
            </w:r>
            <w:r w:rsidR="00A6514D">
              <w:rPr>
                <w:rFonts w:ascii="Arial" w:hAnsi="Arial" w:cs="Arial"/>
                <w:kern w:val="18"/>
              </w:rPr>
              <w:t>1</w:t>
            </w:r>
          </w:p>
        </w:tc>
        <w:tc>
          <w:tcPr>
            <w:tcW w:w="6750" w:type="dxa"/>
            <w:gridSpan w:val="2"/>
            <w:shd w:val="clear" w:color="auto" w:fill="auto"/>
          </w:tcPr>
          <w:p w14:paraId="19C1F944" w14:textId="0901F124" w:rsidR="00132B69" w:rsidRPr="00132B69" w:rsidRDefault="00132B69" w:rsidP="00F62BEA">
            <w:pPr>
              <w:keepNext/>
              <w:tabs>
                <w:tab w:val="left" w:pos="360"/>
              </w:tabs>
              <w:outlineLvl w:val="1"/>
              <w:rPr>
                <w:rFonts w:ascii="Arial" w:eastAsia="Cambria" w:hAnsi="Arial" w:cs="Arial"/>
                <w:b/>
                <w:szCs w:val="24"/>
                <w:lang w:eastAsia="es-ES_tradnl"/>
              </w:rPr>
            </w:pPr>
            <w:r w:rsidRPr="00132B69">
              <w:rPr>
                <w:rFonts w:ascii="Arial" w:eastAsia="Cambria" w:hAnsi="Arial" w:cs="Arial"/>
                <w:b/>
                <w:szCs w:val="24"/>
                <w:lang w:eastAsia="es-ES_tradnl"/>
              </w:rPr>
              <w:t xml:space="preserve">Protocol Posting Date: </w:t>
            </w:r>
            <w:r w:rsidR="00F16790">
              <w:rPr>
                <w:rFonts w:ascii="Arial" w:eastAsia="Cambria" w:hAnsi="Arial" w:cs="Arial"/>
                <w:b/>
                <w:szCs w:val="24"/>
                <w:lang w:eastAsia="es-ES_tradnl"/>
              </w:rPr>
              <w:t>January 2018</w:t>
            </w:r>
          </w:p>
        </w:tc>
      </w:tr>
      <w:tr w:rsidR="00C12C87" w:rsidRPr="00D0174F" w14:paraId="64B5669E" w14:textId="77777777" w:rsidTr="00C12C87">
        <w:trPr>
          <w:gridAfter w:val="1"/>
          <w:wAfter w:w="990" w:type="dxa"/>
        </w:trPr>
        <w:tc>
          <w:tcPr>
            <w:tcW w:w="10188" w:type="dxa"/>
            <w:gridSpan w:val="2"/>
            <w:shd w:val="clear" w:color="auto" w:fill="auto"/>
          </w:tcPr>
          <w:p w14:paraId="70757278" w14:textId="77777777" w:rsidR="00C12C87" w:rsidRPr="00D0174F" w:rsidRDefault="00C12C87" w:rsidP="00132B69">
            <w:pPr>
              <w:keepNext/>
              <w:tabs>
                <w:tab w:val="left" w:pos="360"/>
              </w:tabs>
              <w:outlineLvl w:val="1"/>
              <w:rPr>
                <w:rFonts w:ascii="Arial" w:eastAsia="Cambria" w:hAnsi="Arial" w:cs="Arial"/>
                <w:szCs w:val="24"/>
                <w:lang w:eastAsia="es-ES_tradnl"/>
              </w:rPr>
            </w:pPr>
          </w:p>
        </w:tc>
      </w:tr>
      <w:tr w:rsidR="00132B69" w:rsidRPr="00D0174F" w14:paraId="65974A43" w14:textId="77777777" w:rsidTr="00052112">
        <w:trPr>
          <w:gridAfter w:val="1"/>
          <w:wAfter w:w="990" w:type="dxa"/>
          <w:trHeight w:val="423"/>
        </w:trPr>
        <w:tc>
          <w:tcPr>
            <w:tcW w:w="10188" w:type="dxa"/>
            <w:gridSpan w:val="2"/>
            <w:shd w:val="clear" w:color="auto" w:fill="auto"/>
          </w:tcPr>
          <w:p w14:paraId="0FCDCF53" w14:textId="076E8A0B" w:rsidR="00132B69" w:rsidRPr="00D0174F" w:rsidRDefault="00C37834" w:rsidP="00C37834">
            <w:pPr>
              <w:keepNext/>
              <w:tabs>
                <w:tab w:val="left" w:pos="360"/>
              </w:tabs>
              <w:outlineLvl w:val="1"/>
              <w:rPr>
                <w:rFonts w:ascii="Arial" w:eastAsia="Cambria" w:hAnsi="Arial" w:cs="Arial"/>
                <w:szCs w:val="24"/>
                <w:lang w:eastAsia="es-ES_tradnl"/>
              </w:rPr>
            </w:pPr>
            <w:proofErr w:type="spellStart"/>
            <w:r>
              <w:rPr>
                <w:rFonts w:ascii="Arial" w:eastAsia="Cambria" w:hAnsi="Arial" w:cs="Arial"/>
                <w:szCs w:val="24"/>
                <w:lang w:eastAsia="es-ES_tradnl"/>
              </w:rPr>
              <w:t>P</w:t>
            </w:r>
            <w:r w:rsidR="00D0174F" w:rsidRPr="00D0174F">
              <w:rPr>
                <w:rFonts w:ascii="Arial" w:eastAsia="Cambria" w:hAnsi="Arial" w:cs="Arial"/>
                <w:szCs w:val="24"/>
                <w:lang w:eastAsia="es-ES_tradnl"/>
              </w:rPr>
              <w:t>embrolizumab</w:t>
            </w:r>
            <w:proofErr w:type="spellEnd"/>
            <w:r w:rsidR="00D0174F" w:rsidRPr="00D0174F">
              <w:rPr>
                <w:rFonts w:ascii="Arial" w:eastAsia="Cambria" w:hAnsi="Arial" w:cs="Arial"/>
                <w:szCs w:val="24"/>
                <w:lang w:eastAsia="es-ES_tradnl"/>
              </w:rPr>
              <w:t xml:space="preserve"> (</w:t>
            </w:r>
            <w:proofErr w:type="spellStart"/>
            <w:r w:rsidR="00D0174F" w:rsidRPr="00D0174F">
              <w:rPr>
                <w:rFonts w:ascii="Arial" w:eastAsia="Cambria" w:hAnsi="Arial" w:cs="Arial"/>
                <w:szCs w:val="24"/>
                <w:lang w:eastAsia="es-ES_tradnl"/>
              </w:rPr>
              <w:t>K</w:t>
            </w:r>
            <w:r w:rsidR="00D0174F">
              <w:rPr>
                <w:rFonts w:ascii="Arial" w:eastAsia="Cambria" w:hAnsi="Arial" w:cs="Arial"/>
                <w:szCs w:val="24"/>
                <w:lang w:eastAsia="es-ES_tradnl"/>
              </w:rPr>
              <w:t>eytruda</w:t>
            </w:r>
            <w:proofErr w:type="spellEnd"/>
            <w:r w:rsidRPr="0065225E">
              <w:rPr>
                <w:rFonts w:ascii="Arial" w:eastAsia="Cambria" w:hAnsi="Arial" w:cs="Arial"/>
                <w:szCs w:val="24"/>
                <w:vertAlign w:val="superscript"/>
                <w:lang w:eastAsia="es-ES_tradnl"/>
              </w:rPr>
              <w:t>®</w:t>
            </w:r>
            <w:r w:rsidR="00D0174F" w:rsidRPr="00D0174F">
              <w:rPr>
                <w:rFonts w:ascii="Arial" w:eastAsia="Cambria" w:hAnsi="Arial" w:cs="Arial"/>
                <w:szCs w:val="24"/>
                <w:lang w:eastAsia="es-ES_tradnl"/>
              </w:rPr>
              <w:t>)</w:t>
            </w:r>
            <w:r w:rsidR="00D0174F">
              <w:rPr>
                <w:rFonts w:ascii="Arial" w:eastAsia="Cambria" w:hAnsi="Arial" w:cs="Arial"/>
                <w:szCs w:val="24"/>
                <w:lang w:eastAsia="es-ES_tradnl"/>
              </w:rPr>
              <w:t xml:space="preserve"> </w:t>
            </w:r>
            <w:r>
              <w:rPr>
                <w:rFonts w:ascii="Arial" w:eastAsia="Cambria" w:hAnsi="Arial" w:cs="Arial"/>
                <w:szCs w:val="24"/>
                <w:lang w:eastAsia="es-ES_tradnl"/>
              </w:rPr>
              <w:t xml:space="preserve">was approved by the FDA </w:t>
            </w:r>
            <w:r w:rsidR="00D0174F" w:rsidRPr="00D0174F">
              <w:rPr>
                <w:rFonts w:ascii="Arial" w:eastAsia="Cambria" w:hAnsi="Arial" w:cs="Arial"/>
                <w:szCs w:val="24"/>
                <w:lang w:eastAsia="es-ES_tradnl"/>
              </w:rPr>
              <w:t>for adult and pediatric patients with metastatic or unresectable</w:t>
            </w:r>
            <w:r>
              <w:rPr>
                <w:rFonts w:ascii="Arial" w:eastAsia="Cambria" w:hAnsi="Arial" w:cs="Arial"/>
                <w:szCs w:val="24"/>
                <w:lang w:eastAsia="es-ES_tradnl"/>
              </w:rPr>
              <w:t xml:space="preserve"> solid tumors that are either </w:t>
            </w:r>
            <w:r w:rsidR="00D0174F" w:rsidRPr="00D0174F">
              <w:rPr>
                <w:rFonts w:ascii="Arial" w:eastAsia="Cambria" w:hAnsi="Arial" w:cs="Arial"/>
                <w:szCs w:val="24"/>
                <w:lang w:eastAsia="es-ES_tradnl"/>
              </w:rPr>
              <w:t>microsatell</w:t>
            </w:r>
            <w:r>
              <w:rPr>
                <w:rFonts w:ascii="Arial" w:eastAsia="Cambria" w:hAnsi="Arial" w:cs="Arial"/>
                <w:szCs w:val="24"/>
                <w:lang w:eastAsia="es-ES_tradnl"/>
              </w:rPr>
              <w:t xml:space="preserve">ite instability-high (MSI-H) OR </w:t>
            </w:r>
            <w:r w:rsidR="00D0174F" w:rsidRPr="00D0174F">
              <w:rPr>
                <w:rFonts w:ascii="Arial" w:eastAsia="Cambria" w:hAnsi="Arial" w:cs="Arial"/>
                <w:szCs w:val="24"/>
                <w:lang w:eastAsia="es-ES_tradnl"/>
              </w:rPr>
              <w:t>mismatch repair deficient (</w:t>
            </w:r>
            <w:proofErr w:type="spellStart"/>
            <w:r w:rsidR="00D0174F" w:rsidRPr="00D0174F">
              <w:rPr>
                <w:rFonts w:ascii="Arial" w:eastAsia="Cambria" w:hAnsi="Arial" w:cs="Arial"/>
                <w:szCs w:val="24"/>
                <w:lang w:eastAsia="es-ES_tradnl"/>
              </w:rPr>
              <w:t>dMMR</w:t>
            </w:r>
            <w:proofErr w:type="spellEnd"/>
            <w:r w:rsidR="00D0174F" w:rsidRPr="00D0174F">
              <w:rPr>
                <w:rFonts w:ascii="Arial" w:eastAsia="Cambria" w:hAnsi="Arial" w:cs="Arial"/>
                <w:szCs w:val="24"/>
                <w:lang w:eastAsia="es-ES_tradnl"/>
              </w:rPr>
              <w:t>) that have progressed following prior treatment.</w:t>
            </w:r>
            <w:r>
              <w:rPr>
                <w:rFonts w:ascii="Arial" w:eastAsia="Cambria" w:hAnsi="Arial" w:cs="Arial"/>
                <w:szCs w:val="24"/>
                <w:lang w:eastAsia="es-ES_tradnl"/>
              </w:rPr>
              <w:t xml:space="preserve"> </w:t>
            </w:r>
          </w:p>
        </w:tc>
      </w:tr>
    </w:tbl>
    <w:p w14:paraId="39A75D42" w14:textId="77777777" w:rsidR="00C37834" w:rsidRDefault="00C37834" w:rsidP="00132B69">
      <w:pPr>
        <w:keepNext/>
        <w:tabs>
          <w:tab w:val="left" w:pos="360"/>
        </w:tabs>
        <w:outlineLvl w:val="1"/>
        <w:rPr>
          <w:rFonts w:ascii="Arial" w:eastAsia="Calibri" w:hAnsi="Arial" w:cs="Arial"/>
        </w:rPr>
      </w:pPr>
    </w:p>
    <w:p w14:paraId="2DDF8F0D" w14:textId="55D76225" w:rsidR="00132B69" w:rsidRPr="00D0174F" w:rsidRDefault="00132B69" w:rsidP="00132B69">
      <w:pPr>
        <w:keepNext/>
        <w:tabs>
          <w:tab w:val="left" w:pos="360"/>
        </w:tabs>
        <w:outlineLvl w:val="1"/>
        <w:rPr>
          <w:rFonts w:ascii="Arial" w:eastAsia="Calibri" w:hAnsi="Arial" w:cs="Arial"/>
        </w:rPr>
      </w:pPr>
      <w:r w:rsidRPr="00D0174F">
        <w:rPr>
          <w:rFonts w:ascii="Arial" w:eastAsia="Calibri" w:hAnsi="Arial" w:cs="Arial"/>
        </w:rPr>
        <w:t xml:space="preserve">This biomarker template is NOT required </w:t>
      </w:r>
      <w:r w:rsidRPr="00D0174F">
        <w:rPr>
          <w:rFonts w:ascii="Arial" w:eastAsia="Calibri" w:hAnsi="Arial" w:cs="Arial"/>
          <w:color w:val="000000"/>
        </w:rPr>
        <w:t xml:space="preserve">for accreditation purposes </w:t>
      </w:r>
      <w:r w:rsidR="00C37834">
        <w:rPr>
          <w:rFonts w:ascii="Arial" w:eastAsia="Calibri" w:hAnsi="Arial" w:cs="Arial"/>
          <w:color w:val="000000"/>
        </w:rPr>
        <w:t xml:space="preserve">but is provided to assist laboratories in reporting the results of testing </w:t>
      </w:r>
      <w:r w:rsidR="00EE0F2E">
        <w:rPr>
          <w:rFonts w:ascii="Arial" w:eastAsia="Calibri" w:hAnsi="Arial" w:cs="Arial"/>
          <w:color w:val="000000"/>
        </w:rPr>
        <w:t xml:space="preserve">done to identify patients who may be eligible for </w:t>
      </w:r>
      <w:r w:rsidR="004877E3">
        <w:rPr>
          <w:rFonts w:ascii="Arial" w:eastAsia="Calibri" w:hAnsi="Arial" w:cs="Arial"/>
          <w:color w:val="000000"/>
        </w:rPr>
        <w:t xml:space="preserve">checkpoint inhibitor-based </w:t>
      </w:r>
      <w:r w:rsidR="00EE0F2E">
        <w:rPr>
          <w:rFonts w:ascii="Arial" w:eastAsia="Calibri" w:hAnsi="Arial" w:cs="Arial"/>
          <w:color w:val="000000"/>
        </w:rPr>
        <w:t>immunotherapy. This template is recommended for tumors other than colon and endometrium. For patients with colorectal or endometrial carcinoma, site-specific biomarker reporting templates are available and are recommended.</w:t>
      </w:r>
      <w:r w:rsidR="00512301">
        <w:rPr>
          <w:rFonts w:ascii="Arial" w:eastAsia="Calibri" w:hAnsi="Arial" w:cs="Arial"/>
          <w:color w:val="000000"/>
        </w:rPr>
        <w:t xml:space="preserve"> </w:t>
      </w:r>
    </w:p>
    <w:p w14:paraId="08592E54" w14:textId="77777777" w:rsidR="00132B69" w:rsidRPr="00D0174F" w:rsidRDefault="00132B69" w:rsidP="00C60D73">
      <w:pPr>
        <w:rPr>
          <w:rFonts w:ascii="Arial" w:hAnsi="Arial" w:cs="Arial"/>
          <w:kern w:val="18"/>
        </w:rPr>
      </w:pPr>
    </w:p>
    <w:p w14:paraId="444E12C7" w14:textId="77777777" w:rsidR="006D476D" w:rsidRPr="00D0174F" w:rsidRDefault="006D476D">
      <w:pPr>
        <w:rPr>
          <w:rFonts w:ascii="Arial" w:hAnsi="Arial" w:cs="Arial"/>
          <w:kern w:val="18"/>
        </w:rPr>
      </w:pPr>
    </w:p>
    <w:p w14:paraId="0233383C" w14:textId="77777777" w:rsidR="006D476D" w:rsidRPr="00DD2053" w:rsidRDefault="006D476D">
      <w:pPr>
        <w:rPr>
          <w:rFonts w:ascii="Arial" w:hAnsi="Arial" w:cs="Arial"/>
          <w:kern w:val="18"/>
        </w:rPr>
      </w:pPr>
      <w:r w:rsidRPr="00DD2053">
        <w:rPr>
          <w:rFonts w:ascii="Arial" w:hAnsi="Arial" w:cs="Arial"/>
          <w:b/>
          <w:kern w:val="18"/>
        </w:rPr>
        <w:t>Authors</w:t>
      </w:r>
    </w:p>
    <w:p w14:paraId="0F8C085E" w14:textId="105D348A" w:rsidR="00132B69" w:rsidRDefault="005027B2" w:rsidP="0062605A">
      <w:pPr>
        <w:rPr>
          <w:rFonts w:ascii="Arial" w:hAnsi="Arial" w:cs="Arial"/>
          <w:kern w:val="18"/>
        </w:rPr>
      </w:pPr>
      <w:r>
        <w:rPr>
          <w:rFonts w:ascii="Arial" w:hAnsi="Arial" w:cs="Arial"/>
          <w:kern w:val="18"/>
        </w:rPr>
        <w:t>Angela N. Bartley, MD</w:t>
      </w:r>
      <w:r w:rsidR="00132B69">
        <w:rPr>
          <w:rFonts w:ascii="Arial" w:hAnsi="Arial" w:cs="Arial"/>
          <w:kern w:val="18"/>
        </w:rPr>
        <w:t>*;</w:t>
      </w:r>
      <w:r w:rsidR="00052112">
        <w:rPr>
          <w:rFonts w:ascii="Arial" w:hAnsi="Arial" w:cs="Arial"/>
          <w:kern w:val="18"/>
        </w:rPr>
        <w:t xml:space="preserve"> </w:t>
      </w:r>
      <w:r>
        <w:rPr>
          <w:rFonts w:ascii="Arial" w:hAnsi="Arial" w:cs="Arial"/>
          <w:kern w:val="20"/>
        </w:rPr>
        <w:t xml:space="preserve">Patrick </w:t>
      </w:r>
      <w:r w:rsidR="00052112">
        <w:rPr>
          <w:rFonts w:ascii="Arial" w:hAnsi="Arial" w:cs="Arial"/>
          <w:kern w:val="20"/>
        </w:rPr>
        <w:t xml:space="preserve">L. </w:t>
      </w:r>
      <w:r>
        <w:rPr>
          <w:rFonts w:ascii="Arial" w:hAnsi="Arial" w:cs="Arial"/>
          <w:kern w:val="20"/>
        </w:rPr>
        <w:t>Fitzgibbons, MD</w:t>
      </w:r>
      <w:r w:rsidR="0065225E">
        <w:rPr>
          <w:rFonts w:ascii="Arial" w:hAnsi="Arial" w:cs="Arial"/>
          <w:kern w:val="20"/>
        </w:rPr>
        <w:t>*</w:t>
      </w:r>
      <w:r w:rsidR="00AE11C2">
        <w:rPr>
          <w:rFonts w:ascii="Arial" w:hAnsi="Arial" w:cs="Arial"/>
          <w:kern w:val="20"/>
        </w:rPr>
        <w:t xml:space="preserve">; Russell </w:t>
      </w:r>
      <w:r w:rsidR="007D3A6E">
        <w:rPr>
          <w:rFonts w:ascii="Arial" w:hAnsi="Arial" w:cs="Arial"/>
          <w:kern w:val="20"/>
        </w:rPr>
        <w:t xml:space="preserve">R. </w:t>
      </w:r>
      <w:r w:rsidR="00AE11C2">
        <w:rPr>
          <w:rFonts w:ascii="Arial" w:hAnsi="Arial" w:cs="Arial"/>
          <w:kern w:val="20"/>
        </w:rPr>
        <w:t>Broaddus, MD</w:t>
      </w:r>
      <w:r w:rsidR="004877E3">
        <w:rPr>
          <w:rFonts w:ascii="Arial" w:hAnsi="Arial" w:cs="Arial"/>
          <w:kern w:val="20"/>
        </w:rPr>
        <w:t>,</w:t>
      </w:r>
      <w:r w:rsidR="007D3A6E">
        <w:rPr>
          <w:rFonts w:ascii="Arial" w:hAnsi="Arial" w:cs="Arial"/>
          <w:kern w:val="20"/>
        </w:rPr>
        <w:t xml:space="preserve"> </w:t>
      </w:r>
      <w:r w:rsidR="004877E3">
        <w:rPr>
          <w:rFonts w:ascii="Arial" w:hAnsi="Arial" w:cs="Arial"/>
          <w:kern w:val="20"/>
        </w:rPr>
        <w:t>PhD</w:t>
      </w:r>
      <w:r w:rsidR="00AE11C2">
        <w:rPr>
          <w:rFonts w:ascii="Arial" w:hAnsi="Arial" w:cs="Arial"/>
          <w:kern w:val="20"/>
        </w:rPr>
        <w:t xml:space="preserve">; </w:t>
      </w:r>
      <w:r w:rsidR="00AE11C2" w:rsidRPr="00AE11C2">
        <w:rPr>
          <w:rFonts w:ascii="Arial" w:hAnsi="Arial" w:cs="Arial"/>
          <w:kern w:val="20"/>
        </w:rPr>
        <w:t>Chanjuan</w:t>
      </w:r>
      <w:r w:rsidR="00AE11C2">
        <w:rPr>
          <w:rFonts w:ascii="Arial" w:hAnsi="Arial" w:cs="Arial"/>
          <w:kern w:val="20"/>
        </w:rPr>
        <w:t xml:space="preserve"> Shi, MD</w:t>
      </w:r>
      <w:r w:rsidR="007D3A6E">
        <w:rPr>
          <w:rFonts w:ascii="Arial" w:hAnsi="Arial" w:cs="Arial"/>
          <w:kern w:val="20"/>
        </w:rPr>
        <w:t>, PhD</w:t>
      </w:r>
    </w:p>
    <w:p w14:paraId="4413B6B7" w14:textId="77777777" w:rsidR="00132B69" w:rsidRDefault="00132B69" w:rsidP="0062605A">
      <w:pPr>
        <w:rPr>
          <w:rFonts w:ascii="Arial" w:hAnsi="Arial" w:cs="Arial"/>
          <w:kern w:val="18"/>
        </w:rPr>
      </w:pPr>
    </w:p>
    <w:p w14:paraId="022F8C7E" w14:textId="2A8CBA16" w:rsidR="0062605A" w:rsidRPr="00DD2053" w:rsidRDefault="00132B69" w:rsidP="0062605A">
      <w:pPr>
        <w:rPr>
          <w:rFonts w:ascii="Arial" w:hAnsi="Arial" w:cs="Arial"/>
          <w:kern w:val="18"/>
        </w:rPr>
      </w:pPr>
      <w:r w:rsidRPr="00132B69">
        <w:rPr>
          <w:rFonts w:ascii="Arial" w:eastAsia="Calibri" w:hAnsi="Arial" w:cs="Arial"/>
          <w:kern w:val="18"/>
        </w:rPr>
        <w:t xml:space="preserve">With guidance from the </w:t>
      </w:r>
      <w:r>
        <w:rPr>
          <w:rFonts w:ascii="Arial" w:eastAsia="Calibri" w:hAnsi="Arial" w:cs="Arial"/>
          <w:kern w:val="18"/>
        </w:rPr>
        <w:t xml:space="preserve">CAP </w:t>
      </w:r>
      <w:r w:rsidR="0062605A" w:rsidRPr="00DD2053">
        <w:rPr>
          <w:rFonts w:ascii="Arial" w:hAnsi="Arial" w:cs="Arial"/>
          <w:kern w:val="18"/>
        </w:rPr>
        <w:t>Cancer Committee</w:t>
      </w:r>
    </w:p>
    <w:p w14:paraId="6E48FF07" w14:textId="77777777" w:rsidR="00132B69" w:rsidRPr="00132B69" w:rsidRDefault="00132B69" w:rsidP="00132B69">
      <w:pPr>
        <w:spacing w:before="60"/>
        <w:rPr>
          <w:rFonts w:ascii="Arial" w:eastAsia="Calibri" w:hAnsi="Arial" w:cs="Arial"/>
          <w:i/>
          <w:kern w:val="18"/>
          <w:sz w:val="18"/>
          <w:szCs w:val="18"/>
        </w:rPr>
      </w:pPr>
      <w:r w:rsidRPr="00132B69">
        <w:rPr>
          <w:rFonts w:ascii="Arial" w:eastAsia="Calibri" w:hAnsi="Arial" w:cs="Arial"/>
          <w:i/>
          <w:kern w:val="18"/>
          <w:sz w:val="18"/>
          <w:szCs w:val="18"/>
        </w:rPr>
        <w:t xml:space="preserve">* Denotes primary author. </w:t>
      </w:r>
      <w:r w:rsidRPr="00132B69">
        <w:rPr>
          <w:rFonts w:ascii="Arial" w:eastAsia="Calibri" w:hAnsi="Arial" w:cs="Arial"/>
          <w:i/>
          <w:kern w:val="20"/>
          <w:sz w:val="18"/>
          <w:szCs w:val="18"/>
        </w:rPr>
        <w:t>A</w:t>
      </w:r>
      <w:r w:rsidRPr="00132B69">
        <w:rPr>
          <w:rFonts w:ascii="Arial" w:eastAsia="Calibri" w:hAnsi="Arial" w:cs="Arial"/>
          <w:i/>
          <w:kern w:val="18"/>
          <w:sz w:val="18"/>
          <w:szCs w:val="18"/>
        </w:rPr>
        <w:t>ll other contributing authors are listed alphabetically.</w:t>
      </w:r>
    </w:p>
    <w:p w14:paraId="6BDD073A" w14:textId="77777777" w:rsidR="006D476D" w:rsidRPr="00132805" w:rsidRDefault="006D476D">
      <w:pPr>
        <w:rPr>
          <w:rFonts w:ascii="Arial" w:hAnsi="Arial" w:cs="Arial"/>
          <w:b/>
          <w:bCs/>
        </w:rPr>
      </w:pPr>
    </w:p>
    <w:p w14:paraId="47C5E591" w14:textId="77777777" w:rsidR="00B8499D" w:rsidRPr="00606AF3" w:rsidRDefault="00B8499D" w:rsidP="00B8499D">
      <w:pPr>
        <w:rPr>
          <w:rFonts w:ascii="Arial" w:hAnsi="Arial" w:cs="Arial"/>
          <w:kern w:val="18"/>
        </w:rPr>
      </w:pPr>
    </w:p>
    <w:p w14:paraId="0E04C452" w14:textId="77777777" w:rsidR="00B8499D" w:rsidRPr="00606AF3" w:rsidRDefault="00B8499D" w:rsidP="00B8499D">
      <w:pPr>
        <w:pBdr>
          <w:top w:val="single" w:sz="4" w:space="1" w:color="auto"/>
          <w:left w:val="single" w:sz="4" w:space="4" w:color="auto"/>
          <w:bottom w:val="single" w:sz="4" w:space="1" w:color="auto"/>
          <w:right w:val="single" w:sz="4" w:space="4" w:color="auto"/>
        </w:pBdr>
        <w:ind w:left="90"/>
        <w:rPr>
          <w:rFonts w:ascii="Arial" w:hAnsi="Arial" w:cs="Arial"/>
          <w:b/>
          <w:kern w:val="18"/>
        </w:rPr>
      </w:pPr>
      <w:r w:rsidRPr="00606AF3">
        <w:rPr>
          <w:rFonts w:ascii="Arial" w:hAnsi="Arial" w:cs="Arial"/>
        </w:rPr>
        <w:t xml:space="preserve">Completion of the template is the responsibility of the laboratory performing the biomarker testing and/or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r w:rsidRPr="00606AF3">
        <w:rPr>
          <w:rFonts w:ascii="Arial" w:hAnsi="Arial" w:cs="Arial"/>
          <w:b/>
        </w:rPr>
        <w:t>This template is not required for accreditation purposes.</w:t>
      </w:r>
    </w:p>
    <w:p w14:paraId="67EC2CB1" w14:textId="77777777" w:rsidR="00B8499D" w:rsidRPr="00606AF3" w:rsidRDefault="00B8499D" w:rsidP="00B8499D">
      <w:pPr>
        <w:rPr>
          <w:rFonts w:ascii="Arial" w:hAnsi="Arial" w:cs="Arial"/>
          <w:b/>
          <w:bCs/>
          <w:kern w:val="18"/>
        </w:rPr>
      </w:pPr>
    </w:p>
    <w:p w14:paraId="59E70078" w14:textId="77777777" w:rsidR="006D476D" w:rsidRPr="00DD2053" w:rsidRDefault="006D476D">
      <w:pPr>
        <w:rPr>
          <w:rFonts w:ascii="Arial" w:hAnsi="Arial" w:cs="Arial"/>
          <w:b/>
        </w:rPr>
      </w:pPr>
    </w:p>
    <w:p w14:paraId="39EC6C86" w14:textId="77777777" w:rsidR="0077478F" w:rsidRPr="0077478F" w:rsidRDefault="0077478F" w:rsidP="0077478F">
      <w:pPr>
        <w:pBdr>
          <w:bottom w:val="single" w:sz="4" w:space="1" w:color="auto"/>
        </w:pBdr>
        <w:rPr>
          <w:rFonts w:ascii="Arial" w:hAnsi="Arial" w:cs="Arial"/>
          <w:b/>
          <w:sz w:val="26"/>
        </w:rPr>
      </w:pPr>
      <w:r w:rsidRPr="0077478F">
        <w:rPr>
          <w:rFonts w:ascii="Arial" w:hAnsi="Arial" w:cs="Arial"/>
          <w:b/>
          <w:sz w:val="26"/>
        </w:rPr>
        <w:t>Summary of Changes</w:t>
      </w:r>
    </w:p>
    <w:p w14:paraId="0E09E7F2" w14:textId="712D1FFD" w:rsidR="006D476D" w:rsidRDefault="0077478F">
      <w:pPr>
        <w:rPr>
          <w:rFonts w:ascii="Arial" w:hAnsi="Arial" w:cs="Arial"/>
          <w:b/>
        </w:rPr>
      </w:pPr>
      <w:r>
        <w:rPr>
          <w:rFonts w:ascii="Arial" w:hAnsi="Arial" w:cs="Arial"/>
          <w:b/>
        </w:rPr>
        <w:t>Version 1.0.0.1</w:t>
      </w:r>
    </w:p>
    <w:p w14:paraId="3E0C1923" w14:textId="6B3129AA" w:rsidR="0077478F" w:rsidRPr="0077478F" w:rsidRDefault="0077478F">
      <w:pPr>
        <w:rPr>
          <w:rFonts w:ascii="Arial" w:hAnsi="Arial" w:cs="Arial"/>
        </w:rPr>
      </w:pPr>
      <w:r w:rsidRPr="0077478F">
        <w:rPr>
          <w:rFonts w:ascii="Arial" w:hAnsi="Arial" w:cs="Arial"/>
        </w:rPr>
        <w:t xml:space="preserve">Modified MSI response from Indeterminate to </w:t>
      </w:r>
      <w:proofErr w:type="gramStart"/>
      <w:r w:rsidRPr="0077478F">
        <w:rPr>
          <w:rFonts w:ascii="Arial" w:hAnsi="Arial" w:cs="Arial"/>
        </w:rPr>
        <w:t>Cannot</w:t>
      </w:r>
      <w:proofErr w:type="gramEnd"/>
      <w:r w:rsidRPr="0077478F">
        <w:rPr>
          <w:rFonts w:ascii="Arial" w:hAnsi="Arial" w:cs="Arial"/>
        </w:rPr>
        <w:t xml:space="preserve"> be determined</w:t>
      </w:r>
    </w:p>
    <w:p w14:paraId="2D13D50E" w14:textId="77777777" w:rsidR="006D476D" w:rsidRDefault="006D476D">
      <w:pPr>
        <w:rPr>
          <w:rFonts w:ascii="Arial" w:hAnsi="Arial" w:cs="Arial"/>
          <w:b/>
        </w:rPr>
      </w:pPr>
    </w:p>
    <w:p w14:paraId="486EAA6F" w14:textId="77777777" w:rsidR="0077478F" w:rsidRDefault="0077478F">
      <w:pPr>
        <w:rPr>
          <w:rFonts w:ascii="Arial" w:hAnsi="Arial" w:cs="Arial"/>
          <w:b/>
        </w:rPr>
      </w:pPr>
    </w:p>
    <w:p w14:paraId="588D3612" w14:textId="77777777" w:rsidR="0077478F" w:rsidRDefault="0077478F">
      <w:pPr>
        <w:rPr>
          <w:rFonts w:ascii="Arial" w:hAnsi="Arial" w:cs="Arial"/>
          <w:b/>
        </w:rPr>
      </w:pPr>
    </w:p>
    <w:p w14:paraId="3C6030E6" w14:textId="77777777" w:rsidR="0077478F" w:rsidRDefault="0077478F">
      <w:pPr>
        <w:rPr>
          <w:rFonts w:ascii="Arial" w:hAnsi="Arial" w:cs="Arial"/>
          <w:b/>
        </w:rPr>
      </w:pPr>
    </w:p>
    <w:p w14:paraId="5140B1A8" w14:textId="77777777" w:rsidR="0077478F" w:rsidRPr="00DD2053" w:rsidRDefault="0077478F">
      <w:pPr>
        <w:rPr>
          <w:rFonts w:ascii="Arial" w:hAnsi="Arial" w:cs="Arial"/>
          <w:b/>
        </w:rPr>
        <w:sectPr w:rsidR="0077478F" w:rsidRPr="00DD2053" w:rsidSect="001977C4">
          <w:headerReference w:type="default" r:id="rId8"/>
          <w:footerReference w:type="even" r:id="rId9"/>
          <w:footerReference w:type="default" r:id="rId10"/>
          <w:headerReference w:type="first" r:id="rId11"/>
          <w:footerReference w:type="first" r:id="rId12"/>
          <w:pgSz w:w="12240" w:h="15840"/>
          <w:pgMar w:top="1440" w:right="1080" w:bottom="1440" w:left="1080" w:header="907" w:footer="936" w:gutter="0"/>
          <w:cols w:space="720"/>
          <w:titlePg/>
          <w:docGrid w:linePitch="360"/>
        </w:sectPr>
      </w:pPr>
    </w:p>
    <w:p w14:paraId="740773B1" w14:textId="76CA2D82" w:rsidR="00052112" w:rsidRPr="00606AF3" w:rsidRDefault="00D0174F" w:rsidP="00052112">
      <w:pPr>
        <w:shd w:val="clear" w:color="auto" w:fill="FFFFFF"/>
        <w:tabs>
          <w:tab w:val="left" w:pos="2430"/>
        </w:tabs>
        <w:spacing w:line="184" w:lineRule="atLeast"/>
        <w:rPr>
          <w:rFonts w:ascii="Arial" w:hAnsi="Arial" w:cs="Arial"/>
          <w:b/>
        </w:rPr>
      </w:pPr>
      <w:r w:rsidRPr="00606AF3">
        <w:rPr>
          <w:rFonts w:ascii="Arial" w:hAnsi="Arial" w:cs="Arial"/>
          <w:b/>
          <w:color w:val="000000"/>
        </w:rPr>
        <w:lastRenderedPageBreak/>
        <w:t xml:space="preserve">DNA </w:t>
      </w:r>
      <w:r w:rsidR="00052112" w:rsidRPr="00606AF3">
        <w:rPr>
          <w:rFonts w:ascii="Arial" w:hAnsi="Arial" w:cs="Arial"/>
          <w:b/>
          <w:color w:val="000000"/>
        </w:rPr>
        <w:t>Mismatch Repair Testing</w:t>
      </w:r>
      <w:r w:rsidRPr="00606AF3">
        <w:rPr>
          <w:rFonts w:ascii="Arial" w:hAnsi="Arial" w:cs="Arial"/>
          <w:b/>
          <w:color w:val="000000"/>
        </w:rPr>
        <w:t xml:space="preserve"> for</w:t>
      </w:r>
      <w:r w:rsidR="00A5210B">
        <w:rPr>
          <w:rFonts w:ascii="Arial" w:hAnsi="Arial" w:cs="Arial"/>
          <w:b/>
          <w:color w:val="000000"/>
        </w:rPr>
        <w:t xml:space="preserve"> Checkpoint Inhibitor Immunot</w:t>
      </w:r>
      <w:r w:rsidRPr="00606AF3">
        <w:rPr>
          <w:rFonts w:ascii="Arial" w:hAnsi="Arial" w:cs="Arial"/>
          <w:b/>
          <w:color w:val="000000"/>
        </w:rPr>
        <w:t>herapy</w:t>
      </w:r>
    </w:p>
    <w:p w14:paraId="183B80DB" w14:textId="77777777" w:rsidR="006D476D" w:rsidRPr="00606AF3" w:rsidRDefault="006D476D">
      <w:pPr>
        <w:rPr>
          <w:rFonts w:ascii="Arial" w:hAnsi="Arial" w:cs="Arial"/>
          <w:kern w:val="18"/>
        </w:rPr>
      </w:pPr>
    </w:p>
    <w:p w14:paraId="3DCB0389" w14:textId="2FFB3F02" w:rsidR="006D476D" w:rsidRPr="00606AF3" w:rsidRDefault="006D476D">
      <w:pPr>
        <w:rPr>
          <w:rFonts w:ascii="Arial" w:hAnsi="Arial" w:cs="Arial"/>
          <w:kern w:val="18"/>
        </w:rPr>
      </w:pPr>
      <w:r w:rsidRPr="00606AF3">
        <w:rPr>
          <w:rFonts w:ascii="Arial" w:hAnsi="Arial" w:cs="Arial"/>
          <w:kern w:val="18"/>
        </w:rPr>
        <w:t xml:space="preserve">Template posting date: </w:t>
      </w:r>
      <w:r w:rsidR="009079D5" w:rsidRPr="00606AF3">
        <w:rPr>
          <w:rFonts w:ascii="Arial" w:hAnsi="Arial" w:cs="Arial"/>
          <w:kern w:val="18"/>
        </w:rPr>
        <w:t>January 2018</w:t>
      </w:r>
    </w:p>
    <w:p w14:paraId="6A7B7743" w14:textId="77777777" w:rsidR="00B8499D" w:rsidRDefault="00B8499D" w:rsidP="00F45C6B">
      <w:pPr>
        <w:shd w:val="clear" w:color="auto" w:fill="FFFFFF"/>
        <w:spacing w:line="184" w:lineRule="atLeast"/>
        <w:ind w:left="180" w:hanging="180"/>
        <w:rPr>
          <w:rFonts w:ascii="Arial" w:hAnsi="Arial" w:cs="Arial"/>
          <w:b/>
        </w:rPr>
      </w:pPr>
    </w:p>
    <w:p w14:paraId="140DCF4E" w14:textId="765B5917" w:rsidR="00D0174F" w:rsidRPr="00606AF3" w:rsidRDefault="00D0174F" w:rsidP="00F45C6B">
      <w:pPr>
        <w:shd w:val="clear" w:color="auto" w:fill="FFFFFF"/>
        <w:spacing w:line="184" w:lineRule="atLeast"/>
        <w:ind w:left="180" w:hanging="180"/>
        <w:rPr>
          <w:rFonts w:ascii="Arial" w:hAnsi="Arial" w:cs="Arial"/>
          <w:b/>
        </w:rPr>
      </w:pPr>
      <w:r w:rsidRPr="00606AF3">
        <w:rPr>
          <w:rFonts w:ascii="Arial" w:hAnsi="Arial" w:cs="Arial"/>
          <w:b/>
        </w:rPr>
        <w:t>+ Specimen site: _________________________</w:t>
      </w:r>
    </w:p>
    <w:p w14:paraId="69D13BC4" w14:textId="77777777" w:rsidR="009079D5" w:rsidRPr="00606AF3" w:rsidRDefault="009079D5" w:rsidP="009079D5">
      <w:pPr>
        <w:shd w:val="clear" w:color="auto" w:fill="FFFFFF"/>
        <w:rPr>
          <w:rFonts w:ascii="Arial" w:hAnsi="Arial" w:cs="Arial"/>
          <w:b/>
        </w:rPr>
      </w:pPr>
    </w:p>
    <w:p w14:paraId="0538A9A8" w14:textId="4F703D71" w:rsidR="009079D5" w:rsidRPr="00606AF3" w:rsidRDefault="006D75A8" w:rsidP="009079D5">
      <w:pPr>
        <w:shd w:val="clear" w:color="auto" w:fill="FFFFFF"/>
        <w:rPr>
          <w:rFonts w:ascii="Arial" w:hAnsi="Arial" w:cs="Arial"/>
          <w:b/>
        </w:rPr>
      </w:pPr>
      <w:r>
        <w:rPr>
          <w:rFonts w:ascii="Arial" w:hAnsi="Arial" w:cs="Arial"/>
          <w:b/>
        </w:rPr>
        <w:t>+ Testing performed on block number(s)</w:t>
      </w:r>
      <w:r w:rsidR="009079D5" w:rsidRPr="00606AF3">
        <w:rPr>
          <w:rFonts w:ascii="Arial" w:hAnsi="Arial" w:cs="Arial"/>
          <w:b/>
        </w:rPr>
        <w:t>: _____________</w:t>
      </w:r>
    </w:p>
    <w:p w14:paraId="70D6AA97" w14:textId="77777777" w:rsidR="00D0174F" w:rsidRPr="00606AF3" w:rsidRDefault="00D0174F" w:rsidP="00F45C6B">
      <w:pPr>
        <w:shd w:val="clear" w:color="auto" w:fill="FFFFFF"/>
        <w:spacing w:line="184" w:lineRule="atLeast"/>
        <w:ind w:left="180" w:hanging="180"/>
        <w:rPr>
          <w:rFonts w:ascii="Arial" w:hAnsi="Arial" w:cs="Arial"/>
          <w:b/>
        </w:rPr>
      </w:pPr>
    </w:p>
    <w:p w14:paraId="5641754B" w14:textId="2BA9BFD9" w:rsidR="00F45C6B" w:rsidRPr="00606AF3" w:rsidRDefault="00F45C6B" w:rsidP="00F45C6B">
      <w:pPr>
        <w:shd w:val="clear" w:color="auto" w:fill="FFFFFF"/>
        <w:spacing w:line="184" w:lineRule="atLeast"/>
        <w:ind w:left="180" w:hanging="180"/>
        <w:rPr>
          <w:rFonts w:ascii="Arial" w:hAnsi="Arial" w:cs="Arial"/>
          <w:b/>
        </w:rPr>
      </w:pPr>
      <w:r w:rsidRPr="00606AF3">
        <w:rPr>
          <w:rFonts w:ascii="Arial" w:hAnsi="Arial" w:cs="Arial"/>
          <w:b/>
        </w:rPr>
        <w:t xml:space="preserve">+ Immunohistochemistry (IHC) </w:t>
      </w:r>
      <w:r w:rsidR="002E747D" w:rsidRPr="00606AF3">
        <w:rPr>
          <w:rFonts w:ascii="Arial" w:hAnsi="Arial" w:cs="Arial"/>
          <w:b/>
        </w:rPr>
        <w:t xml:space="preserve">Results </w:t>
      </w:r>
      <w:r w:rsidRPr="00606AF3">
        <w:rPr>
          <w:rFonts w:ascii="Arial" w:hAnsi="Arial" w:cs="Arial"/>
          <w:b/>
        </w:rPr>
        <w:t>for Mismatch Repair (MMR) Proteins (select all that apply)</w:t>
      </w:r>
      <w:bookmarkStart w:id="0" w:name="_GoBack"/>
      <w:bookmarkEnd w:id="0"/>
      <w:r w:rsidRPr="00606AF3">
        <w:rPr>
          <w:rFonts w:ascii="Arial" w:hAnsi="Arial" w:cs="Arial"/>
          <w:b/>
        </w:rPr>
        <w:t xml:space="preserve"> </w:t>
      </w:r>
    </w:p>
    <w:p w14:paraId="283DAC3E"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 ___ MLH1</w:t>
      </w:r>
    </w:p>
    <w:p w14:paraId="610592E0"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Intact</w:t>
      </w:r>
      <w:proofErr w:type="gramEnd"/>
      <w:r w:rsidRPr="00606AF3">
        <w:rPr>
          <w:rFonts w:ascii="Arial" w:hAnsi="Arial" w:cs="Arial"/>
        </w:rPr>
        <w:t> nuclear expression</w:t>
      </w:r>
    </w:p>
    <w:p w14:paraId="2DE078BD"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___ Loss of nuclear expression</w:t>
      </w:r>
    </w:p>
    <w:p w14:paraId="1784AA94"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Cannot</w:t>
      </w:r>
      <w:proofErr w:type="gramEnd"/>
      <w:r w:rsidRPr="00606AF3">
        <w:rPr>
          <w:rFonts w:ascii="Arial" w:hAnsi="Arial" w:cs="Arial"/>
        </w:rPr>
        <w:t xml:space="preserve"> be determined (explain): _____________________</w:t>
      </w:r>
    </w:p>
    <w:p w14:paraId="5790A0EB"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 ___ MSH2</w:t>
      </w:r>
    </w:p>
    <w:p w14:paraId="627A3734"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Intact</w:t>
      </w:r>
      <w:proofErr w:type="gramEnd"/>
      <w:r w:rsidRPr="00606AF3">
        <w:rPr>
          <w:rFonts w:ascii="Arial" w:hAnsi="Arial" w:cs="Arial"/>
        </w:rPr>
        <w:t xml:space="preserve"> nuclear expression</w:t>
      </w:r>
    </w:p>
    <w:p w14:paraId="05A4ABF2"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___ Loss of nuclear expression</w:t>
      </w:r>
    </w:p>
    <w:p w14:paraId="19652587"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Cannot</w:t>
      </w:r>
      <w:proofErr w:type="gramEnd"/>
      <w:r w:rsidRPr="00606AF3">
        <w:rPr>
          <w:rFonts w:ascii="Arial" w:hAnsi="Arial" w:cs="Arial"/>
        </w:rPr>
        <w:t xml:space="preserve"> be determined (explain): _____________________</w:t>
      </w:r>
    </w:p>
    <w:p w14:paraId="585D71E0"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 ___ MSH6</w:t>
      </w:r>
    </w:p>
    <w:p w14:paraId="13E6834E"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Intact</w:t>
      </w:r>
      <w:proofErr w:type="gramEnd"/>
      <w:r w:rsidRPr="00606AF3">
        <w:rPr>
          <w:rFonts w:ascii="Arial" w:hAnsi="Arial" w:cs="Arial"/>
        </w:rPr>
        <w:t xml:space="preserve"> nuclear expression</w:t>
      </w:r>
    </w:p>
    <w:p w14:paraId="0D481484"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___ Loss of nuclear expression</w:t>
      </w:r>
    </w:p>
    <w:p w14:paraId="2147C2E1"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Cannot</w:t>
      </w:r>
      <w:proofErr w:type="gramEnd"/>
      <w:r w:rsidRPr="00606AF3">
        <w:rPr>
          <w:rFonts w:ascii="Arial" w:hAnsi="Arial" w:cs="Arial"/>
        </w:rPr>
        <w:t xml:space="preserve"> be determined (explain): _____________________</w:t>
      </w:r>
    </w:p>
    <w:p w14:paraId="590BEAAF"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 ___ PMS2</w:t>
      </w:r>
    </w:p>
    <w:p w14:paraId="39371736"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Intact</w:t>
      </w:r>
      <w:proofErr w:type="gramEnd"/>
      <w:r w:rsidRPr="00606AF3">
        <w:rPr>
          <w:rFonts w:ascii="Arial" w:hAnsi="Arial" w:cs="Arial"/>
        </w:rPr>
        <w:t xml:space="preserve"> nuclear expression</w:t>
      </w:r>
    </w:p>
    <w:p w14:paraId="11825214" w14:textId="77777777" w:rsidR="00F45C6B" w:rsidRPr="00606AF3" w:rsidRDefault="00F45C6B" w:rsidP="00F45C6B">
      <w:pPr>
        <w:shd w:val="clear" w:color="auto" w:fill="FFFFFF"/>
        <w:spacing w:line="184" w:lineRule="atLeast"/>
        <w:ind w:left="360"/>
        <w:rPr>
          <w:rFonts w:ascii="Arial" w:hAnsi="Arial" w:cs="Arial"/>
        </w:rPr>
      </w:pPr>
      <w:r w:rsidRPr="00606AF3">
        <w:rPr>
          <w:rFonts w:ascii="Arial" w:hAnsi="Arial" w:cs="Arial"/>
        </w:rPr>
        <w:t>+ ___ Loss of nuclear expression</w:t>
      </w:r>
    </w:p>
    <w:p w14:paraId="4F938C7A" w14:textId="69AC99DA" w:rsidR="00F45C6B" w:rsidRDefault="00F45C6B" w:rsidP="00F45C6B">
      <w:pPr>
        <w:shd w:val="clear" w:color="auto" w:fill="FFFFFF"/>
        <w:spacing w:line="184" w:lineRule="atLeast"/>
        <w:ind w:left="360"/>
        <w:rPr>
          <w:rFonts w:ascii="Arial" w:hAnsi="Arial" w:cs="Arial"/>
        </w:rPr>
      </w:pPr>
      <w:r w:rsidRPr="00606AF3">
        <w:rPr>
          <w:rFonts w:ascii="Arial" w:hAnsi="Arial" w:cs="Arial"/>
        </w:rPr>
        <w:t xml:space="preserve">+ ___ </w:t>
      </w:r>
      <w:proofErr w:type="gramStart"/>
      <w:r w:rsidRPr="00606AF3">
        <w:rPr>
          <w:rFonts w:ascii="Arial" w:hAnsi="Arial" w:cs="Arial"/>
        </w:rPr>
        <w:t>Cannot</w:t>
      </w:r>
      <w:proofErr w:type="gramEnd"/>
      <w:r w:rsidRPr="00606AF3">
        <w:rPr>
          <w:rFonts w:ascii="Arial" w:hAnsi="Arial" w:cs="Arial"/>
        </w:rPr>
        <w:t xml:space="preserve"> be determined (explain): _____________________</w:t>
      </w:r>
    </w:p>
    <w:p w14:paraId="1D973D2E" w14:textId="62B1B4DF" w:rsidR="00103125" w:rsidRDefault="00103125" w:rsidP="00F45C6B">
      <w:pPr>
        <w:shd w:val="clear" w:color="auto" w:fill="FFFFFF"/>
        <w:spacing w:line="184" w:lineRule="atLeast"/>
        <w:ind w:left="360"/>
        <w:rPr>
          <w:rFonts w:ascii="Arial" w:hAnsi="Arial" w:cs="Arial"/>
        </w:rPr>
      </w:pPr>
    </w:p>
    <w:p w14:paraId="5674BF1A" w14:textId="62C3872C" w:rsidR="00103125" w:rsidRPr="00606AF3" w:rsidRDefault="00103125" w:rsidP="00526467">
      <w:pPr>
        <w:shd w:val="clear" w:color="auto" w:fill="FFFFFF"/>
        <w:spacing w:line="184" w:lineRule="atLeast"/>
        <w:rPr>
          <w:rFonts w:ascii="Arial" w:hAnsi="Arial" w:cs="Arial"/>
        </w:rPr>
      </w:pPr>
      <w:r>
        <w:rPr>
          <w:rFonts w:ascii="Arial" w:hAnsi="Arial" w:cs="Arial"/>
        </w:rPr>
        <w:t>+___</w:t>
      </w:r>
      <w:r w:rsidRPr="00103125">
        <w:rPr>
          <w:rFonts w:ascii="Arial" w:hAnsi="Arial" w:cs="Arial"/>
        </w:rPr>
        <w:t>Background non-neoplastic tissue/internal control shows intact nuclear expressio</w:t>
      </w:r>
      <w:r>
        <w:rPr>
          <w:rFonts w:ascii="Arial" w:hAnsi="Arial" w:cs="Arial"/>
        </w:rPr>
        <w:t>n</w:t>
      </w:r>
    </w:p>
    <w:p w14:paraId="713EA117" w14:textId="77777777" w:rsidR="00F45C6B" w:rsidRPr="00606AF3" w:rsidRDefault="00F45C6B" w:rsidP="00F45C6B">
      <w:pPr>
        <w:shd w:val="clear" w:color="auto" w:fill="FFFFFF"/>
        <w:spacing w:line="184" w:lineRule="atLeast"/>
        <w:rPr>
          <w:rFonts w:ascii="Arial" w:hAnsi="Arial" w:cs="Arial"/>
        </w:rPr>
      </w:pPr>
    </w:p>
    <w:p w14:paraId="0AB6E5E5" w14:textId="671B97CB" w:rsidR="00F45C6B" w:rsidRPr="00606AF3" w:rsidRDefault="00F45C6B" w:rsidP="00F45C6B">
      <w:pPr>
        <w:shd w:val="clear" w:color="auto" w:fill="FFFFFF"/>
        <w:spacing w:line="184" w:lineRule="atLeast"/>
        <w:rPr>
          <w:rFonts w:ascii="Arial" w:hAnsi="Arial" w:cs="Arial"/>
          <w:b/>
        </w:rPr>
      </w:pPr>
      <w:r w:rsidRPr="00606AF3">
        <w:rPr>
          <w:rFonts w:ascii="Arial" w:hAnsi="Arial" w:cs="Arial"/>
          <w:b/>
        </w:rPr>
        <w:t xml:space="preserve">+ </w:t>
      </w:r>
      <w:r w:rsidR="00C2212F" w:rsidRPr="00606AF3">
        <w:rPr>
          <w:rFonts w:ascii="Arial" w:hAnsi="Arial" w:cs="Arial"/>
          <w:b/>
        </w:rPr>
        <w:t>Mismatch Repair</w:t>
      </w:r>
      <w:r w:rsidR="00191AE7" w:rsidRPr="00606AF3">
        <w:rPr>
          <w:rFonts w:ascii="Arial" w:hAnsi="Arial" w:cs="Arial"/>
          <w:b/>
        </w:rPr>
        <w:t xml:space="preserve"> (MMR)</w:t>
      </w:r>
      <w:r w:rsidR="00C2212F" w:rsidRPr="00606AF3">
        <w:rPr>
          <w:rFonts w:ascii="Arial" w:hAnsi="Arial" w:cs="Arial"/>
          <w:b/>
        </w:rPr>
        <w:t xml:space="preserve"> </w:t>
      </w:r>
      <w:r w:rsidRPr="00606AF3">
        <w:rPr>
          <w:rFonts w:ascii="Arial" w:hAnsi="Arial" w:cs="Arial"/>
          <w:b/>
        </w:rPr>
        <w:t>Interpretation</w:t>
      </w:r>
    </w:p>
    <w:p w14:paraId="259E434E" w14:textId="77777777" w:rsidR="00F45C6B" w:rsidRPr="00606AF3" w:rsidRDefault="00F45C6B" w:rsidP="00606AF3">
      <w:pPr>
        <w:shd w:val="clear" w:color="auto" w:fill="FFFFFF"/>
        <w:spacing w:line="184" w:lineRule="atLeast"/>
        <w:ind w:left="540" w:hanging="540"/>
        <w:rPr>
          <w:rFonts w:ascii="Arial" w:hAnsi="Arial" w:cs="Arial"/>
        </w:rPr>
      </w:pPr>
      <w:r w:rsidRPr="00606AF3">
        <w:rPr>
          <w:rFonts w:ascii="Arial" w:hAnsi="Arial" w:cs="Arial"/>
        </w:rPr>
        <w:t>+ ___ No loss of nuclear expression of MMR proteins: No evidence of deficient mismatch repair (low probability of MSI-H)</w:t>
      </w:r>
    </w:p>
    <w:p w14:paraId="4388DB41" w14:textId="0D354F92" w:rsidR="00F45C6B" w:rsidRPr="00606AF3" w:rsidRDefault="00F45C6B" w:rsidP="00F45C6B">
      <w:pPr>
        <w:shd w:val="clear" w:color="auto" w:fill="FFFFFF"/>
        <w:spacing w:line="184" w:lineRule="atLeast"/>
        <w:ind w:left="540" w:hanging="540"/>
        <w:rPr>
          <w:rFonts w:ascii="Arial" w:hAnsi="Arial" w:cs="Arial"/>
        </w:rPr>
      </w:pPr>
      <w:r w:rsidRPr="00606AF3">
        <w:rPr>
          <w:rFonts w:ascii="Arial" w:hAnsi="Arial" w:cs="Arial"/>
        </w:rPr>
        <w:t xml:space="preserve">+ ___ Loss of nuclear expression of one or more MMR proteins: </w:t>
      </w:r>
      <w:r w:rsidR="00526467">
        <w:rPr>
          <w:rFonts w:ascii="Arial" w:hAnsi="Arial" w:cs="Arial"/>
        </w:rPr>
        <w:t>d</w:t>
      </w:r>
      <w:r w:rsidRPr="00606AF3">
        <w:rPr>
          <w:rFonts w:ascii="Arial" w:hAnsi="Arial" w:cs="Arial"/>
        </w:rPr>
        <w:t xml:space="preserve">eficient mismatch repair </w:t>
      </w:r>
    </w:p>
    <w:p w14:paraId="7450373C" w14:textId="77777777" w:rsidR="00F45C6B" w:rsidRPr="00606AF3" w:rsidRDefault="00F45C6B" w:rsidP="00F45C6B">
      <w:pPr>
        <w:shd w:val="clear" w:color="auto" w:fill="FFFFFF"/>
        <w:spacing w:line="184" w:lineRule="atLeast"/>
        <w:rPr>
          <w:rFonts w:ascii="Arial" w:hAnsi="Arial" w:cs="Arial"/>
        </w:rPr>
      </w:pPr>
    </w:p>
    <w:p w14:paraId="4463E4D8" w14:textId="4B07B916" w:rsidR="00F45C6B" w:rsidRPr="00606AF3" w:rsidRDefault="00F45C6B" w:rsidP="00F45C6B">
      <w:pPr>
        <w:keepNext/>
        <w:shd w:val="clear" w:color="auto" w:fill="FFFFFF"/>
        <w:spacing w:line="184" w:lineRule="atLeast"/>
        <w:rPr>
          <w:rFonts w:ascii="Arial" w:hAnsi="Arial" w:cs="Arial"/>
          <w:b/>
          <w:lang w:val="it-IT"/>
        </w:rPr>
      </w:pPr>
      <w:r w:rsidRPr="00606AF3">
        <w:rPr>
          <w:rFonts w:ascii="Arial" w:hAnsi="Arial" w:cs="Arial"/>
          <w:b/>
          <w:iCs/>
          <w:lang w:val="it-IT"/>
        </w:rPr>
        <w:t>+ Microsatellite Instability</w:t>
      </w:r>
      <w:r w:rsidR="00894D37" w:rsidRPr="00606AF3">
        <w:rPr>
          <w:rFonts w:ascii="Arial" w:hAnsi="Arial" w:cs="Arial"/>
          <w:b/>
          <w:iCs/>
          <w:lang w:val="it-IT"/>
        </w:rPr>
        <w:t xml:space="preserve"> </w:t>
      </w:r>
      <w:r w:rsidR="00191AE7" w:rsidRPr="00606AF3">
        <w:rPr>
          <w:rFonts w:ascii="Arial" w:hAnsi="Arial" w:cs="Arial"/>
          <w:b/>
          <w:iCs/>
          <w:lang w:val="it-IT"/>
        </w:rPr>
        <w:t xml:space="preserve">(MSI) </w:t>
      </w:r>
      <w:r w:rsidR="00894D37" w:rsidRPr="00606AF3">
        <w:rPr>
          <w:rFonts w:ascii="Arial" w:hAnsi="Arial" w:cs="Arial"/>
          <w:b/>
          <w:iCs/>
          <w:lang w:val="it-IT"/>
        </w:rPr>
        <w:t>Interpretation</w:t>
      </w:r>
      <w:r w:rsidRPr="00606AF3">
        <w:rPr>
          <w:rFonts w:ascii="Arial" w:hAnsi="Arial" w:cs="Arial"/>
          <w:b/>
          <w:iCs/>
          <w:lang w:val="it-IT"/>
        </w:rPr>
        <w:t xml:space="preserve"> </w:t>
      </w:r>
    </w:p>
    <w:p w14:paraId="474F0976" w14:textId="77777777" w:rsidR="00F45C6B" w:rsidRPr="00606AF3" w:rsidRDefault="00F45C6B" w:rsidP="00F45C6B">
      <w:pPr>
        <w:keepNext/>
        <w:shd w:val="clear" w:color="auto" w:fill="FFFFFF"/>
        <w:spacing w:line="184" w:lineRule="atLeast"/>
        <w:rPr>
          <w:rFonts w:ascii="Arial" w:hAnsi="Arial" w:cs="Arial"/>
        </w:rPr>
      </w:pPr>
      <w:r w:rsidRPr="00606AF3">
        <w:rPr>
          <w:rFonts w:ascii="Arial" w:hAnsi="Arial" w:cs="Arial"/>
        </w:rPr>
        <w:t>+ ___ MSI–Stable (MSS)</w:t>
      </w:r>
    </w:p>
    <w:p w14:paraId="3E2AC949" w14:textId="77777777" w:rsidR="00F45C6B" w:rsidRPr="00606AF3" w:rsidRDefault="00F45C6B" w:rsidP="00F45C6B">
      <w:pPr>
        <w:keepNext/>
        <w:shd w:val="clear" w:color="auto" w:fill="FFFFFF"/>
        <w:spacing w:line="184" w:lineRule="atLeast"/>
        <w:rPr>
          <w:rFonts w:ascii="Arial" w:hAnsi="Arial" w:cs="Arial"/>
        </w:rPr>
      </w:pPr>
      <w:r w:rsidRPr="00606AF3">
        <w:rPr>
          <w:rFonts w:ascii="Arial" w:hAnsi="Arial" w:cs="Arial"/>
        </w:rPr>
        <w:t>+ ___ MSI–Low (MSI-L)</w:t>
      </w:r>
    </w:p>
    <w:p w14:paraId="0A78D20F" w14:textId="77777777" w:rsidR="00F45C6B" w:rsidRPr="00606AF3" w:rsidRDefault="00F45C6B" w:rsidP="00F45C6B">
      <w:pPr>
        <w:keepNext/>
        <w:shd w:val="clear" w:color="auto" w:fill="FFFFFF"/>
        <w:spacing w:line="184" w:lineRule="atLeast"/>
        <w:ind w:left="720"/>
        <w:rPr>
          <w:rFonts w:ascii="Arial" w:hAnsi="Arial" w:cs="Arial"/>
        </w:rPr>
      </w:pPr>
      <w:r w:rsidRPr="00606AF3">
        <w:rPr>
          <w:rFonts w:ascii="Arial" w:hAnsi="Arial" w:cs="Arial"/>
        </w:rPr>
        <w:t>+ ___ 1%-29% of the markers exhibit instability</w:t>
      </w:r>
    </w:p>
    <w:p w14:paraId="581F4970" w14:textId="608D8E97" w:rsidR="00F45C6B" w:rsidRPr="00606AF3" w:rsidRDefault="00F45C6B" w:rsidP="00F45C6B">
      <w:pPr>
        <w:keepNext/>
        <w:shd w:val="clear" w:color="auto" w:fill="FFFFFF"/>
        <w:spacing w:line="184" w:lineRule="atLeast"/>
        <w:ind w:left="720"/>
        <w:rPr>
          <w:rFonts w:ascii="Arial" w:hAnsi="Arial" w:cs="Arial"/>
        </w:rPr>
      </w:pPr>
      <w:r w:rsidRPr="00606AF3">
        <w:rPr>
          <w:rFonts w:ascii="Arial" w:hAnsi="Arial" w:cs="Arial"/>
        </w:rPr>
        <w:t>+ ___ 1 of the 5 NCI or mononucleotide markers exhibit</w:t>
      </w:r>
      <w:r w:rsidR="00A76CD5">
        <w:rPr>
          <w:rFonts w:ascii="Arial" w:hAnsi="Arial" w:cs="Arial"/>
        </w:rPr>
        <w:t>s</w:t>
      </w:r>
      <w:r w:rsidRPr="00606AF3">
        <w:rPr>
          <w:rFonts w:ascii="Arial" w:hAnsi="Arial" w:cs="Arial"/>
        </w:rPr>
        <w:t xml:space="preserve"> instability</w:t>
      </w:r>
    </w:p>
    <w:p w14:paraId="43512C2C" w14:textId="77777777" w:rsidR="00F45C6B" w:rsidRPr="00606AF3" w:rsidRDefault="00F45C6B" w:rsidP="00F45C6B">
      <w:pPr>
        <w:shd w:val="clear" w:color="auto" w:fill="FFFFFF"/>
        <w:spacing w:line="184" w:lineRule="atLeast"/>
        <w:ind w:left="720"/>
        <w:rPr>
          <w:rFonts w:ascii="Arial" w:hAnsi="Arial" w:cs="Arial"/>
        </w:rPr>
      </w:pPr>
      <w:r w:rsidRPr="00606AF3">
        <w:rPr>
          <w:rFonts w:ascii="Arial" w:hAnsi="Arial" w:cs="Arial"/>
        </w:rPr>
        <w:t xml:space="preserve">+ ___ </w:t>
      </w:r>
      <w:proofErr w:type="gramStart"/>
      <w:r w:rsidRPr="00606AF3">
        <w:rPr>
          <w:rFonts w:ascii="Arial" w:hAnsi="Arial" w:cs="Arial"/>
        </w:rPr>
        <w:t>Other</w:t>
      </w:r>
      <w:proofErr w:type="gramEnd"/>
      <w:r w:rsidRPr="00606AF3">
        <w:rPr>
          <w:rFonts w:ascii="Arial" w:hAnsi="Arial" w:cs="Arial"/>
        </w:rPr>
        <w:t xml:space="preserve"> (specify): _______________________</w:t>
      </w:r>
    </w:p>
    <w:p w14:paraId="1C186FB3"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 ___ MSI–High (MSI-H)</w:t>
      </w:r>
    </w:p>
    <w:p w14:paraId="7081E617" w14:textId="77777777" w:rsidR="00F45C6B" w:rsidRPr="00606AF3" w:rsidRDefault="00F45C6B" w:rsidP="00F45C6B">
      <w:pPr>
        <w:shd w:val="clear" w:color="auto" w:fill="FFFFFF"/>
        <w:spacing w:line="184" w:lineRule="atLeast"/>
        <w:ind w:left="720"/>
        <w:rPr>
          <w:rFonts w:ascii="Arial" w:hAnsi="Arial" w:cs="Arial"/>
        </w:rPr>
      </w:pPr>
      <w:r w:rsidRPr="00606AF3">
        <w:rPr>
          <w:rFonts w:ascii="Arial" w:hAnsi="Arial" w:cs="Arial"/>
        </w:rPr>
        <w:t>+ ___ ≥30% of the markers exhibit instability</w:t>
      </w:r>
    </w:p>
    <w:p w14:paraId="4264E5CF" w14:textId="77777777" w:rsidR="00F45C6B" w:rsidRPr="00606AF3" w:rsidRDefault="00F45C6B" w:rsidP="00F45C6B">
      <w:pPr>
        <w:shd w:val="clear" w:color="auto" w:fill="FFFFFF"/>
        <w:spacing w:line="184" w:lineRule="atLeast"/>
        <w:ind w:left="720"/>
        <w:rPr>
          <w:rFonts w:ascii="Arial" w:hAnsi="Arial" w:cs="Arial"/>
        </w:rPr>
      </w:pPr>
      <w:r w:rsidRPr="00606AF3">
        <w:rPr>
          <w:rFonts w:ascii="Arial" w:hAnsi="Arial" w:cs="Arial"/>
        </w:rPr>
        <w:t>+ ___ 2 or more of the 5 NCI or mononucleotide markers exhibit instability</w:t>
      </w:r>
    </w:p>
    <w:p w14:paraId="33D10DCB" w14:textId="77777777" w:rsidR="00F45C6B" w:rsidRPr="00606AF3" w:rsidRDefault="00F45C6B" w:rsidP="00F45C6B">
      <w:pPr>
        <w:shd w:val="clear" w:color="auto" w:fill="FFFFFF"/>
        <w:spacing w:line="184" w:lineRule="atLeast"/>
        <w:ind w:left="720"/>
        <w:rPr>
          <w:rFonts w:ascii="Arial" w:hAnsi="Arial" w:cs="Arial"/>
        </w:rPr>
      </w:pPr>
      <w:r w:rsidRPr="00606AF3">
        <w:rPr>
          <w:rFonts w:ascii="Arial" w:hAnsi="Arial" w:cs="Arial"/>
        </w:rPr>
        <w:t xml:space="preserve">+ ___ </w:t>
      </w:r>
      <w:proofErr w:type="gramStart"/>
      <w:r w:rsidRPr="00606AF3">
        <w:rPr>
          <w:rFonts w:ascii="Arial" w:hAnsi="Arial" w:cs="Arial"/>
        </w:rPr>
        <w:t>Other</w:t>
      </w:r>
      <w:proofErr w:type="gramEnd"/>
      <w:r w:rsidRPr="00606AF3">
        <w:rPr>
          <w:rFonts w:ascii="Arial" w:hAnsi="Arial" w:cs="Arial"/>
        </w:rPr>
        <w:t xml:space="preserve"> (specify): _______________________</w:t>
      </w:r>
    </w:p>
    <w:p w14:paraId="1B071E02" w14:textId="00E6FF0A" w:rsidR="00F45C6B" w:rsidRDefault="00F45C6B" w:rsidP="007C7B5D">
      <w:pPr>
        <w:shd w:val="clear" w:color="auto" w:fill="FFFFFF"/>
        <w:spacing w:line="184" w:lineRule="atLeast"/>
        <w:rPr>
          <w:rFonts w:ascii="Arial" w:hAnsi="Arial" w:cs="Arial"/>
        </w:rPr>
      </w:pPr>
      <w:r w:rsidRPr="00606AF3">
        <w:rPr>
          <w:rFonts w:ascii="Arial" w:hAnsi="Arial" w:cs="Arial"/>
        </w:rPr>
        <w:t>+ ___ MSI</w:t>
      </w:r>
      <w:r w:rsidR="00043156" w:rsidRPr="00606AF3">
        <w:rPr>
          <w:rFonts w:ascii="Arial" w:hAnsi="Arial" w:cs="Arial"/>
        </w:rPr>
        <w:t>–</w:t>
      </w:r>
      <w:r w:rsidR="005A6ACC">
        <w:rPr>
          <w:rFonts w:ascii="Arial" w:hAnsi="Arial" w:cs="Arial"/>
        </w:rPr>
        <w:t xml:space="preserve">Cannot be determined </w:t>
      </w:r>
      <w:r w:rsidR="00526467">
        <w:rPr>
          <w:rFonts w:ascii="Arial" w:hAnsi="Arial" w:cs="Arial"/>
        </w:rPr>
        <w:t>(explain):________________________________</w:t>
      </w:r>
    </w:p>
    <w:p w14:paraId="6D87CD1D" w14:textId="77777777" w:rsidR="00B8499D" w:rsidRPr="00B8499D" w:rsidRDefault="00B8499D" w:rsidP="00B8499D">
      <w:pPr>
        <w:shd w:val="clear" w:color="auto" w:fill="FFFFFF"/>
        <w:spacing w:before="60" w:line="184" w:lineRule="atLeast"/>
        <w:rPr>
          <w:rFonts w:ascii="Arial" w:hAnsi="Arial" w:cs="Arial"/>
          <w:i/>
          <w:sz w:val="18"/>
          <w:szCs w:val="18"/>
        </w:rPr>
      </w:pPr>
      <w:r w:rsidRPr="00B8499D">
        <w:rPr>
          <w:rFonts w:ascii="Arial" w:hAnsi="Arial" w:cs="Arial"/>
          <w:i/>
          <w:sz w:val="18"/>
          <w:szCs w:val="18"/>
        </w:rPr>
        <w:t>Note: The presence of MSI-H/deficient mismatch repair may also be an indication for additional testing for Lynch syndrome and genetic counselling.</w:t>
      </w:r>
    </w:p>
    <w:p w14:paraId="0DD4C24E" w14:textId="77777777" w:rsidR="00B8499D" w:rsidRPr="00B8499D" w:rsidRDefault="00B8499D" w:rsidP="00B8499D">
      <w:pPr>
        <w:shd w:val="clear" w:color="auto" w:fill="FFFFFF"/>
        <w:spacing w:before="60" w:line="184" w:lineRule="atLeast"/>
        <w:rPr>
          <w:rFonts w:ascii="Arial" w:hAnsi="Arial" w:cs="Arial"/>
          <w:i/>
          <w:sz w:val="18"/>
          <w:szCs w:val="18"/>
        </w:rPr>
      </w:pPr>
    </w:p>
    <w:p w14:paraId="362EEC0D" w14:textId="40E9B6CB" w:rsidR="00B8499D" w:rsidRPr="00B8499D" w:rsidRDefault="00B8499D" w:rsidP="00B8499D">
      <w:pPr>
        <w:shd w:val="clear" w:color="auto" w:fill="FFFFFF"/>
        <w:spacing w:before="60" w:line="184" w:lineRule="atLeast"/>
        <w:rPr>
          <w:rFonts w:ascii="Arial" w:hAnsi="Arial" w:cs="Arial"/>
          <w:i/>
          <w:sz w:val="18"/>
          <w:szCs w:val="18"/>
        </w:rPr>
      </w:pPr>
      <w:r>
        <w:rPr>
          <w:rFonts w:ascii="Arial" w:hAnsi="Arial" w:cs="Arial"/>
          <w:i/>
          <w:sz w:val="18"/>
          <w:szCs w:val="18"/>
        </w:rPr>
        <w:t xml:space="preserve">Note: </w:t>
      </w:r>
      <w:r w:rsidRPr="00B8499D">
        <w:rPr>
          <w:rFonts w:ascii="Arial" w:hAnsi="Arial" w:cs="Arial"/>
          <w:i/>
          <w:sz w:val="18"/>
          <w:szCs w:val="18"/>
        </w:rPr>
        <w:t>Heterogeneous expression of MLH1 and PMS2 has been infrequently encountered in endometrial carcinomas (up to 3% of cases). The incidence of heterogeneous expression in other cancer types and its impact on predicting sensitivity to checkpoint inhibition is not currently known.</w:t>
      </w:r>
    </w:p>
    <w:p w14:paraId="6F8B55D9" w14:textId="77777777" w:rsidR="00B8499D" w:rsidRDefault="00B8499D" w:rsidP="00F45C6B">
      <w:pPr>
        <w:shd w:val="clear" w:color="auto" w:fill="FFFFFF"/>
        <w:spacing w:line="184" w:lineRule="atLeast"/>
        <w:rPr>
          <w:rFonts w:ascii="Arial" w:hAnsi="Arial" w:cs="Arial"/>
        </w:rPr>
      </w:pPr>
    </w:p>
    <w:p w14:paraId="40C5B8F6" w14:textId="77777777" w:rsidR="00F45C6B" w:rsidRPr="00606AF3" w:rsidRDefault="00F45C6B" w:rsidP="00F45C6B">
      <w:pPr>
        <w:shd w:val="clear" w:color="auto" w:fill="FFFFFF"/>
        <w:spacing w:line="184" w:lineRule="atLeast"/>
        <w:rPr>
          <w:rFonts w:ascii="Arial" w:hAnsi="Arial" w:cs="Arial"/>
          <w:b/>
        </w:rPr>
      </w:pPr>
      <w:r w:rsidRPr="00606AF3">
        <w:rPr>
          <w:rFonts w:ascii="Arial" w:hAnsi="Arial" w:cs="Arial"/>
          <w:b/>
        </w:rPr>
        <w:t>+ COMMENT(S)</w:t>
      </w:r>
    </w:p>
    <w:p w14:paraId="7C5584CA"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____________________________________________________________________</w:t>
      </w:r>
    </w:p>
    <w:p w14:paraId="77D427E6" w14:textId="77777777" w:rsidR="00F45C6B" w:rsidRPr="00606AF3" w:rsidRDefault="00F45C6B" w:rsidP="00F45C6B">
      <w:pPr>
        <w:shd w:val="clear" w:color="auto" w:fill="FFFFFF"/>
        <w:spacing w:line="184" w:lineRule="atLeast"/>
        <w:rPr>
          <w:rFonts w:ascii="Arial" w:hAnsi="Arial" w:cs="Arial"/>
        </w:rPr>
      </w:pPr>
      <w:r w:rsidRPr="00606AF3">
        <w:rPr>
          <w:rFonts w:ascii="Arial" w:hAnsi="Arial" w:cs="Arial"/>
        </w:rPr>
        <w:t>____________________________________________________________________</w:t>
      </w:r>
    </w:p>
    <w:p w14:paraId="0135A8BE" w14:textId="162791B5" w:rsidR="003F003E" w:rsidRPr="00F45C6B" w:rsidRDefault="003F003E" w:rsidP="00F45C6B">
      <w:pPr>
        <w:shd w:val="clear" w:color="auto" w:fill="FFFFFF"/>
        <w:rPr>
          <w:rFonts w:cs="Arial"/>
          <w:color w:val="000000"/>
        </w:rPr>
      </w:pPr>
    </w:p>
    <w:sectPr w:rsidR="003F003E" w:rsidRPr="00F45C6B" w:rsidSect="00A00238">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44DB0" w14:textId="77777777" w:rsidR="00C84844" w:rsidRDefault="00C84844">
      <w:pPr>
        <w:rPr>
          <w:rFonts w:ascii="Times New Roman" w:hAnsi="Times New Roman"/>
        </w:rPr>
      </w:pPr>
      <w:r>
        <w:rPr>
          <w:rFonts w:ascii="Times New Roman" w:hAnsi="Times New Roman"/>
        </w:rPr>
        <w:separator/>
      </w:r>
    </w:p>
  </w:endnote>
  <w:endnote w:type="continuationSeparator" w:id="0">
    <w:p w14:paraId="6F905F34" w14:textId="77777777" w:rsidR="00C84844" w:rsidRDefault="00C84844">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CB1E" w14:textId="77777777" w:rsidR="00BE5572" w:rsidRDefault="00D22243">
    <w:pPr>
      <w:pStyle w:val="Footer"/>
      <w:framePr w:wrap="around" w:vAnchor="text" w:hAnchor="margin" w:xAlign="right" w:y="1"/>
      <w:rPr>
        <w:rStyle w:val="PageNumber"/>
      </w:rPr>
    </w:pPr>
    <w:r>
      <w:rPr>
        <w:rStyle w:val="PageNumber"/>
      </w:rPr>
      <w:fldChar w:fldCharType="begin"/>
    </w:r>
    <w:r w:rsidR="00BE5572">
      <w:rPr>
        <w:rStyle w:val="PageNumber"/>
      </w:rPr>
      <w:instrText xml:space="preserve">PAGE  </w:instrText>
    </w:r>
    <w:r>
      <w:rPr>
        <w:rStyle w:val="PageNumber"/>
      </w:rPr>
      <w:fldChar w:fldCharType="end"/>
    </w:r>
  </w:p>
  <w:p w14:paraId="5E631C15" w14:textId="77777777" w:rsidR="00BE5572" w:rsidRDefault="00BE55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FB6EC" w14:textId="77777777" w:rsidR="00BE5572" w:rsidRDefault="00D22243">
    <w:pPr>
      <w:pStyle w:val="Footer"/>
      <w:framePr w:wrap="around" w:vAnchor="text" w:hAnchor="margin" w:xAlign="right" w:y="1"/>
      <w:rPr>
        <w:rStyle w:val="PageNumber"/>
      </w:rPr>
    </w:pPr>
    <w:r>
      <w:rPr>
        <w:rStyle w:val="PageNumber"/>
      </w:rPr>
      <w:fldChar w:fldCharType="begin"/>
    </w:r>
    <w:r w:rsidR="00BE5572">
      <w:rPr>
        <w:rStyle w:val="PageNumber"/>
      </w:rPr>
      <w:instrText xml:space="preserve">PAGE  </w:instrText>
    </w:r>
    <w:r>
      <w:rPr>
        <w:rStyle w:val="PageNumber"/>
      </w:rPr>
      <w:fldChar w:fldCharType="separate"/>
    </w:r>
    <w:r w:rsidR="00DD2053">
      <w:rPr>
        <w:rStyle w:val="PageNumber"/>
        <w:noProof/>
      </w:rPr>
      <w:t>2</w:t>
    </w:r>
    <w:r>
      <w:rPr>
        <w:rStyle w:val="PageNumber"/>
      </w:rPr>
      <w:fldChar w:fldCharType="end"/>
    </w:r>
  </w:p>
  <w:p w14:paraId="44B9860D" w14:textId="77777777" w:rsidR="00BE5572" w:rsidRDefault="00BE557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6C8D1" w14:textId="3405D659" w:rsidR="00C037FB" w:rsidRPr="00C037FB" w:rsidRDefault="00C037FB" w:rsidP="00C037FB">
    <w:pPr>
      <w:widowControl w:val="0"/>
      <w:autoSpaceDE w:val="0"/>
      <w:autoSpaceDN w:val="0"/>
      <w:adjustRightInd w:val="0"/>
      <w:rPr>
        <w:rFonts w:ascii="Arial" w:hAnsi="Arial" w:cs="Times New Roman"/>
        <w:color w:val="1F497D"/>
        <w:kern w:val="22"/>
        <w:sz w:val="16"/>
        <w:szCs w:val="16"/>
      </w:rPr>
    </w:pPr>
    <w:r w:rsidRPr="00C037FB">
      <w:rPr>
        <w:rFonts w:ascii="Arial" w:hAnsi="Arial" w:cs="Arial"/>
        <w:b/>
        <w:kern w:val="22"/>
        <w:sz w:val="16"/>
        <w:szCs w:val="16"/>
      </w:rPr>
      <w:t>© 201</w:t>
    </w:r>
    <w:r w:rsidR="00F16790">
      <w:rPr>
        <w:rFonts w:ascii="Arial" w:hAnsi="Arial" w:cs="Arial"/>
        <w:b/>
        <w:kern w:val="22"/>
        <w:sz w:val="16"/>
        <w:szCs w:val="16"/>
      </w:rPr>
      <w:t>8</w:t>
    </w:r>
    <w:r w:rsidRPr="00C037FB">
      <w:rPr>
        <w:rFonts w:ascii="Arial" w:hAnsi="Arial" w:cs="Arial"/>
        <w:b/>
        <w:kern w:val="22"/>
        <w:sz w:val="16"/>
        <w:szCs w:val="16"/>
      </w:rPr>
      <w:t xml:space="preserve"> College of American Pathologists (CAP). All rights reserved.</w:t>
    </w:r>
    <w:r w:rsidRPr="00C037FB">
      <w:rPr>
        <w:rFonts w:ascii="Arial" w:hAnsi="Arial" w:cs="Times New Roman"/>
        <w:color w:val="1F497D"/>
        <w:kern w:val="22"/>
        <w:sz w:val="16"/>
        <w:szCs w:val="16"/>
      </w:rPr>
      <w:t xml:space="preserve"> </w:t>
    </w:r>
  </w:p>
  <w:p w14:paraId="1C66E94D" w14:textId="0253E726" w:rsidR="00DD2053" w:rsidRDefault="00C037FB" w:rsidP="00C037FB">
    <w:pPr>
      <w:widowControl w:val="0"/>
      <w:autoSpaceDE w:val="0"/>
      <w:autoSpaceDN w:val="0"/>
      <w:adjustRightInd w:val="0"/>
    </w:pPr>
    <w:r w:rsidRPr="00C037FB">
      <w:rPr>
        <w:rFonts w:ascii="Arial" w:hAnsi="Arial" w:cs="Times New Roman"/>
        <w:color w:val="000000"/>
        <w:kern w:val="22"/>
        <w:sz w:val="16"/>
        <w:szCs w:val="16"/>
      </w:rPr>
      <w:t xml:space="preserve">For Terms of Use please visit </w:t>
    </w:r>
    <w:hyperlink r:id="rId1" w:history="1">
      <w:r w:rsidRPr="00C037FB">
        <w:rPr>
          <w:rFonts w:ascii="Arial" w:hAnsi="Arial" w:cs="Times New Roman"/>
          <w:color w:val="000000"/>
          <w:kern w:val="22"/>
          <w:sz w:val="16"/>
          <w:szCs w:val="16"/>
          <w:u w:val="single"/>
        </w:rPr>
        <w:t>www.cap.org/cancerprotocols</w:t>
      </w:r>
    </w:hyperlink>
    <w:r w:rsidRPr="00C037FB">
      <w:rPr>
        <w:rFonts w:ascii="Arial" w:hAnsi="Arial" w:cs="Times New Roman"/>
        <w:color w:val="000000"/>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01313" w14:textId="77777777" w:rsidR="0070731E" w:rsidRPr="0070731E" w:rsidRDefault="0070731E" w:rsidP="0070731E">
    <w:pPr>
      <w:tabs>
        <w:tab w:val="center" w:pos="4320"/>
        <w:tab w:val="right" w:pos="8640"/>
      </w:tabs>
      <w:ind w:right="360"/>
      <w:rPr>
        <w:rFonts w:ascii="Arial" w:hAnsi="Arial" w:cs="Arial"/>
        <w:bCs/>
        <w:sz w:val="18"/>
        <w:szCs w:val="18"/>
      </w:rPr>
    </w:pPr>
    <w:r w:rsidRPr="0070731E">
      <w:rPr>
        <w:rFonts w:ascii="Arial" w:hAnsi="Arial" w:cs="Arial"/>
        <w:bCs/>
        <w:sz w:val="18"/>
        <w:szCs w:val="18"/>
      </w:rPr>
      <w:t>+ Data elements preceded by this symbol are not required.</w:t>
    </w:r>
  </w:p>
  <w:p w14:paraId="77CD2635" w14:textId="51D84378" w:rsidR="00BE5572" w:rsidRPr="00B562CA" w:rsidRDefault="00992DD8">
    <w:pPr>
      <w:pStyle w:val="Footer"/>
      <w:jc w:val="right"/>
      <w:rPr>
        <w:rFonts w:ascii="Arial" w:hAnsi="Arial" w:cs="Arial"/>
      </w:rPr>
    </w:pPr>
    <w:r w:rsidRPr="00B562CA">
      <w:rPr>
        <w:rFonts w:ascii="Arial" w:hAnsi="Arial" w:cs="Arial"/>
      </w:rPr>
      <w:fldChar w:fldCharType="begin"/>
    </w:r>
    <w:r w:rsidRPr="00B562CA">
      <w:rPr>
        <w:rFonts w:ascii="Arial" w:hAnsi="Arial" w:cs="Arial"/>
      </w:rPr>
      <w:instrText xml:space="preserve"> PAGE   \* MERGEFORMAT </w:instrText>
    </w:r>
    <w:r w:rsidRPr="00B562CA">
      <w:rPr>
        <w:rFonts w:ascii="Arial" w:hAnsi="Arial" w:cs="Arial"/>
      </w:rPr>
      <w:fldChar w:fldCharType="separate"/>
    </w:r>
    <w:r w:rsidR="00054CB1">
      <w:rPr>
        <w:rFonts w:ascii="Arial" w:hAnsi="Arial" w:cs="Arial"/>
        <w:noProof/>
      </w:rPr>
      <w:t>2</w:t>
    </w:r>
    <w:r w:rsidRPr="00B562CA">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8DF74" w14:textId="77777777" w:rsidR="00C84844" w:rsidRDefault="00C84844">
      <w:pPr>
        <w:rPr>
          <w:rFonts w:ascii="Times New Roman" w:hAnsi="Times New Roman"/>
        </w:rPr>
      </w:pPr>
      <w:r>
        <w:rPr>
          <w:rFonts w:ascii="Times New Roman" w:hAnsi="Times New Roman"/>
        </w:rPr>
        <w:separator/>
      </w:r>
    </w:p>
  </w:footnote>
  <w:footnote w:type="continuationSeparator" w:id="0">
    <w:p w14:paraId="7A021E3D" w14:textId="77777777" w:rsidR="00C84844" w:rsidRDefault="00C84844">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4A398" w14:textId="77777777" w:rsidR="00BE5572" w:rsidRPr="00DD2053" w:rsidRDefault="00BE5572">
    <w:pPr>
      <w:pStyle w:val="Header"/>
      <w:tabs>
        <w:tab w:val="clear" w:pos="4320"/>
        <w:tab w:val="clear" w:pos="8640"/>
        <w:tab w:val="right" w:pos="10080"/>
      </w:tabs>
      <w:rPr>
        <w:rFonts w:ascii="Arial" w:hAnsi="Arial" w:cs="Arial"/>
        <w:b/>
      </w:rPr>
    </w:pPr>
    <w:r w:rsidRPr="00DD2053">
      <w:rPr>
        <w:rFonts w:ascii="Arial" w:hAnsi="Arial" w:cs="Arial"/>
        <w:b/>
      </w:rPr>
      <w:t>CAP Approved</w:t>
    </w:r>
    <w:r w:rsidRPr="00DD2053">
      <w:rPr>
        <w:rFonts w:ascii="Arial" w:hAnsi="Arial" w:cs="Arial"/>
        <w:b/>
      </w:rPr>
      <w:tab/>
      <w:t>Gastric • HER2 Biomarkers</w:t>
    </w:r>
  </w:p>
  <w:p w14:paraId="6B54B464" w14:textId="77777777" w:rsidR="00BE5572" w:rsidRDefault="00BE5572">
    <w:pPr>
      <w:pStyle w:val="Header"/>
      <w:tabs>
        <w:tab w:val="clear" w:pos="4320"/>
        <w:tab w:val="clear" w:pos="8640"/>
        <w:tab w:val="right" w:pos="10080"/>
      </w:tabs>
      <w:rPr>
        <w:rFonts w:ascii="Arial" w:hAnsi="Arial" w:cs="Arial"/>
      </w:rPr>
    </w:pPr>
    <w:r w:rsidRPr="00DD2053">
      <w:rPr>
        <w:rFonts w:ascii="Arial" w:hAnsi="Arial" w:cs="Arial"/>
      </w:rPr>
      <w:tab/>
      <w:t>GastricHER2Biomarkers 1.0.0.0</w:t>
    </w:r>
  </w:p>
  <w:p w14:paraId="2B9946AF" w14:textId="77777777" w:rsidR="00DD2053" w:rsidRPr="00DD2053" w:rsidRDefault="00DD2053">
    <w:pPr>
      <w:pStyle w:val="Header"/>
      <w:tabs>
        <w:tab w:val="clear" w:pos="4320"/>
        <w:tab w:val="clear" w:pos="8640"/>
        <w:tab w:val="right" w:pos="10080"/>
      </w:tabs>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EA34C" w14:textId="705A6AF6" w:rsidR="00BE5572" w:rsidRDefault="009175CD">
    <w:pPr>
      <w:pStyle w:val="Header"/>
    </w:pPr>
    <w:r>
      <w:rPr>
        <w:noProof/>
      </w:rPr>
      <w:drawing>
        <wp:inline distT="0" distB="0" distL="0" distR="0" wp14:anchorId="7B84F231" wp14:editId="094327CC">
          <wp:extent cx="296164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640" cy="514350"/>
                  </a:xfrm>
                  <a:prstGeom prst="rect">
                    <a:avLst/>
                  </a:prstGeom>
                  <a:noFill/>
                </pic:spPr>
              </pic:pic>
            </a:graphicData>
          </a:graphic>
        </wp:inline>
      </w:drawing>
    </w:r>
  </w:p>
  <w:p w14:paraId="713EAAEB" w14:textId="77777777" w:rsidR="009175CD" w:rsidRPr="009175CD" w:rsidRDefault="009175CD">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BD3C" w14:textId="5ED10FD8" w:rsidR="00BE5572" w:rsidRPr="00DD2053" w:rsidRDefault="00F16790">
    <w:pPr>
      <w:pStyle w:val="Header"/>
      <w:tabs>
        <w:tab w:val="clear" w:pos="4320"/>
        <w:tab w:val="clear" w:pos="8640"/>
        <w:tab w:val="right" w:pos="10080"/>
      </w:tabs>
      <w:rPr>
        <w:rFonts w:ascii="Arial" w:hAnsi="Arial" w:cs="Arial"/>
        <w:b/>
      </w:rPr>
    </w:pPr>
    <w:r>
      <w:rPr>
        <w:rFonts w:ascii="Arial" w:hAnsi="Arial" w:cs="Arial"/>
        <w:b/>
      </w:rPr>
      <w:t>CAP Approved</w:t>
    </w:r>
    <w:r w:rsidR="00BE5572" w:rsidRPr="00DD2053">
      <w:rPr>
        <w:rFonts w:ascii="Arial" w:hAnsi="Arial" w:cs="Arial"/>
        <w:b/>
      </w:rPr>
      <w:tab/>
    </w:r>
    <w:r>
      <w:rPr>
        <w:rFonts w:ascii="Arial" w:hAnsi="Arial" w:cs="Arial"/>
        <w:b/>
      </w:rPr>
      <w:t xml:space="preserve">Biomarker </w:t>
    </w:r>
    <w:r w:rsidR="00BE5572" w:rsidRPr="00DD2053">
      <w:rPr>
        <w:rFonts w:ascii="Arial" w:hAnsi="Arial" w:cs="Arial"/>
        <w:b/>
      </w:rPr>
      <w:t xml:space="preserve">• </w:t>
    </w:r>
    <w:r>
      <w:rPr>
        <w:rFonts w:ascii="Arial" w:hAnsi="Arial" w:cs="Arial"/>
        <w:b/>
      </w:rPr>
      <w:t>DNA Mismatch Repair</w:t>
    </w:r>
    <w:r w:rsidR="00AB0AAB">
      <w:rPr>
        <w:rFonts w:ascii="Arial" w:hAnsi="Arial" w:cs="Arial"/>
        <w:b/>
      </w:rPr>
      <w:t xml:space="preserve"> 1.0.0.1</w:t>
    </w:r>
  </w:p>
  <w:p w14:paraId="1BFB782C" w14:textId="4EC7B755" w:rsidR="00BE5572" w:rsidRPr="00DD2053" w:rsidRDefault="00BE5572">
    <w:pPr>
      <w:pStyle w:val="Header"/>
      <w:tabs>
        <w:tab w:val="clear" w:pos="4320"/>
        <w:tab w:val="clear" w:pos="8640"/>
        <w:tab w:val="right" w:pos="10080"/>
      </w:tabs>
      <w:rPr>
        <w:rFonts w:ascii="Arial" w:hAnsi="Arial" w:cs="Arial"/>
      </w:rPr>
    </w:pPr>
    <w:r w:rsidRPr="00DD2053">
      <w:rP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DE8A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 Chanjuan">
    <w15:presenceInfo w15:providerId="AD" w15:userId="S-1-5-21-1326408308-1533351006-945835055-286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oNotHyphenateCap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9E"/>
    <w:rsid w:val="00007652"/>
    <w:rsid w:val="000169DE"/>
    <w:rsid w:val="000202A5"/>
    <w:rsid w:val="00030F59"/>
    <w:rsid w:val="00043156"/>
    <w:rsid w:val="00044E73"/>
    <w:rsid w:val="00052112"/>
    <w:rsid w:val="00054CB1"/>
    <w:rsid w:val="0005726E"/>
    <w:rsid w:val="00060A21"/>
    <w:rsid w:val="0007504C"/>
    <w:rsid w:val="00080BF9"/>
    <w:rsid w:val="00085BB7"/>
    <w:rsid w:val="00092D29"/>
    <w:rsid w:val="000C5546"/>
    <w:rsid w:val="000D253D"/>
    <w:rsid w:val="000E2AB5"/>
    <w:rsid w:val="00103125"/>
    <w:rsid w:val="0012407F"/>
    <w:rsid w:val="0012546F"/>
    <w:rsid w:val="00126949"/>
    <w:rsid w:val="00132805"/>
    <w:rsid w:val="00132B69"/>
    <w:rsid w:val="00136282"/>
    <w:rsid w:val="00141CDA"/>
    <w:rsid w:val="00164EF6"/>
    <w:rsid w:val="001822C0"/>
    <w:rsid w:val="00183245"/>
    <w:rsid w:val="00184AFC"/>
    <w:rsid w:val="00191AE7"/>
    <w:rsid w:val="001977C4"/>
    <w:rsid w:val="001C41AF"/>
    <w:rsid w:val="00203D14"/>
    <w:rsid w:val="002104B0"/>
    <w:rsid w:val="00216880"/>
    <w:rsid w:val="0022030A"/>
    <w:rsid w:val="002309B6"/>
    <w:rsid w:val="002321EE"/>
    <w:rsid w:val="00256949"/>
    <w:rsid w:val="002A50F0"/>
    <w:rsid w:val="002B7AF7"/>
    <w:rsid w:val="002B7CE2"/>
    <w:rsid w:val="002E4AA5"/>
    <w:rsid w:val="002E747D"/>
    <w:rsid w:val="00332E77"/>
    <w:rsid w:val="00355046"/>
    <w:rsid w:val="0037114E"/>
    <w:rsid w:val="00396FAD"/>
    <w:rsid w:val="003A26C4"/>
    <w:rsid w:val="003B02A3"/>
    <w:rsid w:val="003D4C41"/>
    <w:rsid w:val="003D7162"/>
    <w:rsid w:val="003F003E"/>
    <w:rsid w:val="003F4CB9"/>
    <w:rsid w:val="004218DC"/>
    <w:rsid w:val="00426788"/>
    <w:rsid w:val="0044190F"/>
    <w:rsid w:val="00461F70"/>
    <w:rsid w:val="004877E3"/>
    <w:rsid w:val="004955C4"/>
    <w:rsid w:val="004A2120"/>
    <w:rsid w:val="004C7698"/>
    <w:rsid w:val="004D06FD"/>
    <w:rsid w:val="005027B2"/>
    <w:rsid w:val="00512301"/>
    <w:rsid w:val="00526467"/>
    <w:rsid w:val="005335A1"/>
    <w:rsid w:val="00557DB0"/>
    <w:rsid w:val="00577D70"/>
    <w:rsid w:val="00584B5A"/>
    <w:rsid w:val="005A1065"/>
    <w:rsid w:val="005A2BE8"/>
    <w:rsid w:val="005A6ACC"/>
    <w:rsid w:val="005A7676"/>
    <w:rsid w:val="005C5541"/>
    <w:rsid w:val="005E486E"/>
    <w:rsid w:val="00601BB9"/>
    <w:rsid w:val="00606AF3"/>
    <w:rsid w:val="0062458E"/>
    <w:rsid w:val="0062605A"/>
    <w:rsid w:val="00647170"/>
    <w:rsid w:val="0065225E"/>
    <w:rsid w:val="006D476D"/>
    <w:rsid w:val="006D75A8"/>
    <w:rsid w:val="006E3B69"/>
    <w:rsid w:val="006E3BA0"/>
    <w:rsid w:val="006E43F2"/>
    <w:rsid w:val="006E762B"/>
    <w:rsid w:val="0070731E"/>
    <w:rsid w:val="00731C04"/>
    <w:rsid w:val="00734E33"/>
    <w:rsid w:val="00737139"/>
    <w:rsid w:val="0076335D"/>
    <w:rsid w:val="0077101C"/>
    <w:rsid w:val="0077478F"/>
    <w:rsid w:val="00787C9F"/>
    <w:rsid w:val="007A0099"/>
    <w:rsid w:val="007A5FEE"/>
    <w:rsid w:val="007B7688"/>
    <w:rsid w:val="007C7B5D"/>
    <w:rsid w:val="007D3A6E"/>
    <w:rsid w:val="00812709"/>
    <w:rsid w:val="00826AF8"/>
    <w:rsid w:val="00827AB4"/>
    <w:rsid w:val="00846AB0"/>
    <w:rsid w:val="00861E1B"/>
    <w:rsid w:val="008723D1"/>
    <w:rsid w:val="008905AC"/>
    <w:rsid w:val="00894D37"/>
    <w:rsid w:val="008A05ED"/>
    <w:rsid w:val="008F1761"/>
    <w:rsid w:val="009079D5"/>
    <w:rsid w:val="009147FD"/>
    <w:rsid w:val="009175CD"/>
    <w:rsid w:val="0093092C"/>
    <w:rsid w:val="00935BD5"/>
    <w:rsid w:val="00947467"/>
    <w:rsid w:val="00992DD8"/>
    <w:rsid w:val="00996E5A"/>
    <w:rsid w:val="009979D7"/>
    <w:rsid w:val="009C378E"/>
    <w:rsid w:val="009E4C47"/>
    <w:rsid w:val="009F1DAF"/>
    <w:rsid w:val="00A00238"/>
    <w:rsid w:val="00A12737"/>
    <w:rsid w:val="00A175D2"/>
    <w:rsid w:val="00A17CCC"/>
    <w:rsid w:val="00A352D0"/>
    <w:rsid w:val="00A361AE"/>
    <w:rsid w:val="00A5210B"/>
    <w:rsid w:val="00A6514D"/>
    <w:rsid w:val="00A676F0"/>
    <w:rsid w:val="00A76958"/>
    <w:rsid w:val="00A76CD5"/>
    <w:rsid w:val="00A86A60"/>
    <w:rsid w:val="00A926EA"/>
    <w:rsid w:val="00AA5CCA"/>
    <w:rsid w:val="00AB0AAB"/>
    <w:rsid w:val="00AE11C2"/>
    <w:rsid w:val="00B02930"/>
    <w:rsid w:val="00B06C92"/>
    <w:rsid w:val="00B12312"/>
    <w:rsid w:val="00B16B16"/>
    <w:rsid w:val="00B562CA"/>
    <w:rsid w:val="00B64669"/>
    <w:rsid w:val="00B71D05"/>
    <w:rsid w:val="00B75396"/>
    <w:rsid w:val="00B767A7"/>
    <w:rsid w:val="00B8499D"/>
    <w:rsid w:val="00BA6BA9"/>
    <w:rsid w:val="00BE5572"/>
    <w:rsid w:val="00BE6789"/>
    <w:rsid w:val="00C037FB"/>
    <w:rsid w:val="00C12C87"/>
    <w:rsid w:val="00C2212F"/>
    <w:rsid w:val="00C37834"/>
    <w:rsid w:val="00C57E1C"/>
    <w:rsid w:val="00C60D73"/>
    <w:rsid w:val="00C73285"/>
    <w:rsid w:val="00C84844"/>
    <w:rsid w:val="00CC1F12"/>
    <w:rsid w:val="00CC4379"/>
    <w:rsid w:val="00CD0BB4"/>
    <w:rsid w:val="00CD1146"/>
    <w:rsid w:val="00CE3691"/>
    <w:rsid w:val="00CF76AC"/>
    <w:rsid w:val="00D0174F"/>
    <w:rsid w:val="00D22243"/>
    <w:rsid w:val="00D265C3"/>
    <w:rsid w:val="00D27B8B"/>
    <w:rsid w:val="00D42A58"/>
    <w:rsid w:val="00D51930"/>
    <w:rsid w:val="00D840E9"/>
    <w:rsid w:val="00D84E03"/>
    <w:rsid w:val="00D853BF"/>
    <w:rsid w:val="00DB3D7B"/>
    <w:rsid w:val="00DC599B"/>
    <w:rsid w:val="00DC7428"/>
    <w:rsid w:val="00DD2053"/>
    <w:rsid w:val="00E163E8"/>
    <w:rsid w:val="00E22853"/>
    <w:rsid w:val="00E267D4"/>
    <w:rsid w:val="00E37C9E"/>
    <w:rsid w:val="00E4013D"/>
    <w:rsid w:val="00E50B12"/>
    <w:rsid w:val="00E670BD"/>
    <w:rsid w:val="00E744B8"/>
    <w:rsid w:val="00E80BCB"/>
    <w:rsid w:val="00E93C93"/>
    <w:rsid w:val="00E97A8A"/>
    <w:rsid w:val="00EA1007"/>
    <w:rsid w:val="00EE0F2E"/>
    <w:rsid w:val="00EF07CC"/>
    <w:rsid w:val="00F0086F"/>
    <w:rsid w:val="00F031D4"/>
    <w:rsid w:val="00F16790"/>
    <w:rsid w:val="00F24643"/>
    <w:rsid w:val="00F26884"/>
    <w:rsid w:val="00F41C09"/>
    <w:rsid w:val="00F45C6B"/>
    <w:rsid w:val="00F62BEA"/>
    <w:rsid w:val="00F76217"/>
    <w:rsid w:val="00F855E5"/>
    <w:rsid w:val="00F86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70A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ite" w:uiPriority="0"/>
    <w:lsdException w:name="annotation subjec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Century Gothic" w:hAnsi="Century Gothic" w:cs="Century Gothic"/>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qFormat/>
    <w:pPr>
      <w:keepNext/>
      <w:outlineLvl w:val="1"/>
    </w:pPr>
    <w:rPr>
      <w:rFonts w:cs="Times New Roman"/>
      <w:b/>
      <w:bCs/>
      <w:sz w:val="24"/>
      <w:szCs w:val="24"/>
      <w:u w:val="single"/>
    </w:rPr>
  </w:style>
  <w:style w:type="paragraph" w:styleId="Heading3">
    <w:name w:val="heading 3"/>
    <w:basedOn w:val="Normal"/>
    <w:next w:val="Normal"/>
    <w:qFormat/>
    <w:pPr>
      <w:keepNext/>
      <w:outlineLvl w:val="2"/>
    </w:pPr>
    <w:rPr>
      <w:rFonts w:cs="Times New Roman"/>
      <w:b/>
      <w:bCs/>
      <w:color w:val="0A0905"/>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hAnsi="Cambria" w:cs="Cambria"/>
      <w:b/>
      <w:bCs/>
      <w:kern w:val="32"/>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Cambria" w:hAnsi="Cambria" w:cs="Cambria"/>
      <w:b/>
      <w:bCs/>
      <w:sz w:val="26"/>
      <w:szCs w:val="26"/>
    </w:rPr>
  </w:style>
  <w:style w:type="paragraph" w:styleId="NormalWeb">
    <w:name w:val="Normal (Web)"/>
    <w:basedOn w:val="Normal"/>
    <w:semiHidden/>
    <w:pPr>
      <w:spacing w:before="100" w:beforeAutospacing="1" w:after="100" w:afterAutospacing="1"/>
    </w:pPr>
  </w:style>
  <w:style w:type="character" w:styleId="Strong">
    <w:name w:val="Strong"/>
    <w:qFormat/>
    <w:rPr>
      <w:rFonts w:ascii="Times New Roman" w:hAnsi="Times New Roman" w:cs="Times New Roman"/>
      <w:b/>
      <w:bCs/>
    </w:rPr>
  </w:style>
  <w:style w:type="paragraph" w:customStyle="1" w:styleId="Head2">
    <w:name w:val="Head 2"/>
    <w:basedOn w:val="Normal"/>
    <w:pPr>
      <w:pBdr>
        <w:bottom w:val="single" w:sz="4" w:space="1" w:color="auto"/>
      </w:pBdr>
      <w:tabs>
        <w:tab w:val="left" w:pos="446"/>
      </w:tabs>
      <w:spacing w:after="60"/>
    </w:pPr>
    <w:rPr>
      <w:b/>
      <w:bCs/>
      <w:kern w:val="24"/>
      <w:sz w:val="26"/>
      <w:szCs w:val="26"/>
    </w:rPr>
  </w:style>
  <w:style w:type="character" w:customStyle="1" w:styleId="apple-converted-space">
    <w:name w:val="apple-converted-space"/>
    <w:rPr>
      <w:rFonts w:ascii="Times New Roman" w:hAnsi="Times New Roman" w:cs="Times New Roman"/>
    </w:rPr>
  </w:style>
  <w:style w:type="paragraph" w:styleId="Header">
    <w:name w:val="header"/>
    <w:basedOn w:val="Normal"/>
    <w:semiHidden/>
    <w:pPr>
      <w:tabs>
        <w:tab w:val="center" w:pos="4320"/>
        <w:tab w:val="right" w:pos="8640"/>
      </w:tabs>
    </w:pPr>
  </w:style>
  <w:style w:type="character" w:customStyle="1" w:styleId="HeaderChar">
    <w:name w:val="Header Char"/>
    <w:rPr>
      <w:rFonts w:ascii="Century Gothic" w:hAnsi="Century Gothic" w:cs="Century Gothic"/>
      <w:sz w:val="24"/>
      <w:szCs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rPr>
      <w:rFonts w:ascii="Century Gothic" w:hAnsi="Century Gothic" w:cs="Century Gothic"/>
      <w:sz w:val="24"/>
      <w:szCs w:val="24"/>
      <w:lang w:val="en-US" w:eastAsia="en-US"/>
    </w:rPr>
  </w:style>
  <w:style w:type="character" w:styleId="Emphasis">
    <w:name w:val="Emphasis"/>
    <w:qFormat/>
    <w:rPr>
      <w:rFonts w:ascii="Times New Roman" w:hAnsi="Times New Roman" w:cs="Times New Roman"/>
      <w:i/>
      <w:iCs/>
    </w:rPr>
  </w:style>
  <w:style w:type="character" w:styleId="Hyperlink">
    <w:name w:val="Hyperlink"/>
    <w:semiHidden/>
    <w:rPr>
      <w:rFonts w:ascii="Times New Roman" w:hAnsi="Times New Roman" w:cs="Times New Roman"/>
      <w:color w:val="0000FF"/>
      <w:u w:val="single"/>
    </w:rPr>
  </w:style>
  <w:style w:type="character" w:customStyle="1" w:styleId="jrnl">
    <w:name w:val="jrnl"/>
    <w:rPr>
      <w:rFonts w:ascii="Times New Roman" w:hAnsi="Times New Roman" w:cs="Times New Roman"/>
    </w:rPr>
  </w:style>
  <w:style w:type="character" w:customStyle="1" w:styleId="highlight">
    <w:name w:val="highlight"/>
    <w:rPr>
      <w:rFonts w:ascii="Times New Roman" w:hAnsi="Times New Roman" w:cs="Times New Roman"/>
    </w:rPr>
  </w:style>
  <w:style w:type="paragraph" w:customStyle="1" w:styleId="fulltext-textfulltext-indent">
    <w:name w:val="fulltext-text fulltext-indent"/>
    <w:basedOn w:val="Normal"/>
    <w:pPr>
      <w:spacing w:before="100" w:beforeAutospacing="1" w:after="100" w:afterAutospacing="1"/>
    </w:pPr>
    <w:rPr>
      <w:rFonts w:ascii="Arial Unicode MS" w:eastAsia="Arial Unicode MS" w:hAnsi="Arial Unicode MS" w:cs="Arial Unicode MS"/>
      <w:sz w:val="24"/>
      <w:szCs w:val="24"/>
    </w:rPr>
  </w:style>
  <w:style w:type="character" w:styleId="HTMLCite">
    <w:name w:val="HTML Cite"/>
    <w:semiHidden/>
    <w:rPr>
      <w:rFonts w:ascii="Times New Roman" w:hAnsi="Times New Roman" w:cs="Times New Roman"/>
      <w:i/>
      <w:iCs/>
    </w:rPr>
  </w:style>
  <w:style w:type="character" w:customStyle="1" w:styleId="cit-source">
    <w:name w:val="cit-source"/>
    <w:rPr>
      <w:rFonts w:ascii="Times New Roman" w:hAnsi="Times New Roman" w:cs="Times New Roman"/>
    </w:rPr>
  </w:style>
  <w:style w:type="character" w:customStyle="1" w:styleId="cit-vol">
    <w:name w:val="cit-vol"/>
    <w:rPr>
      <w:rFonts w:ascii="Times New Roman" w:hAnsi="Times New Roman" w:cs="Times New Roman"/>
    </w:rPr>
  </w:style>
  <w:style w:type="character" w:customStyle="1" w:styleId="cit-fpage">
    <w:name w:val="cit-fpage"/>
    <w:rPr>
      <w:rFonts w:ascii="Times New Roman" w:hAnsi="Times New Roman" w:cs="Times New Roman"/>
    </w:rPr>
  </w:style>
  <w:style w:type="character" w:styleId="FollowedHyperlink">
    <w:name w:val="FollowedHyperlink"/>
    <w:semiHidden/>
    <w:rPr>
      <w:rFonts w:ascii="Times New Roman" w:hAnsi="Times New Roman" w:cs="Times New Roman"/>
      <w:color w:val="auto"/>
      <w:u w:val="single"/>
    </w:rPr>
  </w:style>
  <w:style w:type="character" w:styleId="PageNumber">
    <w:name w:val="page number"/>
    <w:uiPriority w:val="99"/>
    <w:rPr>
      <w:rFonts w:cs="Times New Roman"/>
    </w:rPr>
  </w:style>
  <w:style w:type="character" w:styleId="CommentReference">
    <w:name w:val="annotation reference"/>
    <w:semiHidden/>
    <w:unhideWhenUsed/>
    <w:rPr>
      <w:sz w:val="16"/>
      <w:szCs w:val="16"/>
    </w:rPr>
  </w:style>
  <w:style w:type="paragraph" w:styleId="CommentText">
    <w:name w:val="annotation text"/>
    <w:basedOn w:val="Normal"/>
    <w:semiHidden/>
    <w:unhideWhenUsed/>
  </w:style>
  <w:style w:type="character" w:customStyle="1" w:styleId="CommentTextChar">
    <w:name w:val="Comment Text Char"/>
    <w:semiHidden/>
    <w:rPr>
      <w:rFonts w:ascii="Century Gothic" w:hAnsi="Century Gothic" w:cs="Century Gothic"/>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ascii="Century Gothic" w:hAnsi="Century Gothic" w:cs="Century Gothic"/>
      <w:b/>
      <w:bC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Revision">
    <w:name w:val="Revision"/>
    <w:hidden/>
    <w:uiPriority w:val="71"/>
    <w:rsid w:val="00826AF8"/>
    <w:rPr>
      <w:rFonts w:ascii="Century Gothic" w:hAnsi="Century Gothic" w:cs="Century Gothi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ite" w:uiPriority="0"/>
    <w:lsdException w:name="annotation subjec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Century Gothic" w:hAnsi="Century Gothic" w:cs="Century Gothic"/>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qFormat/>
    <w:pPr>
      <w:keepNext/>
      <w:outlineLvl w:val="1"/>
    </w:pPr>
    <w:rPr>
      <w:rFonts w:cs="Times New Roman"/>
      <w:b/>
      <w:bCs/>
      <w:sz w:val="24"/>
      <w:szCs w:val="24"/>
      <w:u w:val="single"/>
    </w:rPr>
  </w:style>
  <w:style w:type="paragraph" w:styleId="Heading3">
    <w:name w:val="heading 3"/>
    <w:basedOn w:val="Normal"/>
    <w:next w:val="Normal"/>
    <w:qFormat/>
    <w:pPr>
      <w:keepNext/>
      <w:outlineLvl w:val="2"/>
    </w:pPr>
    <w:rPr>
      <w:rFonts w:cs="Times New Roman"/>
      <w:b/>
      <w:bCs/>
      <w:color w:val="0A0905"/>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hAnsi="Cambria" w:cs="Cambria"/>
      <w:b/>
      <w:bCs/>
      <w:kern w:val="32"/>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Cambria" w:hAnsi="Cambria" w:cs="Cambria"/>
      <w:b/>
      <w:bCs/>
      <w:sz w:val="26"/>
      <w:szCs w:val="26"/>
    </w:rPr>
  </w:style>
  <w:style w:type="paragraph" w:styleId="NormalWeb">
    <w:name w:val="Normal (Web)"/>
    <w:basedOn w:val="Normal"/>
    <w:semiHidden/>
    <w:pPr>
      <w:spacing w:before="100" w:beforeAutospacing="1" w:after="100" w:afterAutospacing="1"/>
    </w:pPr>
  </w:style>
  <w:style w:type="character" w:styleId="Strong">
    <w:name w:val="Strong"/>
    <w:qFormat/>
    <w:rPr>
      <w:rFonts w:ascii="Times New Roman" w:hAnsi="Times New Roman" w:cs="Times New Roman"/>
      <w:b/>
      <w:bCs/>
    </w:rPr>
  </w:style>
  <w:style w:type="paragraph" w:customStyle="1" w:styleId="Head2">
    <w:name w:val="Head 2"/>
    <w:basedOn w:val="Normal"/>
    <w:pPr>
      <w:pBdr>
        <w:bottom w:val="single" w:sz="4" w:space="1" w:color="auto"/>
      </w:pBdr>
      <w:tabs>
        <w:tab w:val="left" w:pos="446"/>
      </w:tabs>
      <w:spacing w:after="60"/>
    </w:pPr>
    <w:rPr>
      <w:b/>
      <w:bCs/>
      <w:kern w:val="24"/>
      <w:sz w:val="26"/>
      <w:szCs w:val="26"/>
    </w:rPr>
  </w:style>
  <w:style w:type="character" w:customStyle="1" w:styleId="apple-converted-space">
    <w:name w:val="apple-converted-space"/>
    <w:rPr>
      <w:rFonts w:ascii="Times New Roman" w:hAnsi="Times New Roman" w:cs="Times New Roman"/>
    </w:rPr>
  </w:style>
  <w:style w:type="paragraph" w:styleId="Header">
    <w:name w:val="header"/>
    <w:basedOn w:val="Normal"/>
    <w:semiHidden/>
    <w:pPr>
      <w:tabs>
        <w:tab w:val="center" w:pos="4320"/>
        <w:tab w:val="right" w:pos="8640"/>
      </w:tabs>
    </w:pPr>
  </w:style>
  <w:style w:type="character" w:customStyle="1" w:styleId="HeaderChar">
    <w:name w:val="Header Char"/>
    <w:rPr>
      <w:rFonts w:ascii="Century Gothic" w:hAnsi="Century Gothic" w:cs="Century Gothic"/>
      <w:sz w:val="24"/>
      <w:szCs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rPr>
      <w:rFonts w:ascii="Century Gothic" w:hAnsi="Century Gothic" w:cs="Century Gothic"/>
      <w:sz w:val="24"/>
      <w:szCs w:val="24"/>
      <w:lang w:val="en-US" w:eastAsia="en-US"/>
    </w:rPr>
  </w:style>
  <w:style w:type="character" w:styleId="Emphasis">
    <w:name w:val="Emphasis"/>
    <w:qFormat/>
    <w:rPr>
      <w:rFonts w:ascii="Times New Roman" w:hAnsi="Times New Roman" w:cs="Times New Roman"/>
      <w:i/>
      <w:iCs/>
    </w:rPr>
  </w:style>
  <w:style w:type="character" w:styleId="Hyperlink">
    <w:name w:val="Hyperlink"/>
    <w:semiHidden/>
    <w:rPr>
      <w:rFonts w:ascii="Times New Roman" w:hAnsi="Times New Roman" w:cs="Times New Roman"/>
      <w:color w:val="0000FF"/>
      <w:u w:val="single"/>
    </w:rPr>
  </w:style>
  <w:style w:type="character" w:customStyle="1" w:styleId="jrnl">
    <w:name w:val="jrnl"/>
    <w:rPr>
      <w:rFonts w:ascii="Times New Roman" w:hAnsi="Times New Roman" w:cs="Times New Roman"/>
    </w:rPr>
  </w:style>
  <w:style w:type="character" w:customStyle="1" w:styleId="highlight">
    <w:name w:val="highlight"/>
    <w:rPr>
      <w:rFonts w:ascii="Times New Roman" w:hAnsi="Times New Roman" w:cs="Times New Roman"/>
    </w:rPr>
  </w:style>
  <w:style w:type="paragraph" w:customStyle="1" w:styleId="fulltext-textfulltext-indent">
    <w:name w:val="fulltext-text fulltext-indent"/>
    <w:basedOn w:val="Normal"/>
    <w:pPr>
      <w:spacing w:before="100" w:beforeAutospacing="1" w:after="100" w:afterAutospacing="1"/>
    </w:pPr>
    <w:rPr>
      <w:rFonts w:ascii="Arial Unicode MS" w:eastAsia="Arial Unicode MS" w:hAnsi="Arial Unicode MS" w:cs="Arial Unicode MS"/>
      <w:sz w:val="24"/>
      <w:szCs w:val="24"/>
    </w:rPr>
  </w:style>
  <w:style w:type="character" w:styleId="HTMLCite">
    <w:name w:val="HTML Cite"/>
    <w:semiHidden/>
    <w:rPr>
      <w:rFonts w:ascii="Times New Roman" w:hAnsi="Times New Roman" w:cs="Times New Roman"/>
      <w:i/>
      <w:iCs/>
    </w:rPr>
  </w:style>
  <w:style w:type="character" w:customStyle="1" w:styleId="cit-source">
    <w:name w:val="cit-source"/>
    <w:rPr>
      <w:rFonts w:ascii="Times New Roman" w:hAnsi="Times New Roman" w:cs="Times New Roman"/>
    </w:rPr>
  </w:style>
  <w:style w:type="character" w:customStyle="1" w:styleId="cit-vol">
    <w:name w:val="cit-vol"/>
    <w:rPr>
      <w:rFonts w:ascii="Times New Roman" w:hAnsi="Times New Roman" w:cs="Times New Roman"/>
    </w:rPr>
  </w:style>
  <w:style w:type="character" w:customStyle="1" w:styleId="cit-fpage">
    <w:name w:val="cit-fpage"/>
    <w:rPr>
      <w:rFonts w:ascii="Times New Roman" w:hAnsi="Times New Roman" w:cs="Times New Roman"/>
    </w:rPr>
  </w:style>
  <w:style w:type="character" w:styleId="FollowedHyperlink">
    <w:name w:val="FollowedHyperlink"/>
    <w:semiHidden/>
    <w:rPr>
      <w:rFonts w:ascii="Times New Roman" w:hAnsi="Times New Roman" w:cs="Times New Roman"/>
      <w:color w:val="auto"/>
      <w:u w:val="single"/>
    </w:rPr>
  </w:style>
  <w:style w:type="character" w:styleId="PageNumber">
    <w:name w:val="page number"/>
    <w:uiPriority w:val="99"/>
    <w:rPr>
      <w:rFonts w:cs="Times New Roman"/>
    </w:rPr>
  </w:style>
  <w:style w:type="character" w:styleId="CommentReference">
    <w:name w:val="annotation reference"/>
    <w:semiHidden/>
    <w:unhideWhenUsed/>
    <w:rPr>
      <w:sz w:val="16"/>
      <w:szCs w:val="16"/>
    </w:rPr>
  </w:style>
  <w:style w:type="paragraph" w:styleId="CommentText">
    <w:name w:val="annotation text"/>
    <w:basedOn w:val="Normal"/>
    <w:semiHidden/>
    <w:unhideWhenUsed/>
  </w:style>
  <w:style w:type="character" w:customStyle="1" w:styleId="CommentTextChar">
    <w:name w:val="Comment Text Char"/>
    <w:semiHidden/>
    <w:rPr>
      <w:rFonts w:ascii="Century Gothic" w:hAnsi="Century Gothic" w:cs="Century Gothic"/>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ascii="Century Gothic" w:hAnsi="Century Gothic" w:cs="Century Gothic"/>
      <w:b/>
      <w:bC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Revision">
    <w:name w:val="Revision"/>
    <w:hidden/>
    <w:uiPriority w:val="71"/>
    <w:rsid w:val="00826AF8"/>
    <w:rPr>
      <w:rFonts w:ascii="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33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HER2 Gastric Biomarker Template</vt:lpstr>
    </vt:vector>
  </TitlesOfParts>
  <Company>CAP</Company>
  <LinksUpToDate>false</LinksUpToDate>
  <CharactersWithSpaces>4079</CharactersWithSpaces>
  <SharedDoc>false</SharedDoc>
  <HLinks>
    <vt:vector size="120" baseType="variant">
      <vt:variant>
        <vt:i4>3866659</vt:i4>
      </vt:variant>
      <vt:variant>
        <vt:i4>57</vt:i4>
      </vt:variant>
      <vt:variant>
        <vt:i4>0</vt:i4>
      </vt:variant>
      <vt:variant>
        <vt:i4>5</vt:i4>
      </vt:variant>
      <vt:variant>
        <vt:lpwstr>http://www.ncbi.nlm.nih.gov/pubmed/22918687</vt:lpwstr>
      </vt:variant>
      <vt:variant>
        <vt:lpwstr/>
      </vt:variant>
      <vt:variant>
        <vt:i4>3866708</vt:i4>
      </vt:variant>
      <vt:variant>
        <vt:i4>54</vt:i4>
      </vt:variant>
      <vt:variant>
        <vt:i4>0</vt:i4>
      </vt:variant>
      <vt:variant>
        <vt:i4>5</vt:i4>
      </vt:variant>
      <vt:variant>
        <vt:lpwstr>http://www.ncbi.nlm.nih.gov/pubmed?term=Valentini%20AM%5BAuthor%5D&amp;cauthor=true&amp;cauthor_uid=22918687</vt:lpwstr>
      </vt:variant>
      <vt:variant>
        <vt:lpwstr/>
      </vt:variant>
      <vt:variant>
        <vt:i4>7209027</vt:i4>
      </vt:variant>
      <vt:variant>
        <vt:i4>51</vt:i4>
      </vt:variant>
      <vt:variant>
        <vt:i4>0</vt:i4>
      </vt:variant>
      <vt:variant>
        <vt:i4>5</vt:i4>
      </vt:variant>
      <vt:variant>
        <vt:lpwstr>http://www.ncbi.nlm.nih.gov/pubmed?term=Armentano%20R%5BAuthor%5D&amp;cauthor=true&amp;cauthor_uid=22918687</vt:lpwstr>
      </vt:variant>
      <vt:variant>
        <vt:lpwstr/>
      </vt:variant>
      <vt:variant>
        <vt:i4>5963816</vt:i4>
      </vt:variant>
      <vt:variant>
        <vt:i4>48</vt:i4>
      </vt:variant>
      <vt:variant>
        <vt:i4>0</vt:i4>
      </vt:variant>
      <vt:variant>
        <vt:i4>5</vt:i4>
      </vt:variant>
      <vt:variant>
        <vt:lpwstr>http://www.ncbi.nlm.nih.gov/pubmed?term=Di%20Maggio%20M%5BAuthor%5D&amp;cauthor=true&amp;cauthor_uid=22918687</vt:lpwstr>
      </vt:variant>
      <vt:variant>
        <vt:lpwstr/>
      </vt:variant>
      <vt:variant>
        <vt:i4>5374068</vt:i4>
      </vt:variant>
      <vt:variant>
        <vt:i4>45</vt:i4>
      </vt:variant>
      <vt:variant>
        <vt:i4>0</vt:i4>
      </vt:variant>
      <vt:variant>
        <vt:i4>5</vt:i4>
      </vt:variant>
      <vt:variant>
        <vt:lpwstr>http://www.ncbi.nlm.nih.gov/pubmed?term=Caruso%20ML%5BAuthor%5D&amp;cauthor=true&amp;cauthor_uid=22918687</vt:lpwstr>
      </vt:variant>
      <vt:variant>
        <vt:lpwstr/>
      </vt:variant>
      <vt:variant>
        <vt:i4>1835117</vt:i4>
      </vt:variant>
      <vt:variant>
        <vt:i4>42</vt:i4>
      </vt:variant>
      <vt:variant>
        <vt:i4>0</vt:i4>
      </vt:variant>
      <vt:variant>
        <vt:i4>5</vt:i4>
      </vt:variant>
      <vt:variant>
        <vt:lpwstr>http://www.ncbi.nlm.nih.gov/pubmed?term=Pirrelli%20M%5BAuthor%5D&amp;cauthor=true&amp;cauthor_uid=22918687</vt:lpwstr>
      </vt:variant>
      <vt:variant>
        <vt:lpwstr/>
      </vt:variant>
      <vt:variant>
        <vt:i4>3604514</vt:i4>
      </vt:variant>
      <vt:variant>
        <vt:i4>39</vt:i4>
      </vt:variant>
      <vt:variant>
        <vt:i4>0</vt:i4>
      </vt:variant>
      <vt:variant>
        <vt:i4>5</vt:i4>
      </vt:variant>
      <vt:variant>
        <vt:lpwstr>http://www.ncbi.nlm.nih.gov/pubmed/22751336</vt:lpwstr>
      </vt:variant>
      <vt:variant>
        <vt:lpwstr/>
      </vt:variant>
      <vt:variant>
        <vt:i4>7274613</vt:i4>
      </vt:variant>
      <vt:variant>
        <vt:i4>36</vt:i4>
      </vt:variant>
      <vt:variant>
        <vt:i4>0</vt:i4>
      </vt:variant>
      <vt:variant>
        <vt:i4>5</vt:i4>
      </vt:variant>
      <vt:variant>
        <vt:lpwstr>http://www.ncbi.nlm.nih.gov/pubmed/?term=albarello+and+gastric+her2</vt:lpwstr>
      </vt:variant>
      <vt:variant>
        <vt:lpwstr/>
      </vt:variant>
      <vt:variant>
        <vt:i4>196704</vt:i4>
      </vt:variant>
      <vt:variant>
        <vt:i4>33</vt:i4>
      </vt:variant>
      <vt:variant>
        <vt:i4>0</vt:i4>
      </vt:variant>
      <vt:variant>
        <vt:i4>5</vt:i4>
      </vt:variant>
      <vt:variant>
        <vt:lpwstr>http://www.ncbi.nlm.nih.gov/pubmed?term=Doglioni%20C%5BAuthor%5D&amp;cauthor=true&amp;cauthor_uid=21169738</vt:lpwstr>
      </vt:variant>
      <vt:variant>
        <vt:lpwstr/>
      </vt:variant>
      <vt:variant>
        <vt:i4>7208962</vt:i4>
      </vt:variant>
      <vt:variant>
        <vt:i4>30</vt:i4>
      </vt:variant>
      <vt:variant>
        <vt:i4>0</vt:i4>
      </vt:variant>
      <vt:variant>
        <vt:i4>5</vt:i4>
      </vt:variant>
      <vt:variant>
        <vt:lpwstr>http://www.ncbi.nlm.nih.gov/pubmed?term=Pecciarini%20L%5BAuthor%5D&amp;cauthor=true&amp;cauthor_uid=21169738</vt:lpwstr>
      </vt:variant>
      <vt:variant>
        <vt:lpwstr/>
      </vt:variant>
      <vt:variant>
        <vt:i4>6619206</vt:i4>
      </vt:variant>
      <vt:variant>
        <vt:i4>27</vt:i4>
      </vt:variant>
      <vt:variant>
        <vt:i4>0</vt:i4>
      </vt:variant>
      <vt:variant>
        <vt:i4>5</vt:i4>
      </vt:variant>
      <vt:variant>
        <vt:lpwstr>http://www.ncbi.nlm.nih.gov/pubmed?term=Albarello%20L%5BAuthor%5D&amp;cauthor=true&amp;cauthor_uid=21169738</vt:lpwstr>
      </vt:variant>
      <vt:variant>
        <vt:lpwstr/>
      </vt:variant>
      <vt:variant>
        <vt:i4>6422589</vt:i4>
      </vt:variant>
      <vt:variant>
        <vt:i4>24</vt:i4>
      </vt:variant>
      <vt:variant>
        <vt:i4>0</vt:i4>
      </vt:variant>
      <vt:variant>
        <vt:i4>5</vt:i4>
      </vt:variant>
      <vt:variant>
        <vt:lpwstr>http://www.ncbi.nlm.nih.gov/pubmed/?term=hofmann+and+assessment+of+HER2+scoring</vt:lpwstr>
      </vt:variant>
      <vt:variant>
        <vt:lpwstr/>
      </vt:variant>
      <vt:variant>
        <vt:i4>37</vt:i4>
      </vt:variant>
      <vt:variant>
        <vt:i4>21</vt:i4>
      </vt:variant>
      <vt:variant>
        <vt:i4>0</vt:i4>
      </vt:variant>
      <vt:variant>
        <vt:i4>5</vt:i4>
      </vt:variant>
      <vt:variant>
        <vt:lpwstr>http://www.ncbi.nlm.nih.gov/pubmed?term=Shi%20D%5BAuthor%5D&amp;cauthor=true&amp;cauthor_uid=18422971</vt:lpwstr>
      </vt:variant>
      <vt:variant>
        <vt:lpwstr/>
      </vt:variant>
      <vt:variant>
        <vt:i4>7274587</vt:i4>
      </vt:variant>
      <vt:variant>
        <vt:i4>18</vt:i4>
      </vt:variant>
      <vt:variant>
        <vt:i4>0</vt:i4>
      </vt:variant>
      <vt:variant>
        <vt:i4>5</vt:i4>
      </vt:variant>
      <vt:variant>
        <vt:lpwstr>http://www.ncbi.nlm.nih.gov/pubmed?term=Stoss%20O%5BAuthor%5D&amp;cauthor=true&amp;cauthor_uid=18422971</vt:lpwstr>
      </vt:variant>
      <vt:variant>
        <vt:lpwstr/>
      </vt:variant>
      <vt:variant>
        <vt:i4>262199</vt:i4>
      </vt:variant>
      <vt:variant>
        <vt:i4>15</vt:i4>
      </vt:variant>
      <vt:variant>
        <vt:i4>0</vt:i4>
      </vt:variant>
      <vt:variant>
        <vt:i4>5</vt:i4>
      </vt:variant>
      <vt:variant>
        <vt:lpwstr>http://www.ncbi.nlm.nih.gov/pubmed?term=Hofmann%20M%5BAuthor%5D&amp;cauthor=true&amp;cauthor_uid=18422971</vt:lpwstr>
      </vt:variant>
      <vt:variant>
        <vt:lpwstr/>
      </vt:variant>
      <vt:variant>
        <vt:i4>3342369</vt:i4>
      </vt:variant>
      <vt:variant>
        <vt:i4>12</vt:i4>
      </vt:variant>
      <vt:variant>
        <vt:i4>0</vt:i4>
      </vt:variant>
      <vt:variant>
        <vt:i4>5</vt:i4>
      </vt:variant>
      <vt:variant>
        <vt:lpwstr>http://www.ncbi.nlm.nih.gov/pubmed/23667204</vt:lpwstr>
      </vt:variant>
      <vt:variant>
        <vt:lpwstr/>
      </vt:variant>
      <vt:variant>
        <vt:i4>3407906</vt:i4>
      </vt:variant>
      <vt:variant>
        <vt:i4>9</vt:i4>
      </vt:variant>
      <vt:variant>
        <vt:i4>0</vt:i4>
      </vt:variant>
      <vt:variant>
        <vt:i4>5</vt:i4>
      </vt:variant>
      <vt:variant>
        <vt:lpwstr>http://www.ncbi.nlm.nih.gov/pubmed/14528282</vt:lpwstr>
      </vt:variant>
      <vt:variant>
        <vt:lpwstr/>
      </vt:variant>
      <vt:variant>
        <vt:i4>4980813</vt:i4>
      </vt:variant>
      <vt:variant>
        <vt:i4>6</vt:i4>
      </vt:variant>
      <vt:variant>
        <vt:i4>0</vt:i4>
      </vt:variant>
      <vt:variant>
        <vt:i4>5</vt:i4>
      </vt:variant>
      <vt:variant>
        <vt:lpwstr>http://www.genenames.org/data/hgnc_dataphp?hgnc_id=3430</vt:lpwstr>
      </vt:variant>
      <vt:variant>
        <vt:lpwstr/>
      </vt:variant>
      <vt:variant>
        <vt:i4>655453</vt:i4>
      </vt:variant>
      <vt:variant>
        <vt:i4>3</vt:i4>
      </vt:variant>
      <vt:variant>
        <vt:i4>0</vt:i4>
      </vt:variant>
      <vt:variant>
        <vt:i4>5</vt:i4>
      </vt:variant>
      <vt:variant>
        <vt:lpwstr>http://www.hgvs.org/rec)</vt:lpwstr>
      </vt:variant>
      <vt:variant>
        <vt:lpwstr/>
      </vt:variant>
      <vt:variant>
        <vt:i4>7667745</vt:i4>
      </vt:variant>
      <vt:variant>
        <vt:i4>0</vt:i4>
      </vt:variant>
      <vt:variant>
        <vt:i4>0</vt:i4>
      </vt:variant>
      <vt:variant>
        <vt:i4>5</vt:i4>
      </vt:variant>
      <vt:variant>
        <vt:lpwstr>http://www.genenames.org)/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HER2 Gastric Biomarker Template</dc:title>
  <dc:creator>James Dvorak</dc:creator>
  <cp:lastModifiedBy>Elaine Haney (s)</cp:lastModifiedBy>
  <cp:revision>8</cp:revision>
  <cp:lastPrinted>2016-12-28T19:38:00Z</cp:lastPrinted>
  <dcterms:created xsi:type="dcterms:W3CDTF">2018-03-23T15:30:00Z</dcterms:created>
  <dcterms:modified xsi:type="dcterms:W3CDTF">2018-08-13T18:21:00Z</dcterms:modified>
</cp:coreProperties>
</file>