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F3A48" w14:textId="77777777" w:rsidR="00161328" w:rsidRPr="00D9542B" w:rsidRDefault="00161328" w:rsidP="00D9542B">
      <w:pPr>
        <w:pStyle w:val="Head"/>
        <w:rPr>
          <w:kern w:val="20"/>
        </w:rPr>
      </w:pPr>
      <w:r w:rsidRPr="00D9542B">
        <w:rPr>
          <w:kern w:val="20"/>
        </w:rPr>
        <w:t>Protocol fo</w:t>
      </w:r>
      <w:r w:rsidR="00BF0DFE" w:rsidRPr="00D9542B">
        <w:rPr>
          <w:kern w:val="20"/>
        </w:rPr>
        <w:t xml:space="preserve">r the Examination of </w:t>
      </w:r>
      <w:r w:rsidR="009879A6">
        <w:rPr>
          <w:kern w:val="20"/>
        </w:rPr>
        <w:t xml:space="preserve">Excisional </w:t>
      </w:r>
      <w:r w:rsidR="00C3497E">
        <w:rPr>
          <w:kern w:val="20"/>
        </w:rPr>
        <w:t xml:space="preserve">Biopsy </w:t>
      </w:r>
      <w:r w:rsidR="00BF0DFE" w:rsidRPr="00D9542B">
        <w:rPr>
          <w:kern w:val="20"/>
        </w:rPr>
        <w:t xml:space="preserve">Specimens </w:t>
      </w:r>
      <w:proofErr w:type="gramStart"/>
      <w:r w:rsidR="003B3C33">
        <w:rPr>
          <w:kern w:val="20"/>
        </w:rPr>
        <w:t>F</w:t>
      </w:r>
      <w:r w:rsidR="00BF0DFE" w:rsidRPr="00D9542B">
        <w:rPr>
          <w:kern w:val="20"/>
        </w:rPr>
        <w:t>rom</w:t>
      </w:r>
      <w:proofErr w:type="gramEnd"/>
      <w:r w:rsidR="00BF0DFE" w:rsidRPr="00D9542B">
        <w:rPr>
          <w:kern w:val="20"/>
        </w:rPr>
        <w:t xml:space="preserve"> Patients</w:t>
      </w:r>
      <w:r w:rsidR="00175BEF">
        <w:rPr>
          <w:kern w:val="20"/>
        </w:rPr>
        <w:t xml:space="preserve"> </w:t>
      </w:r>
      <w:r w:rsidR="003B3C33">
        <w:rPr>
          <w:kern w:val="20"/>
        </w:rPr>
        <w:t>W</w:t>
      </w:r>
      <w:r w:rsidRPr="00D9542B">
        <w:rPr>
          <w:kern w:val="20"/>
        </w:rPr>
        <w:t>ith Primary Carcinoma of the Colon and</w:t>
      </w:r>
      <w:r w:rsidR="005434C5">
        <w:rPr>
          <w:kern w:val="20"/>
        </w:rPr>
        <w:t xml:space="preserve"> </w:t>
      </w:r>
      <w:r w:rsidRPr="00D9542B">
        <w:rPr>
          <w:kern w:val="20"/>
        </w:rPr>
        <w:t>Rectum</w:t>
      </w:r>
    </w:p>
    <w:tbl>
      <w:tblPr>
        <w:tblW w:w="0" w:type="auto"/>
        <w:tblLook w:val="04A0" w:firstRow="1" w:lastRow="0" w:firstColumn="1" w:lastColumn="0" w:noHBand="0" w:noVBand="1"/>
      </w:tblPr>
      <w:tblGrid>
        <w:gridCol w:w="5327"/>
        <w:gridCol w:w="4969"/>
      </w:tblGrid>
      <w:tr w:rsidR="007E6865" w:rsidRPr="00B74B56" w14:paraId="2A644590" w14:textId="77777777" w:rsidTr="00270A26">
        <w:tc>
          <w:tcPr>
            <w:tcW w:w="4428" w:type="dxa"/>
            <w:shd w:val="clear" w:color="auto" w:fill="auto"/>
          </w:tcPr>
          <w:p w14:paraId="62BB7ED9" w14:textId="06FDE7DD" w:rsidR="007E6865" w:rsidRPr="00B74B56" w:rsidRDefault="007E6865" w:rsidP="007E6865">
            <w:pPr>
              <w:keepNext/>
              <w:tabs>
                <w:tab w:val="left" w:pos="360"/>
              </w:tabs>
              <w:outlineLvl w:val="1"/>
              <w:rPr>
                <w:rFonts w:eastAsia="SimSun" w:cs="Arial"/>
                <w:b/>
              </w:rPr>
            </w:pPr>
            <w:r w:rsidRPr="00B74B56">
              <w:rPr>
                <w:rFonts w:eastAsia="SimSun" w:cs="Arial"/>
                <w:b/>
              </w:rPr>
              <w:t xml:space="preserve">Version: </w:t>
            </w:r>
            <w:r w:rsidRPr="00CE22D7">
              <w:rPr>
                <w:rFonts w:cs="Arial"/>
                <w:color w:val="000000"/>
              </w:rPr>
              <w:t>Colon</w:t>
            </w:r>
            <w:r w:rsidR="00F01467">
              <w:rPr>
                <w:rFonts w:cs="Arial"/>
                <w:color w:val="000000"/>
              </w:rPr>
              <w:t xml:space="preserve"> and</w:t>
            </w:r>
            <w:r w:rsidRPr="00CE22D7">
              <w:rPr>
                <w:rFonts w:cs="Arial"/>
                <w:color w:val="000000"/>
              </w:rPr>
              <w:t xml:space="preserve"> Rectum</w:t>
            </w:r>
            <w:r w:rsidR="00F01467">
              <w:rPr>
                <w:rFonts w:cs="Arial"/>
                <w:color w:val="000000"/>
              </w:rPr>
              <w:t xml:space="preserve"> Biopsy</w:t>
            </w:r>
            <w:r w:rsidRPr="00CE22D7">
              <w:rPr>
                <w:rFonts w:cs="Arial"/>
                <w:color w:val="000000"/>
              </w:rPr>
              <w:t xml:space="preserve"> 4.</w:t>
            </w:r>
            <w:r w:rsidR="00254A98">
              <w:rPr>
                <w:rFonts w:cs="Arial"/>
                <w:color w:val="000000"/>
              </w:rPr>
              <w:t>1</w:t>
            </w:r>
            <w:r w:rsidRPr="00CE22D7">
              <w:rPr>
                <w:rFonts w:cs="Arial"/>
                <w:color w:val="000000"/>
              </w:rPr>
              <w:t>.</w:t>
            </w:r>
            <w:r w:rsidR="00254A98">
              <w:rPr>
                <w:rFonts w:cs="Arial"/>
                <w:color w:val="000000"/>
              </w:rPr>
              <w:t>0</w:t>
            </w:r>
            <w:r w:rsidRPr="00CE22D7">
              <w:rPr>
                <w:rFonts w:cs="Arial"/>
                <w:color w:val="000000"/>
              </w:rPr>
              <w:t>.</w:t>
            </w:r>
            <w:r w:rsidR="00781490">
              <w:rPr>
                <w:rFonts w:cs="Arial"/>
                <w:color w:val="000000"/>
              </w:rPr>
              <w:t>0</w:t>
            </w:r>
          </w:p>
        </w:tc>
        <w:tc>
          <w:tcPr>
            <w:tcW w:w="4050" w:type="dxa"/>
            <w:shd w:val="clear" w:color="auto" w:fill="auto"/>
          </w:tcPr>
          <w:p w14:paraId="4DFE287E" w14:textId="55B4B15F" w:rsidR="007E6865" w:rsidRPr="00B74B56" w:rsidRDefault="007E6865" w:rsidP="00827888">
            <w:pPr>
              <w:keepNext/>
              <w:tabs>
                <w:tab w:val="left" w:pos="360"/>
              </w:tabs>
              <w:outlineLvl w:val="1"/>
              <w:rPr>
                <w:rFonts w:eastAsia="SimSun" w:cs="Arial"/>
                <w:b/>
              </w:rPr>
            </w:pPr>
            <w:r w:rsidRPr="00B74B56">
              <w:rPr>
                <w:rFonts w:eastAsia="SimSun" w:cs="Arial"/>
                <w:b/>
              </w:rPr>
              <w:t xml:space="preserve">Protocol Posting Date: </w:t>
            </w:r>
            <w:r w:rsidR="00254A98">
              <w:rPr>
                <w:rFonts w:eastAsia="SimSun" w:cs="Arial"/>
              </w:rPr>
              <w:t>February 2020</w:t>
            </w:r>
          </w:p>
        </w:tc>
      </w:tr>
      <w:tr w:rsidR="00C3497E" w:rsidRPr="00B74B56" w14:paraId="5AC24D4D" w14:textId="77777777" w:rsidTr="00CF102C">
        <w:tc>
          <w:tcPr>
            <w:tcW w:w="8478" w:type="dxa"/>
            <w:gridSpan w:val="2"/>
            <w:shd w:val="clear" w:color="auto" w:fill="auto"/>
          </w:tcPr>
          <w:p w14:paraId="63CD6C58" w14:textId="77777777" w:rsidR="00C3497E" w:rsidRPr="00B74B56" w:rsidRDefault="00C3497E" w:rsidP="00827888">
            <w:pPr>
              <w:keepNext/>
              <w:tabs>
                <w:tab w:val="left" w:pos="360"/>
              </w:tabs>
              <w:outlineLvl w:val="1"/>
              <w:rPr>
                <w:rFonts w:eastAsia="SimSun" w:cs="Arial"/>
                <w:b/>
              </w:rPr>
            </w:pPr>
          </w:p>
        </w:tc>
      </w:tr>
      <w:tr w:rsidR="00DA4274" w:rsidRPr="00B74B56" w14:paraId="3176691D" w14:textId="77777777" w:rsidTr="00CF102C">
        <w:tc>
          <w:tcPr>
            <w:tcW w:w="8478" w:type="dxa"/>
            <w:gridSpan w:val="2"/>
            <w:shd w:val="clear" w:color="auto" w:fill="auto"/>
          </w:tcPr>
          <w:tbl>
            <w:tblPr>
              <w:tblW w:w="10170" w:type="dxa"/>
              <w:tblLook w:val="04A0" w:firstRow="1" w:lastRow="0" w:firstColumn="1" w:lastColumn="0" w:noHBand="0" w:noVBand="1"/>
            </w:tblPr>
            <w:tblGrid>
              <w:gridCol w:w="8121"/>
              <w:gridCol w:w="2049"/>
            </w:tblGrid>
            <w:tr w:rsidR="00DA4274" w:rsidRPr="00297A34" w14:paraId="39D98C78" w14:textId="77777777" w:rsidTr="00980EB3">
              <w:trPr>
                <w:gridAfter w:val="1"/>
                <w:wAfter w:w="2049" w:type="dxa"/>
              </w:trPr>
              <w:tc>
                <w:tcPr>
                  <w:tcW w:w="8121" w:type="dxa"/>
                  <w:shd w:val="clear" w:color="auto" w:fill="auto"/>
                </w:tcPr>
                <w:p w14:paraId="6B1C5AF0" w14:textId="77777777" w:rsidR="00DA4274" w:rsidRPr="00297A34" w:rsidRDefault="00DA4274" w:rsidP="00980EB3">
                  <w:pPr>
                    <w:keepNext/>
                    <w:tabs>
                      <w:tab w:val="left" w:pos="360"/>
                    </w:tabs>
                    <w:ind w:left="-105"/>
                    <w:outlineLvl w:val="1"/>
                    <w:rPr>
                      <w:rFonts w:eastAsia="SimSun" w:cs="Arial"/>
                      <w:szCs w:val="24"/>
                      <w:lang w:eastAsia="es-ES_tradnl"/>
                    </w:rPr>
                  </w:pPr>
                  <w:r w:rsidRPr="00297A34">
                    <w:rPr>
                      <w:b/>
                    </w:rPr>
                    <w:t>Accreditation Requirements</w:t>
                  </w:r>
                </w:p>
              </w:tc>
            </w:tr>
            <w:tr w:rsidR="00DA4274" w:rsidRPr="00297A34" w14:paraId="033C9678" w14:textId="77777777" w:rsidTr="00980EB3">
              <w:tc>
                <w:tcPr>
                  <w:tcW w:w="10170" w:type="dxa"/>
                  <w:gridSpan w:val="2"/>
                  <w:shd w:val="clear" w:color="auto" w:fill="auto"/>
                </w:tcPr>
                <w:p w14:paraId="69EEA4FE" w14:textId="77777777" w:rsidR="00DA4274" w:rsidRPr="00297A34" w:rsidRDefault="00DA4274" w:rsidP="00980EB3">
                  <w:pPr>
                    <w:ind w:left="-105" w:right="-285"/>
                    <w:rPr>
                      <w:rFonts w:eastAsia="SimSun" w:cs="Arial"/>
                      <w:b/>
                      <w:szCs w:val="24"/>
                      <w:lang w:eastAsia="es-ES_tradnl"/>
                    </w:rPr>
                  </w:pPr>
                  <w:r w:rsidRPr="00297A34">
                    <w:rPr>
                      <w:kern w:val="24"/>
                    </w:rPr>
                    <w:t xml:space="preserve">The use of this protocol is recommended for clinical care purposes but is </w:t>
                  </w:r>
                  <w:r w:rsidRPr="00297A34">
                    <w:rPr>
                      <w:kern w:val="24"/>
                      <w:u w:val="single"/>
                    </w:rPr>
                    <w:t xml:space="preserve">not </w:t>
                  </w:r>
                  <w:r w:rsidRPr="00297A34">
                    <w:rPr>
                      <w:kern w:val="24"/>
                    </w:rPr>
                    <w:t>required for accreditation purposes.</w:t>
                  </w:r>
                  <w:r w:rsidRPr="00297A34">
                    <w:rPr>
                      <w:color w:val="000000"/>
                      <w:kern w:val="24"/>
                    </w:rPr>
                    <w:t xml:space="preserve"> </w:t>
                  </w:r>
                </w:p>
              </w:tc>
            </w:tr>
          </w:tbl>
          <w:p w14:paraId="4665262D" w14:textId="77777777" w:rsidR="00DA4274" w:rsidRPr="00B74B56" w:rsidRDefault="00DA4274" w:rsidP="00DA4274">
            <w:pPr>
              <w:keepNext/>
              <w:tabs>
                <w:tab w:val="left" w:pos="360"/>
              </w:tabs>
              <w:outlineLvl w:val="1"/>
              <w:rPr>
                <w:rFonts w:eastAsia="SimSun" w:cs="Arial"/>
                <w:b/>
              </w:rPr>
            </w:pPr>
          </w:p>
        </w:tc>
      </w:tr>
    </w:tbl>
    <w:p w14:paraId="26AB4312" w14:textId="77777777" w:rsidR="007E6865" w:rsidRPr="00B74B56" w:rsidRDefault="007E6865" w:rsidP="007E6865">
      <w:pPr>
        <w:rPr>
          <w:rFonts w:cs="Arial"/>
        </w:rPr>
      </w:pPr>
    </w:p>
    <w:p w14:paraId="1338D299" w14:textId="77777777" w:rsidR="00DA4274" w:rsidRPr="00DA4274" w:rsidRDefault="00DA4274" w:rsidP="00DA4274">
      <w:pPr>
        <w:keepNext/>
        <w:tabs>
          <w:tab w:val="left" w:pos="360"/>
        </w:tabs>
        <w:outlineLvl w:val="1"/>
        <w:rPr>
          <w:rFonts w:eastAsia="Calibri" w:cs="Arial"/>
          <w:b/>
          <w:kern w:val="0"/>
        </w:rPr>
      </w:pPr>
      <w:r w:rsidRPr="00DA4274">
        <w:rPr>
          <w:rFonts w:eastAsia="Calibri" w:cs="Arial"/>
          <w:b/>
          <w:color w:val="000000"/>
          <w:kern w:val="0"/>
        </w:rPr>
        <w:t xml:space="preserve">This protocol may be used </w:t>
      </w:r>
      <w:r w:rsidRPr="00DA4274">
        <w:rPr>
          <w:rFonts w:eastAsia="Calibri" w:cs="Arial"/>
          <w:b/>
          <w:kern w:val="0"/>
        </w:rPr>
        <w:t>for the following procedures AND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7E6865" w:rsidRPr="00B74B56" w14:paraId="3A1A4713" w14:textId="77777777" w:rsidTr="00827888">
        <w:tc>
          <w:tcPr>
            <w:tcW w:w="2880" w:type="dxa"/>
            <w:shd w:val="clear" w:color="auto" w:fill="C0C0C0"/>
          </w:tcPr>
          <w:p w14:paraId="05F3EEE2" w14:textId="77777777" w:rsidR="007E6865" w:rsidRPr="00B74B56" w:rsidRDefault="007E6865" w:rsidP="00827888">
            <w:pPr>
              <w:rPr>
                <w:rFonts w:eastAsia="SimSun" w:cs="Arial"/>
                <w:b/>
              </w:rPr>
            </w:pPr>
            <w:r w:rsidRPr="00B74B56">
              <w:rPr>
                <w:rFonts w:eastAsia="SimSun" w:cs="Arial"/>
                <w:b/>
              </w:rPr>
              <w:t>Procedure</w:t>
            </w:r>
          </w:p>
        </w:tc>
        <w:tc>
          <w:tcPr>
            <w:tcW w:w="6570" w:type="dxa"/>
            <w:shd w:val="clear" w:color="auto" w:fill="C0C0C0"/>
          </w:tcPr>
          <w:p w14:paraId="7A200986" w14:textId="77777777" w:rsidR="007E6865" w:rsidRPr="00B74B56" w:rsidRDefault="007E6865" w:rsidP="00827888">
            <w:pPr>
              <w:rPr>
                <w:rFonts w:eastAsia="SimSun" w:cs="Arial"/>
                <w:b/>
              </w:rPr>
            </w:pPr>
            <w:r w:rsidRPr="00B74B56">
              <w:rPr>
                <w:rFonts w:eastAsia="SimSun" w:cs="Arial"/>
                <w:b/>
              </w:rPr>
              <w:t>Description</w:t>
            </w:r>
          </w:p>
        </w:tc>
      </w:tr>
      <w:tr w:rsidR="00AF4923" w:rsidRPr="00B74B56" w14:paraId="005CEA20" w14:textId="77777777" w:rsidTr="00827888">
        <w:tc>
          <w:tcPr>
            <w:tcW w:w="2880" w:type="dxa"/>
          </w:tcPr>
          <w:p w14:paraId="1D25853D" w14:textId="77777777" w:rsidR="00AF4923" w:rsidRPr="00D9542B" w:rsidDel="00AF4923" w:rsidRDefault="00C3497E" w:rsidP="00AF4923">
            <w:pPr>
              <w:rPr>
                <w:kern w:val="20"/>
              </w:rPr>
            </w:pPr>
            <w:r>
              <w:rPr>
                <w:kern w:val="20"/>
              </w:rPr>
              <w:t>Excisional biopsy</w:t>
            </w:r>
          </w:p>
        </w:tc>
        <w:tc>
          <w:tcPr>
            <w:tcW w:w="6570" w:type="dxa"/>
          </w:tcPr>
          <w:p w14:paraId="437526C3" w14:textId="77777777" w:rsidR="00AF4923" w:rsidRPr="00B74B56" w:rsidRDefault="00C3497E" w:rsidP="00AF4923">
            <w:pPr>
              <w:rPr>
                <w:rFonts w:eastAsia="SimSun" w:cs="Arial"/>
              </w:rPr>
            </w:pPr>
            <w:r w:rsidRPr="00D9542B">
              <w:rPr>
                <w:kern w:val="20"/>
              </w:rPr>
              <w:t>Excisional Biopsy (Polypectomy)</w:t>
            </w:r>
          </w:p>
        </w:tc>
      </w:tr>
      <w:tr w:rsidR="007E6865" w:rsidRPr="00B74B56" w14:paraId="5E7F16EC" w14:textId="77777777" w:rsidTr="00827888">
        <w:tc>
          <w:tcPr>
            <w:tcW w:w="2880" w:type="dxa"/>
            <w:shd w:val="clear" w:color="auto" w:fill="C0C0C0"/>
          </w:tcPr>
          <w:p w14:paraId="078E7497" w14:textId="77777777" w:rsidR="007E6865" w:rsidRPr="00B74B56" w:rsidRDefault="006515C9" w:rsidP="00827888">
            <w:pPr>
              <w:rPr>
                <w:rFonts w:eastAsia="SimSun" w:cs="Arial"/>
                <w:b/>
              </w:rPr>
            </w:pPr>
            <w:r>
              <w:rPr>
                <w:rFonts w:eastAsia="SimSun" w:cs="Arial"/>
                <w:b/>
              </w:rPr>
              <w:t>Tumor T</w:t>
            </w:r>
            <w:r w:rsidR="007E6865" w:rsidRPr="00B74B56">
              <w:rPr>
                <w:rFonts w:eastAsia="SimSun" w:cs="Arial"/>
                <w:b/>
              </w:rPr>
              <w:t>ype</w:t>
            </w:r>
          </w:p>
        </w:tc>
        <w:tc>
          <w:tcPr>
            <w:tcW w:w="6570" w:type="dxa"/>
            <w:shd w:val="clear" w:color="auto" w:fill="C0C0C0"/>
          </w:tcPr>
          <w:p w14:paraId="7F1B89B6" w14:textId="77777777" w:rsidR="007E6865" w:rsidRPr="00B74B56" w:rsidRDefault="007E6865" w:rsidP="00827888">
            <w:pPr>
              <w:rPr>
                <w:rFonts w:eastAsia="SimSun" w:cs="Arial"/>
                <w:b/>
              </w:rPr>
            </w:pPr>
            <w:r w:rsidRPr="00B74B56">
              <w:rPr>
                <w:rFonts w:eastAsia="SimSun" w:cs="Arial"/>
                <w:b/>
              </w:rPr>
              <w:t>Description</w:t>
            </w:r>
          </w:p>
        </w:tc>
      </w:tr>
      <w:tr w:rsidR="007E6865" w:rsidRPr="00B74B56" w14:paraId="7E13F5AD" w14:textId="77777777" w:rsidTr="00827888">
        <w:tc>
          <w:tcPr>
            <w:tcW w:w="2880" w:type="dxa"/>
          </w:tcPr>
          <w:p w14:paraId="4C9F4A8E" w14:textId="77777777" w:rsidR="007E6865" w:rsidRPr="00B74B56" w:rsidRDefault="00464096" w:rsidP="00827888">
            <w:pPr>
              <w:rPr>
                <w:rFonts w:cs="Arial"/>
              </w:rPr>
            </w:pPr>
            <w:r>
              <w:rPr>
                <w:rFonts w:cs="Arial"/>
              </w:rPr>
              <w:t>Carcinoma</w:t>
            </w:r>
          </w:p>
        </w:tc>
        <w:tc>
          <w:tcPr>
            <w:tcW w:w="6570" w:type="dxa"/>
          </w:tcPr>
          <w:p w14:paraId="15FBF5DE" w14:textId="77777777" w:rsidR="007E6865" w:rsidRPr="00B74B56" w:rsidRDefault="00275459" w:rsidP="00827888">
            <w:pPr>
              <w:rPr>
                <w:rFonts w:eastAsia="SimSun" w:cs="Arial"/>
              </w:rPr>
            </w:pPr>
            <w:r>
              <w:rPr>
                <w:rFonts w:eastAsia="SimSun" w:cs="Arial"/>
              </w:rPr>
              <w:t>Invasive carcinomas including small cell and large cell (poorly differentiated) neuroendocrine carcinoma</w:t>
            </w:r>
          </w:p>
        </w:tc>
      </w:tr>
    </w:tbl>
    <w:p w14:paraId="5EC4D83F" w14:textId="77777777" w:rsidR="007E6865" w:rsidRPr="00B74B56" w:rsidRDefault="007E6865" w:rsidP="007E6865">
      <w:pPr>
        <w:rPr>
          <w:rFonts w:eastAsia="Calibri" w:cs="Arial"/>
        </w:rPr>
      </w:pPr>
    </w:p>
    <w:p w14:paraId="40A8C007" w14:textId="77777777" w:rsidR="007E6865" w:rsidRPr="00B74B56" w:rsidRDefault="00DA4274" w:rsidP="007E6865">
      <w:pPr>
        <w:keepNext/>
        <w:tabs>
          <w:tab w:val="left" w:pos="360"/>
        </w:tabs>
        <w:outlineLvl w:val="1"/>
        <w:rPr>
          <w:rFonts w:eastAsia="Calibri" w:cs="Arial"/>
          <w:b/>
        </w:rPr>
      </w:pPr>
      <w:bookmarkStart w:id="0" w:name="_Hlk6320466"/>
      <w:r w:rsidRPr="00DA4274">
        <w:rPr>
          <w:rFonts w:eastAsia="Calibri" w:cs="Arial"/>
          <w:b/>
          <w:kern w:val="0"/>
        </w:rPr>
        <w:t>The following should NOT be reported using this protocol</w:t>
      </w:r>
      <w:bookmarkEnd w:id="0"/>
      <w:r w:rsidRPr="00DA4274">
        <w:rPr>
          <w:rFonts w:eastAsia="Calibri" w:cs="Arial"/>
          <w:b/>
          <w:kern w:val="0"/>
        </w:rPr>
        <w:t>:</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7E6865" w:rsidRPr="00B74B56" w14:paraId="1AF7DEDA" w14:textId="77777777" w:rsidTr="00827888">
        <w:tc>
          <w:tcPr>
            <w:tcW w:w="9450" w:type="dxa"/>
            <w:shd w:val="clear" w:color="auto" w:fill="C0C0C0"/>
          </w:tcPr>
          <w:p w14:paraId="24DBAFE6" w14:textId="77777777" w:rsidR="007E6865" w:rsidRPr="00B74B56" w:rsidRDefault="007E6865" w:rsidP="00827888">
            <w:pPr>
              <w:rPr>
                <w:rFonts w:eastAsia="SimSun" w:cs="Arial"/>
                <w:b/>
              </w:rPr>
            </w:pPr>
            <w:r w:rsidRPr="00B74B56">
              <w:rPr>
                <w:rFonts w:eastAsia="SimSun" w:cs="Arial"/>
                <w:b/>
              </w:rPr>
              <w:t>Procedure</w:t>
            </w:r>
          </w:p>
        </w:tc>
      </w:tr>
      <w:tr w:rsidR="007E6865" w:rsidRPr="00B74B56" w14:paraId="0615D545" w14:textId="77777777" w:rsidTr="00827888">
        <w:trPr>
          <w:trHeight w:val="152"/>
        </w:trPr>
        <w:tc>
          <w:tcPr>
            <w:tcW w:w="9450" w:type="dxa"/>
          </w:tcPr>
          <w:p w14:paraId="322D11EF" w14:textId="77777777" w:rsidR="007E6865" w:rsidRPr="00B74B56" w:rsidRDefault="00A615FE" w:rsidP="00464096">
            <w:pPr>
              <w:rPr>
                <w:rFonts w:eastAsia="SimSun" w:cs="Arial"/>
                <w:color w:val="000000"/>
              </w:rPr>
            </w:pPr>
            <w:r>
              <w:rPr>
                <w:kern w:val="20"/>
              </w:rPr>
              <w:t>Forceps</w:t>
            </w:r>
            <w:r w:rsidR="00613723">
              <w:rPr>
                <w:kern w:val="20"/>
              </w:rPr>
              <w:t xml:space="preserve"> biopsy</w:t>
            </w:r>
          </w:p>
        </w:tc>
      </w:tr>
      <w:tr w:rsidR="00464096" w:rsidRPr="00B74B56" w14:paraId="2E3C26DA" w14:textId="77777777" w:rsidTr="00827888">
        <w:trPr>
          <w:trHeight w:val="152"/>
        </w:trPr>
        <w:tc>
          <w:tcPr>
            <w:tcW w:w="9450" w:type="dxa"/>
          </w:tcPr>
          <w:p w14:paraId="0EA36A92" w14:textId="77777777" w:rsidR="00464096" w:rsidRPr="00B43FFC" w:rsidRDefault="001977BD" w:rsidP="001977BD">
            <w:r>
              <w:rPr>
                <w:rFonts w:eastAsia="SimSun" w:cs="Arial"/>
              </w:rPr>
              <w:t>Local excision (</w:t>
            </w:r>
            <w:proofErr w:type="spellStart"/>
            <w:r>
              <w:rPr>
                <w:rFonts w:eastAsia="SimSun" w:cs="Arial"/>
              </w:rPr>
              <w:t>t</w:t>
            </w:r>
            <w:r w:rsidR="00464096">
              <w:rPr>
                <w:rFonts w:eastAsia="SimSun" w:cs="Arial"/>
              </w:rPr>
              <w:t>ransanal</w:t>
            </w:r>
            <w:proofErr w:type="spellEnd"/>
            <w:r w:rsidR="00464096">
              <w:rPr>
                <w:rFonts w:eastAsia="SimSun" w:cs="Arial"/>
              </w:rPr>
              <w:t xml:space="preserve"> disk e</w:t>
            </w:r>
            <w:r w:rsidR="00464096" w:rsidRPr="00AF4923">
              <w:rPr>
                <w:rFonts w:eastAsia="SimSun" w:cs="Arial"/>
              </w:rPr>
              <w:t>xcision</w:t>
            </w:r>
            <w:r>
              <w:rPr>
                <w:rFonts w:eastAsia="SimSun" w:cs="Arial"/>
              </w:rPr>
              <w:t>)</w:t>
            </w:r>
            <w:r w:rsidR="00A615FE">
              <w:rPr>
                <w:rFonts w:eastAsia="SimSun" w:cs="Arial"/>
              </w:rPr>
              <w:t xml:space="preserve"> (consider the Colon Resection protocol)</w:t>
            </w:r>
          </w:p>
        </w:tc>
      </w:tr>
      <w:tr w:rsidR="00A615FE" w:rsidRPr="00B74B56" w14:paraId="4813DAAE" w14:textId="77777777" w:rsidTr="00827888">
        <w:trPr>
          <w:trHeight w:val="152"/>
        </w:trPr>
        <w:tc>
          <w:tcPr>
            <w:tcW w:w="9450" w:type="dxa"/>
          </w:tcPr>
          <w:p w14:paraId="54AB3B6E" w14:textId="77777777" w:rsidR="00A615FE" w:rsidRDefault="00A615FE" w:rsidP="001977BD">
            <w:pPr>
              <w:rPr>
                <w:rFonts w:eastAsia="SimSun" w:cs="Arial"/>
              </w:rPr>
            </w:pPr>
            <w:r>
              <w:rPr>
                <w:rFonts w:eastAsia="SimSun" w:cs="Arial"/>
              </w:rPr>
              <w:t>Resection (consider the Colon Resection protocol)</w:t>
            </w:r>
          </w:p>
        </w:tc>
      </w:tr>
      <w:tr w:rsidR="007E6865" w:rsidRPr="00B74B56" w14:paraId="23E932E8" w14:textId="77777777" w:rsidTr="00827888">
        <w:trPr>
          <w:trHeight w:val="152"/>
        </w:trPr>
        <w:tc>
          <w:tcPr>
            <w:tcW w:w="9450" w:type="dxa"/>
          </w:tcPr>
          <w:p w14:paraId="3CB91862" w14:textId="77777777" w:rsidR="007E6865" w:rsidRPr="00B74B56" w:rsidRDefault="007E6865" w:rsidP="00827888">
            <w:pPr>
              <w:rPr>
                <w:rFonts w:eastAsia="SimSun" w:cs="Arial"/>
                <w:color w:val="000000"/>
              </w:rPr>
            </w:pPr>
            <w:r w:rsidRPr="00B43FFC">
              <w:t>Cytologic specimens</w:t>
            </w:r>
          </w:p>
        </w:tc>
      </w:tr>
    </w:tbl>
    <w:p w14:paraId="4452B6D0" w14:textId="77777777" w:rsidR="00DA4274" w:rsidRDefault="00DA4274" w:rsidP="00DA4274">
      <w:pPr>
        <w:rPr>
          <w:rFonts w:eastAsia="Calibri" w:cs="Arial"/>
          <w:b/>
          <w:kern w:val="18"/>
        </w:rPr>
      </w:pPr>
    </w:p>
    <w:p w14:paraId="343C1CCF" w14:textId="77777777" w:rsidR="007E6865" w:rsidRPr="00B74B56" w:rsidRDefault="00DA4274" w:rsidP="007E6865">
      <w:pPr>
        <w:rPr>
          <w:rFonts w:eastAsia="Calibri" w:cs="Arial"/>
          <w:b/>
          <w:kern w:val="18"/>
        </w:rPr>
      </w:pPr>
      <w:r w:rsidRPr="00DA4274">
        <w:rPr>
          <w:rFonts w:eastAsia="Calibri" w:cs="Arial"/>
          <w:b/>
          <w:kern w:val="18"/>
        </w:rPr>
        <w:t>The following tumor types should NOT be reported using this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464096" w:rsidRPr="00B74B56" w14:paraId="43D3FD5E" w14:textId="77777777" w:rsidTr="00CE22D7">
        <w:tc>
          <w:tcPr>
            <w:tcW w:w="9450" w:type="dxa"/>
            <w:shd w:val="clear" w:color="auto" w:fill="C0C0C0"/>
          </w:tcPr>
          <w:p w14:paraId="012A037A" w14:textId="77777777" w:rsidR="00464096" w:rsidRPr="00B74B56" w:rsidRDefault="006515C9" w:rsidP="00827888">
            <w:pPr>
              <w:rPr>
                <w:rFonts w:eastAsia="SimSun" w:cs="Arial"/>
                <w:b/>
              </w:rPr>
            </w:pPr>
            <w:r>
              <w:rPr>
                <w:rFonts w:eastAsia="SimSun" w:cs="Arial"/>
                <w:b/>
              </w:rPr>
              <w:t>Tumor T</w:t>
            </w:r>
            <w:r w:rsidR="00464096" w:rsidRPr="00B74B56">
              <w:rPr>
                <w:rFonts w:eastAsia="SimSun" w:cs="Arial"/>
                <w:b/>
              </w:rPr>
              <w:t>ype</w:t>
            </w:r>
          </w:p>
        </w:tc>
      </w:tr>
      <w:tr w:rsidR="00464096" w:rsidRPr="00B74B56" w14:paraId="78C1A9C7" w14:textId="77777777" w:rsidTr="00CE22D7">
        <w:tc>
          <w:tcPr>
            <w:tcW w:w="9450" w:type="dxa"/>
          </w:tcPr>
          <w:p w14:paraId="36ABD2C5" w14:textId="77777777" w:rsidR="00464096" w:rsidRPr="00684D42" w:rsidRDefault="00464096" w:rsidP="00BE06D1">
            <w:r>
              <w:t xml:space="preserve">Well-differentiated neuroendocrine tumors (consider </w:t>
            </w:r>
            <w:r w:rsidR="00BC2C92">
              <w:t xml:space="preserve">the </w:t>
            </w:r>
            <w:r>
              <w:t xml:space="preserve">Colorectal NET </w:t>
            </w:r>
            <w:r w:rsidR="00BC2C92">
              <w:t>p</w:t>
            </w:r>
            <w:r>
              <w:t>rotocol)</w:t>
            </w:r>
          </w:p>
        </w:tc>
      </w:tr>
      <w:tr w:rsidR="00AF05A0" w:rsidRPr="00B74B56" w14:paraId="33EC690F" w14:textId="77777777" w:rsidTr="00CE22D7">
        <w:tc>
          <w:tcPr>
            <w:tcW w:w="9450" w:type="dxa"/>
          </w:tcPr>
          <w:p w14:paraId="389B2BCF" w14:textId="77777777" w:rsidR="00AF05A0" w:rsidRPr="00B74B56" w:rsidRDefault="00AF05A0" w:rsidP="00827888">
            <w:pPr>
              <w:rPr>
                <w:rFonts w:eastAsia="SimSun" w:cs="Arial"/>
              </w:rPr>
            </w:pPr>
            <w:r w:rsidRPr="00C433E0">
              <w:rPr>
                <w:rFonts w:eastAsia="SimSun" w:cs="Arial"/>
              </w:rPr>
              <w:t>Lymphoma</w:t>
            </w:r>
            <w:r>
              <w:rPr>
                <w:rFonts w:eastAsia="SimSun" w:cs="Arial"/>
              </w:rPr>
              <w:t xml:space="preserve"> (consider the Hodgkin or non-Hodgkin L</w:t>
            </w:r>
            <w:r w:rsidRPr="00C433E0">
              <w:rPr>
                <w:rFonts w:eastAsia="SimSun" w:cs="Arial"/>
              </w:rPr>
              <w:t>ymphoma</w:t>
            </w:r>
            <w:r>
              <w:rPr>
                <w:rFonts w:eastAsia="SimSun" w:cs="Arial"/>
              </w:rPr>
              <w:t xml:space="preserve"> protocol)</w:t>
            </w:r>
          </w:p>
        </w:tc>
      </w:tr>
      <w:tr w:rsidR="00AF05A0" w:rsidRPr="00B74B56" w14:paraId="52031357" w14:textId="77777777" w:rsidTr="00CE22D7">
        <w:tc>
          <w:tcPr>
            <w:tcW w:w="9450" w:type="dxa"/>
          </w:tcPr>
          <w:p w14:paraId="0F873B85" w14:textId="77777777" w:rsidR="00AF05A0" w:rsidRPr="00B74B56" w:rsidRDefault="00AF05A0" w:rsidP="00827888">
            <w:pPr>
              <w:rPr>
                <w:rFonts w:eastAsia="SimSun" w:cs="Arial"/>
              </w:rPr>
            </w:pPr>
            <w:r w:rsidRPr="00C433E0">
              <w:rPr>
                <w:rFonts w:eastAsia="SimSun" w:cs="Arial"/>
              </w:rPr>
              <w:t>Sarcoma</w:t>
            </w:r>
            <w:r>
              <w:rPr>
                <w:rFonts w:eastAsia="SimSun" w:cs="Arial"/>
              </w:rPr>
              <w:t xml:space="preserve"> (consider the Soft Tissue protocol)</w:t>
            </w:r>
          </w:p>
        </w:tc>
      </w:tr>
    </w:tbl>
    <w:p w14:paraId="5B09C905" w14:textId="77777777" w:rsidR="00161328" w:rsidRPr="00D9542B" w:rsidRDefault="00161328" w:rsidP="00D9542B">
      <w:pPr>
        <w:rPr>
          <w:kern w:val="20"/>
        </w:rPr>
      </w:pPr>
    </w:p>
    <w:p w14:paraId="2171AB8C" w14:textId="77777777" w:rsidR="00161328" w:rsidRPr="00D9542B" w:rsidRDefault="00161328" w:rsidP="00D9542B">
      <w:pPr>
        <w:pStyle w:val="Heading2"/>
        <w:rPr>
          <w:kern w:val="20"/>
        </w:rPr>
      </w:pPr>
      <w:r w:rsidRPr="00D9542B">
        <w:rPr>
          <w:kern w:val="20"/>
        </w:rPr>
        <w:t>Authors</w:t>
      </w:r>
    </w:p>
    <w:p w14:paraId="20CECE76" w14:textId="44D7AFAF" w:rsidR="001B2B19" w:rsidRPr="001B2B19" w:rsidRDefault="00DA4274" w:rsidP="00270A26">
      <w:pPr>
        <w:rPr>
          <w:kern w:val="20"/>
        </w:rPr>
      </w:pPr>
      <w:r>
        <w:rPr>
          <w:kern w:val="20"/>
        </w:rPr>
        <w:t xml:space="preserve">Lawrence J. Burgart, MD*, </w:t>
      </w:r>
      <w:r w:rsidR="00663D70">
        <w:rPr>
          <w:kern w:val="20"/>
        </w:rPr>
        <w:t>Chanjuan Shi MD, PhD*</w:t>
      </w:r>
      <w:r w:rsidR="00E31987">
        <w:rPr>
          <w:kern w:val="20"/>
        </w:rPr>
        <w:t>;</w:t>
      </w:r>
      <w:r w:rsidR="00663D70">
        <w:rPr>
          <w:kern w:val="20"/>
        </w:rPr>
        <w:t xml:space="preserve"> Mariana E. Berho</w:t>
      </w:r>
      <w:r w:rsidR="00E31987">
        <w:rPr>
          <w:kern w:val="20"/>
        </w:rPr>
        <w:t>,</w:t>
      </w:r>
      <w:r w:rsidR="00663D70">
        <w:rPr>
          <w:kern w:val="20"/>
        </w:rPr>
        <w:t xml:space="preserve"> MD, PhD</w:t>
      </w:r>
      <w:r w:rsidR="00E31987">
        <w:rPr>
          <w:kern w:val="20"/>
        </w:rPr>
        <w:t>;</w:t>
      </w:r>
      <w:r w:rsidR="00663D70">
        <w:rPr>
          <w:kern w:val="20"/>
        </w:rPr>
        <w:t xml:space="preserve"> David K. </w:t>
      </w:r>
      <w:proofErr w:type="spellStart"/>
      <w:r w:rsidR="00663D70">
        <w:rPr>
          <w:kern w:val="20"/>
        </w:rPr>
        <w:t>Driman</w:t>
      </w:r>
      <w:proofErr w:type="spellEnd"/>
      <w:r w:rsidR="00E31987">
        <w:rPr>
          <w:kern w:val="20"/>
        </w:rPr>
        <w:t>,</w:t>
      </w:r>
      <w:r w:rsidR="00663D70">
        <w:rPr>
          <w:kern w:val="20"/>
        </w:rPr>
        <w:t xml:space="preserve"> </w:t>
      </w:r>
      <w:proofErr w:type="spellStart"/>
      <w:r w:rsidR="00663D70">
        <w:rPr>
          <w:kern w:val="20"/>
        </w:rPr>
        <w:t>MBchB</w:t>
      </w:r>
      <w:proofErr w:type="spellEnd"/>
      <w:r w:rsidR="00E31987">
        <w:rPr>
          <w:kern w:val="20"/>
        </w:rPr>
        <w:t>;</w:t>
      </w:r>
      <w:r w:rsidR="00663D70">
        <w:rPr>
          <w:kern w:val="20"/>
        </w:rPr>
        <w:t xml:space="preserve"> </w:t>
      </w:r>
      <w:r w:rsidR="00EF27EE">
        <w:rPr>
          <w:kern w:val="20"/>
        </w:rPr>
        <w:t>Patrick Fitzgibbons</w:t>
      </w:r>
      <w:r w:rsidR="00E31987">
        <w:rPr>
          <w:kern w:val="20"/>
        </w:rPr>
        <w:t>,</w:t>
      </w:r>
      <w:r w:rsidR="00EF27EE">
        <w:rPr>
          <w:kern w:val="20"/>
        </w:rPr>
        <w:t xml:space="preserve"> MD</w:t>
      </w:r>
      <w:r w:rsidR="00E31987">
        <w:rPr>
          <w:kern w:val="20"/>
        </w:rPr>
        <w:t>;</w:t>
      </w:r>
      <w:r w:rsidR="00EF27EE">
        <w:rPr>
          <w:kern w:val="20"/>
        </w:rPr>
        <w:t xml:space="preserve"> Wendy L. Frankel</w:t>
      </w:r>
      <w:r w:rsidR="00E31987">
        <w:rPr>
          <w:kern w:val="20"/>
        </w:rPr>
        <w:t>,</w:t>
      </w:r>
      <w:r w:rsidR="00EF27EE">
        <w:rPr>
          <w:kern w:val="20"/>
        </w:rPr>
        <w:t xml:space="preserve"> MD</w:t>
      </w:r>
      <w:r w:rsidR="00E31987">
        <w:rPr>
          <w:kern w:val="20"/>
        </w:rPr>
        <w:t>;</w:t>
      </w:r>
      <w:r w:rsidR="00E60284">
        <w:rPr>
          <w:kern w:val="20"/>
        </w:rPr>
        <w:t xml:space="preserve"> Kalisha A. Hill</w:t>
      </w:r>
      <w:r w:rsidR="00E31987">
        <w:rPr>
          <w:kern w:val="20"/>
        </w:rPr>
        <w:t>,</w:t>
      </w:r>
      <w:r w:rsidR="00E60284">
        <w:rPr>
          <w:kern w:val="20"/>
        </w:rPr>
        <w:t xml:space="preserve"> MD, MBA</w:t>
      </w:r>
      <w:r w:rsidR="00E31987">
        <w:rPr>
          <w:kern w:val="20"/>
        </w:rPr>
        <w:t>;</w:t>
      </w:r>
      <w:r w:rsidR="00EF27EE">
        <w:rPr>
          <w:kern w:val="20"/>
        </w:rPr>
        <w:t xml:space="preserve"> John Jessup</w:t>
      </w:r>
      <w:r w:rsidR="00E31987">
        <w:rPr>
          <w:kern w:val="20"/>
        </w:rPr>
        <w:t>,</w:t>
      </w:r>
      <w:r w:rsidR="00EF27EE">
        <w:rPr>
          <w:kern w:val="20"/>
        </w:rPr>
        <w:t xml:space="preserve"> MD</w:t>
      </w:r>
      <w:r w:rsidR="00E31987">
        <w:rPr>
          <w:kern w:val="20"/>
        </w:rPr>
        <w:t>;</w:t>
      </w:r>
      <w:r w:rsidR="00EF27EE">
        <w:rPr>
          <w:kern w:val="20"/>
        </w:rPr>
        <w:t xml:space="preserve"> </w:t>
      </w:r>
      <w:r w:rsidR="00DD7044" w:rsidRPr="001B2B19">
        <w:rPr>
          <w:kern w:val="20"/>
        </w:rPr>
        <w:t>Sanjay Kakar</w:t>
      </w:r>
      <w:r w:rsidR="00DD7044">
        <w:rPr>
          <w:kern w:val="20"/>
        </w:rPr>
        <w:t>,</w:t>
      </w:r>
      <w:r w:rsidR="00DD7044" w:rsidRPr="001B2B19">
        <w:rPr>
          <w:kern w:val="20"/>
        </w:rPr>
        <w:t xml:space="preserve"> MD</w:t>
      </w:r>
      <w:r w:rsidR="00DD7044">
        <w:rPr>
          <w:kern w:val="20"/>
        </w:rPr>
        <w:t xml:space="preserve">; </w:t>
      </w:r>
      <w:r w:rsidR="00663D70">
        <w:t xml:space="preserve">Alyssa M. </w:t>
      </w:r>
      <w:proofErr w:type="spellStart"/>
      <w:r w:rsidR="00663D70">
        <w:t>Krasinskas</w:t>
      </w:r>
      <w:proofErr w:type="spellEnd"/>
      <w:r w:rsidR="00E31987">
        <w:t>,</w:t>
      </w:r>
      <w:r w:rsidR="00663D70">
        <w:t xml:space="preserve"> MD</w:t>
      </w:r>
      <w:r w:rsidR="00E31987">
        <w:t>;</w:t>
      </w:r>
      <w:r w:rsidR="00663D70">
        <w:t xml:space="preserve"> </w:t>
      </w:r>
      <w:r w:rsidR="005431AF" w:rsidRPr="005431AF">
        <w:rPr>
          <w:kern w:val="20"/>
        </w:rPr>
        <w:t>Mary K Washington</w:t>
      </w:r>
      <w:r w:rsidR="00E31987">
        <w:rPr>
          <w:kern w:val="20"/>
        </w:rPr>
        <w:t>,</w:t>
      </w:r>
      <w:r w:rsidR="005431AF" w:rsidRPr="005431AF">
        <w:rPr>
          <w:kern w:val="20"/>
        </w:rPr>
        <w:t xml:space="preserve"> MD</w:t>
      </w:r>
      <w:r w:rsidR="00E31987">
        <w:rPr>
          <w:kern w:val="20"/>
        </w:rPr>
        <w:t>,</w:t>
      </w:r>
      <w:r w:rsidR="005431AF" w:rsidRPr="005431AF">
        <w:rPr>
          <w:kern w:val="20"/>
        </w:rPr>
        <w:t xml:space="preserve"> PhD</w:t>
      </w:r>
    </w:p>
    <w:p w14:paraId="1D1677C2" w14:textId="77777777" w:rsidR="007E6865" w:rsidRPr="00BD08F2" w:rsidRDefault="007E6865" w:rsidP="007E6865">
      <w:pPr>
        <w:rPr>
          <w:rFonts w:cs="Arial"/>
          <w:kern w:val="18"/>
        </w:rPr>
      </w:pPr>
      <w:r w:rsidRPr="00BD08F2">
        <w:rPr>
          <w:rFonts w:cs="Arial"/>
          <w:kern w:val="18"/>
        </w:rPr>
        <w:t>With guidance from the CAP Cancer and CAP Pathology Electronic Reporting Committee</w:t>
      </w:r>
      <w:r>
        <w:rPr>
          <w:rFonts w:cs="Arial"/>
          <w:kern w:val="18"/>
        </w:rPr>
        <w:t>s</w:t>
      </w:r>
      <w:r w:rsidRPr="00BD08F2">
        <w:rPr>
          <w:rFonts w:cs="Arial"/>
          <w:kern w:val="18"/>
        </w:rPr>
        <w:t>.</w:t>
      </w:r>
    </w:p>
    <w:p w14:paraId="01FD2153" w14:textId="77777777" w:rsidR="007E6865" w:rsidRPr="000953DF" w:rsidRDefault="007E6865" w:rsidP="003C281F">
      <w:pPr>
        <w:spacing w:before="60"/>
        <w:rPr>
          <w:rFonts w:cs="Arial"/>
          <w:i/>
          <w:kern w:val="18"/>
          <w:sz w:val="18"/>
          <w:szCs w:val="18"/>
        </w:rPr>
      </w:pPr>
      <w:r w:rsidRPr="000953DF">
        <w:rPr>
          <w:rFonts w:cs="Arial"/>
          <w:i/>
          <w:kern w:val="18"/>
          <w:sz w:val="18"/>
          <w:szCs w:val="18"/>
        </w:rPr>
        <w:t xml:space="preserve">* Denotes primary author. </w:t>
      </w:r>
      <w:r w:rsidRPr="000953DF">
        <w:rPr>
          <w:rFonts w:cs="Arial"/>
          <w:i/>
          <w:kern w:val="20"/>
          <w:sz w:val="18"/>
          <w:szCs w:val="18"/>
        </w:rPr>
        <w:t>A</w:t>
      </w:r>
      <w:r w:rsidRPr="000953DF">
        <w:rPr>
          <w:rFonts w:cs="Arial"/>
          <w:i/>
          <w:kern w:val="18"/>
          <w:sz w:val="18"/>
          <w:szCs w:val="18"/>
        </w:rPr>
        <w:t>ll other contributing authors are listed alphabetically.</w:t>
      </w:r>
    </w:p>
    <w:p w14:paraId="66F42A71" w14:textId="07A9600E" w:rsidR="00C23BA8" w:rsidRDefault="00C23BA8" w:rsidP="007E6865">
      <w:pPr>
        <w:pStyle w:val="Head2"/>
        <w:rPr>
          <w:szCs w:val="26"/>
        </w:rPr>
      </w:pPr>
    </w:p>
    <w:p w14:paraId="7E794DAC" w14:textId="77777777" w:rsidR="00CC0912" w:rsidRPr="00CF40F7" w:rsidRDefault="00CC0912" w:rsidP="00CC0912">
      <w:pPr>
        <w:pStyle w:val="Head2"/>
        <w:rPr>
          <w:sz w:val="20"/>
        </w:rPr>
      </w:pPr>
      <w:r w:rsidRPr="00CF40F7">
        <w:rPr>
          <w:sz w:val="20"/>
        </w:rPr>
        <w:t>Accreditation Requirements</w:t>
      </w:r>
    </w:p>
    <w:p w14:paraId="07D6BAF4" w14:textId="0EA5B81F" w:rsidR="00CC0912" w:rsidRPr="00CF40F7" w:rsidRDefault="00CC0912" w:rsidP="00CC0912">
      <w:pPr>
        <w:pStyle w:val="Head2"/>
        <w:rPr>
          <w:b w:val="0"/>
          <w:bCs/>
          <w:sz w:val="20"/>
        </w:rPr>
      </w:pPr>
      <w:r w:rsidRPr="00CF40F7">
        <w:rPr>
          <w:b w:val="0"/>
          <w:bCs/>
          <w:sz w:val="20"/>
        </w:rPr>
        <w:t>The use of this biopsy case summary is recommended for clinical care purposes but is not required for accreditation purposes. The core and conditional data elements are routinely reported for biopsy specimens. Non-core data elements are included to allow for reporting information that may be of clinical value.</w:t>
      </w:r>
    </w:p>
    <w:p w14:paraId="400D2139" w14:textId="77777777" w:rsidR="00C23BA8" w:rsidRPr="009C0147" w:rsidRDefault="00C23BA8" w:rsidP="007E6865">
      <w:pPr>
        <w:pStyle w:val="Head2"/>
        <w:rPr>
          <w:szCs w:val="26"/>
        </w:rPr>
      </w:pPr>
    </w:p>
    <w:p w14:paraId="52C04EF7" w14:textId="77777777" w:rsidR="007E6865" w:rsidRPr="009C0147" w:rsidRDefault="00B6731E" w:rsidP="007E6865">
      <w:pPr>
        <w:pStyle w:val="Head2"/>
        <w:rPr>
          <w:szCs w:val="26"/>
        </w:rPr>
      </w:pPr>
      <w:r>
        <w:rPr>
          <w:szCs w:val="26"/>
        </w:rPr>
        <w:t>Summary of Changes</w:t>
      </w:r>
    </w:p>
    <w:p w14:paraId="6FED6154" w14:textId="77777777" w:rsidR="00254A98" w:rsidRPr="00254A98" w:rsidRDefault="00254A98" w:rsidP="00254A98">
      <w:pPr>
        <w:rPr>
          <w:rFonts w:cs="Arial"/>
          <w:b/>
          <w:kern w:val="0"/>
        </w:rPr>
      </w:pPr>
      <w:bookmarkStart w:id="1" w:name="_Hlk19870002"/>
      <w:r w:rsidRPr="00254A98">
        <w:rPr>
          <w:rFonts w:cs="Arial"/>
          <w:b/>
          <w:kern w:val="0"/>
        </w:rPr>
        <w:t>Version 4.1.0.0</w:t>
      </w:r>
    </w:p>
    <w:p w14:paraId="00BBC1AA" w14:textId="77777777" w:rsidR="00254A98" w:rsidRPr="00254A98" w:rsidRDefault="00254A98" w:rsidP="00254A98">
      <w:pPr>
        <w:rPr>
          <w:rFonts w:cs="Arial"/>
          <w:b/>
          <w:kern w:val="0"/>
        </w:rPr>
      </w:pPr>
      <w:r w:rsidRPr="00254A98">
        <w:rPr>
          <w:rFonts w:cs="Arial"/>
          <w:b/>
          <w:kern w:val="0"/>
        </w:rPr>
        <w:t>The following data elements were modified:</w:t>
      </w:r>
    </w:p>
    <w:bookmarkEnd w:id="1"/>
    <w:p w14:paraId="41227F6E" w14:textId="77777777" w:rsidR="00260FA1" w:rsidRPr="00260FA1" w:rsidRDefault="00260FA1" w:rsidP="00260FA1">
      <w:pPr>
        <w:rPr>
          <w:rFonts w:eastAsia="Arial" w:cs="Arial"/>
        </w:rPr>
      </w:pPr>
      <w:r w:rsidRPr="00260FA1">
        <w:rPr>
          <w:rFonts w:eastAsia="Arial" w:cs="Arial"/>
        </w:rPr>
        <w:t>Resection and biopsy case summaries separated into discrete cancer protocols</w:t>
      </w:r>
    </w:p>
    <w:p w14:paraId="637F7D25" w14:textId="77777777" w:rsidR="00260FA1" w:rsidRPr="00260FA1" w:rsidRDefault="00260FA1" w:rsidP="00260FA1">
      <w:pPr>
        <w:rPr>
          <w:rFonts w:eastAsia="Arial" w:cs="Arial"/>
        </w:rPr>
      </w:pPr>
      <w:r w:rsidRPr="00260FA1">
        <w:rPr>
          <w:rFonts w:eastAsia="Arial" w:cs="Arial"/>
        </w:rPr>
        <w:t>Histologic Type (WHO 2019)</w:t>
      </w:r>
    </w:p>
    <w:p w14:paraId="4252A27C" w14:textId="77777777" w:rsidR="00052C42" w:rsidRDefault="00052C42" w:rsidP="007E6865">
      <w:pPr>
        <w:rPr>
          <w:rFonts w:cs="Arial"/>
          <w:b/>
        </w:rPr>
      </w:pPr>
    </w:p>
    <w:p w14:paraId="773042D0" w14:textId="77777777" w:rsidR="00FB030E" w:rsidRPr="00D9542B" w:rsidRDefault="00FB030E" w:rsidP="00D9542B">
      <w:pPr>
        <w:spacing w:before="180"/>
        <w:rPr>
          <w:kern w:val="20"/>
        </w:rPr>
        <w:sectPr w:rsidR="00FB030E" w:rsidRPr="00D9542B" w:rsidSect="008E4AAD">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080" w:bottom="720" w:left="1080" w:header="907" w:footer="936" w:gutter="0"/>
          <w:cols w:space="720"/>
          <w:titlePg/>
        </w:sectPr>
      </w:pPr>
    </w:p>
    <w:p w14:paraId="1180289E" w14:textId="77777777" w:rsidR="00161328" w:rsidRPr="00D9542B" w:rsidRDefault="00161328" w:rsidP="00D9542B">
      <w:pPr>
        <w:pStyle w:val="Head2"/>
        <w:rPr>
          <w:kern w:val="20"/>
        </w:rPr>
      </w:pPr>
      <w:r w:rsidRPr="00D9542B">
        <w:rPr>
          <w:kern w:val="20"/>
        </w:rPr>
        <w:lastRenderedPageBreak/>
        <w:t>Surgical Pathology</w:t>
      </w:r>
      <w:r w:rsidR="00B47864" w:rsidRPr="00D9542B">
        <w:rPr>
          <w:kern w:val="20"/>
        </w:rPr>
        <w:t xml:space="preserve"> Cancer Case Summary</w:t>
      </w:r>
    </w:p>
    <w:p w14:paraId="7CA2DD08" w14:textId="77777777" w:rsidR="00161328" w:rsidRPr="00D9542B" w:rsidRDefault="00161328" w:rsidP="00D9542B">
      <w:pPr>
        <w:rPr>
          <w:kern w:val="20"/>
        </w:rPr>
      </w:pPr>
    </w:p>
    <w:p w14:paraId="0F067F7C" w14:textId="428E3666" w:rsidR="00161328" w:rsidRPr="00D9542B" w:rsidRDefault="00161328" w:rsidP="00D9542B">
      <w:pPr>
        <w:rPr>
          <w:kern w:val="20"/>
        </w:rPr>
      </w:pPr>
      <w:r w:rsidRPr="00D9542B">
        <w:rPr>
          <w:kern w:val="20"/>
        </w:rPr>
        <w:t>Protocol</w:t>
      </w:r>
      <w:r w:rsidR="007B5B10">
        <w:rPr>
          <w:kern w:val="20"/>
        </w:rPr>
        <w:t xml:space="preserve"> </w:t>
      </w:r>
      <w:r w:rsidRPr="00D9542B">
        <w:rPr>
          <w:kern w:val="20"/>
        </w:rPr>
        <w:t xml:space="preserve">posting date: </w:t>
      </w:r>
      <w:r w:rsidR="00254A98">
        <w:rPr>
          <w:kern w:val="20"/>
        </w:rPr>
        <w:t>February 2020</w:t>
      </w:r>
    </w:p>
    <w:p w14:paraId="07556A07" w14:textId="77777777" w:rsidR="00161328" w:rsidRPr="00D9542B" w:rsidRDefault="00161328" w:rsidP="00D9542B">
      <w:pPr>
        <w:pStyle w:val="Footer"/>
        <w:tabs>
          <w:tab w:val="clear" w:pos="4320"/>
          <w:tab w:val="clear" w:pos="8640"/>
        </w:tabs>
        <w:rPr>
          <w:kern w:val="20"/>
        </w:rPr>
      </w:pPr>
    </w:p>
    <w:p w14:paraId="72D147EF" w14:textId="77777777" w:rsidR="00161328" w:rsidRDefault="00161328" w:rsidP="00D9542B">
      <w:pPr>
        <w:pStyle w:val="Heading1"/>
        <w:rPr>
          <w:kern w:val="20"/>
        </w:rPr>
      </w:pPr>
      <w:r w:rsidRPr="00D9542B">
        <w:rPr>
          <w:kern w:val="20"/>
        </w:rPr>
        <w:t>COLON AND RECTUM: Excisional Biopsy (Polypectomy)</w:t>
      </w:r>
    </w:p>
    <w:p w14:paraId="61C1A145" w14:textId="77777777" w:rsidR="001B47D7" w:rsidRDefault="001B47D7" w:rsidP="00C43652"/>
    <w:p w14:paraId="5C54C13C" w14:textId="77777777" w:rsidR="001B47D7" w:rsidRPr="00C43652" w:rsidRDefault="001B47D7" w:rsidP="00C43652">
      <w:pPr>
        <w:rPr>
          <w:b/>
        </w:rPr>
      </w:pPr>
      <w:r w:rsidRPr="00C43652">
        <w:rPr>
          <w:b/>
        </w:rPr>
        <w:t xml:space="preserve">Note: This </w:t>
      </w:r>
      <w:r w:rsidR="00A14ECA">
        <w:rPr>
          <w:b/>
        </w:rPr>
        <w:t>case summary</w:t>
      </w:r>
      <w:r w:rsidRPr="00C43652">
        <w:rPr>
          <w:b/>
        </w:rPr>
        <w:t xml:space="preserve"> is recommended for reporting </w:t>
      </w:r>
      <w:r w:rsidR="000D4A8B">
        <w:rPr>
          <w:b/>
        </w:rPr>
        <w:t xml:space="preserve">excisional </w:t>
      </w:r>
      <w:r w:rsidRPr="00C43652">
        <w:rPr>
          <w:b/>
        </w:rPr>
        <w:t xml:space="preserve">biopsy </w:t>
      </w:r>
      <w:proofErr w:type="gramStart"/>
      <w:r w:rsidRPr="00C43652">
        <w:rPr>
          <w:b/>
        </w:rPr>
        <w:t>specimens, but</w:t>
      </w:r>
      <w:proofErr w:type="gramEnd"/>
      <w:r w:rsidRPr="00C43652">
        <w:rPr>
          <w:b/>
        </w:rPr>
        <w:t xml:space="preserve"> is not required for accreditation purposes.</w:t>
      </w:r>
      <w:r w:rsidR="00C23BA8">
        <w:rPr>
          <w:b/>
        </w:rPr>
        <w:t xml:space="preserve"> </w:t>
      </w:r>
      <w:r w:rsidR="00C23BA8" w:rsidRPr="00354ABD">
        <w:rPr>
          <w:rFonts w:cs="Arial"/>
          <w:b/>
        </w:rPr>
        <w:t>Core data elements are bolded to help identify routinely reported elements.</w:t>
      </w:r>
    </w:p>
    <w:p w14:paraId="3A860D96" w14:textId="77777777" w:rsidR="00161328" w:rsidRPr="00D9542B" w:rsidRDefault="00161328" w:rsidP="00D9542B">
      <w:pPr>
        <w:rPr>
          <w:kern w:val="20"/>
        </w:rPr>
      </w:pPr>
    </w:p>
    <w:p w14:paraId="43C417D2" w14:textId="77777777" w:rsidR="00161328" w:rsidRPr="00D9542B" w:rsidRDefault="00161328" w:rsidP="00D9542B">
      <w:pPr>
        <w:pStyle w:val="Heading2"/>
        <w:rPr>
          <w:kern w:val="20"/>
        </w:rPr>
      </w:pPr>
      <w:r w:rsidRPr="00D9542B">
        <w:rPr>
          <w:kern w:val="20"/>
        </w:rPr>
        <w:t>Select a single response unless otherwise indicated.</w:t>
      </w:r>
    </w:p>
    <w:p w14:paraId="54D2B572" w14:textId="77777777" w:rsidR="00161328" w:rsidRPr="00D9542B" w:rsidRDefault="00161328" w:rsidP="00D9542B"/>
    <w:p w14:paraId="3287AE4E" w14:textId="77777777" w:rsidR="00161328" w:rsidRPr="00D9542B" w:rsidRDefault="00161328" w:rsidP="00D9542B">
      <w:pPr>
        <w:pStyle w:val="Heading2"/>
        <w:rPr>
          <w:kern w:val="20"/>
        </w:rPr>
      </w:pPr>
      <w:bookmarkStart w:id="2" w:name="_Hlk22891965"/>
      <w:r w:rsidRPr="00D9542B">
        <w:rPr>
          <w:kern w:val="20"/>
        </w:rPr>
        <w:t>Tumor Site (Note A)</w:t>
      </w:r>
    </w:p>
    <w:p w14:paraId="1A36C2A6" w14:textId="77777777" w:rsidR="00161328" w:rsidRDefault="00161328" w:rsidP="00D9542B">
      <w:pPr>
        <w:rPr>
          <w:kern w:val="20"/>
        </w:rPr>
      </w:pPr>
      <w:r w:rsidRPr="00D9542B">
        <w:rPr>
          <w:kern w:val="20"/>
        </w:rPr>
        <w:t>___ Cecum</w:t>
      </w:r>
    </w:p>
    <w:p w14:paraId="41D62BC1" w14:textId="77777777" w:rsidR="00D2136F" w:rsidRPr="00D9542B" w:rsidRDefault="00D2136F" w:rsidP="00D9542B">
      <w:pPr>
        <w:rPr>
          <w:kern w:val="20"/>
        </w:rPr>
      </w:pPr>
      <w:r>
        <w:rPr>
          <w:kern w:val="20"/>
        </w:rPr>
        <w:t>___ Ileocecal valve</w:t>
      </w:r>
    </w:p>
    <w:p w14:paraId="50594F99" w14:textId="7E5D9646" w:rsidR="00161328" w:rsidRPr="00D9542B" w:rsidRDefault="00161328" w:rsidP="00D9542B">
      <w:pPr>
        <w:rPr>
          <w:kern w:val="20"/>
        </w:rPr>
      </w:pPr>
      <w:r w:rsidRPr="00756FB3">
        <w:rPr>
          <w:kern w:val="20"/>
        </w:rPr>
        <w:t xml:space="preserve">___ </w:t>
      </w:r>
      <w:r w:rsidR="00756FB3">
        <w:rPr>
          <w:kern w:val="20"/>
        </w:rPr>
        <w:t>A</w:t>
      </w:r>
      <w:r w:rsidRPr="00756FB3">
        <w:rPr>
          <w:kern w:val="20"/>
        </w:rPr>
        <w:t>scending colon</w:t>
      </w:r>
    </w:p>
    <w:p w14:paraId="0D4F7B2C" w14:textId="77777777" w:rsidR="00161328" w:rsidRPr="00D9542B" w:rsidRDefault="00161328" w:rsidP="00D9542B">
      <w:pPr>
        <w:rPr>
          <w:kern w:val="20"/>
        </w:rPr>
      </w:pPr>
      <w:r w:rsidRPr="00D9542B">
        <w:rPr>
          <w:kern w:val="20"/>
        </w:rPr>
        <w:t>___ Hepatic flexure</w:t>
      </w:r>
    </w:p>
    <w:p w14:paraId="3D35119D" w14:textId="77777777" w:rsidR="00161328" w:rsidRPr="00D9542B" w:rsidRDefault="00161328" w:rsidP="00D9542B">
      <w:pPr>
        <w:rPr>
          <w:kern w:val="20"/>
        </w:rPr>
      </w:pPr>
      <w:r w:rsidRPr="00D9542B">
        <w:rPr>
          <w:kern w:val="20"/>
        </w:rPr>
        <w:t>___ Transverse colon</w:t>
      </w:r>
    </w:p>
    <w:p w14:paraId="37F18A94" w14:textId="77777777" w:rsidR="00161328" w:rsidRPr="00D9542B" w:rsidRDefault="00161328" w:rsidP="00D9542B">
      <w:pPr>
        <w:rPr>
          <w:kern w:val="20"/>
        </w:rPr>
      </w:pPr>
      <w:r w:rsidRPr="00D9542B">
        <w:rPr>
          <w:kern w:val="20"/>
        </w:rPr>
        <w:t>___ Splenic flexure</w:t>
      </w:r>
    </w:p>
    <w:p w14:paraId="485E21BD" w14:textId="273AF5C6" w:rsidR="00161328" w:rsidRPr="00D9542B" w:rsidRDefault="00161328" w:rsidP="00D9542B">
      <w:pPr>
        <w:rPr>
          <w:kern w:val="20"/>
        </w:rPr>
      </w:pPr>
      <w:r w:rsidRPr="00756FB3">
        <w:rPr>
          <w:kern w:val="20"/>
        </w:rPr>
        <w:t xml:space="preserve">___ </w:t>
      </w:r>
      <w:r w:rsidR="00756FB3">
        <w:rPr>
          <w:kern w:val="20"/>
        </w:rPr>
        <w:t>D</w:t>
      </w:r>
      <w:r w:rsidRPr="00756FB3">
        <w:rPr>
          <w:kern w:val="20"/>
        </w:rPr>
        <w:t>escending colon</w:t>
      </w:r>
    </w:p>
    <w:p w14:paraId="5E411E8F" w14:textId="77777777" w:rsidR="00161328" w:rsidRDefault="00161328" w:rsidP="00D9542B">
      <w:pPr>
        <w:rPr>
          <w:kern w:val="20"/>
        </w:rPr>
      </w:pPr>
      <w:r w:rsidRPr="00D9542B">
        <w:rPr>
          <w:kern w:val="20"/>
        </w:rPr>
        <w:t>___ Sigmoid colon</w:t>
      </w:r>
    </w:p>
    <w:p w14:paraId="033E380F" w14:textId="77777777" w:rsidR="00D2136F" w:rsidRPr="00D9542B" w:rsidRDefault="00D2136F" w:rsidP="00D9542B">
      <w:pPr>
        <w:rPr>
          <w:kern w:val="20"/>
        </w:rPr>
      </w:pPr>
      <w:r>
        <w:rPr>
          <w:kern w:val="20"/>
        </w:rPr>
        <w:t xml:space="preserve">___ Rectosigmoid </w:t>
      </w:r>
    </w:p>
    <w:p w14:paraId="04F93E57" w14:textId="77777777" w:rsidR="00161328" w:rsidRPr="00D9542B" w:rsidRDefault="00161328" w:rsidP="00D9542B">
      <w:pPr>
        <w:rPr>
          <w:kern w:val="20"/>
        </w:rPr>
      </w:pPr>
      <w:r w:rsidRPr="00D9542B">
        <w:rPr>
          <w:kern w:val="20"/>
        </w:rPr>
        <w:t>___ Rectum</w:t>
      </w:r>
    </w:p>
    <w:p w14:paraId="68D94D7F" w14:textId="77777777" w:rsidR="00161328" w:rsidRPr="00D9542B" w:rsidRDefault="00161328" w:rsidP="00D9542B">
      <w:pPr>
        <w:rPr>
          <w:kern w:val="20"/>
        </w:rPr>
      </w:pPr>
      <w:r w:rsidRPr="00D9542B">
        <w:rPr>
          <w:kern w:val="20"/>
        </w:rPr>
        <w:t>___ Other (specify): ________________________</w:t>
      </w:r>
    </w:p>
    <w:p w14:paraId="737EF351" w14:textId="77777777" w:rsidR="00161328" w:rsidRPr="00D9542B" w:rsidRDefault="00161328" w:rsidP="00D9542B">
      <w:pPr>
        <w:rPr>
          <w:kern w:val="20"/>
        </w:rPr>
      </w:pPr>
      <w:r w:rsidRPr="00D9542B">
        <w:rPr>
          <w:kern w:val="20"/>
        </w:rPr>
        <w:t>___ Not specified</w:t>
      </w:r>
    </w:p>
    <w:p w14:paraId="68495472" w14:textId="77777777" w:rsidR="00161328" w:rsidRPr="00D9542B" w:rsidRDefault="00161328" w:rsidP="00D9542B">
      <w:pPr>
        <w:rPr>
          <w:kern w:val="20"/>
        </w:rPr>
      </w:pPr>
    </w:p>
    <w:bookmarkEnd w:id="2"/>
    <w:p w14:paraId="60399A84" w14:textId="77777777" w:rsidR="00161328" w:rsidRPr="00980EB3" w:rsidRDefault="00161328" w:rsidP="00D9542B">
      <w:pPr>
        <w:pStyle w:val="Heading2"/>
        <w:rPr>
          <w:b w:val="0"/>
          <w:kern w:val="20"/>
        </w:rPr>
      </w:pPr>
      <w:r w:rsidRPr="00980EB3">
        <w:rPr>
          <w:b w:val="0"/>
          <w:kern w:val="20"/>
        </w:rPr>
        <w:t>Specimen Integrity</w:t>
      </w:r>
    </w:p>
    <w:p w14:paraId="1CE99285" w14:textId="77777777" w:rsidR="00161328" w:rsidRPr="00D9542B" w:rsidRDefault="00161328" w:rsidP="00D9542B">
      <w:pPr>
        <w:rPr>
          <w:kern w:val="20"/>
        </w:rPr>
      </w:pPr>
      <w:r w:rsidRPr="00D9542B">
        <w:rPr>
          <w:kern w:val="20"/>
        </w:rPr>
        <w:t>___ Intact</w:t>
      </w:r>
    </w:p>
    <w:p w14:paraId="47A6C69E" w14:textId="77777777" w:rsidR="00161328" w:rsidRPr="00D9542B" w:rsidRDefault="00161328" w:rsidP="00D9542B">
      <w:pPr>
        <w:ind w:left="540" w:hanging="540"/>
        <w:rPr>
          <w:kern w:val="20"/>
        </w:rPr>
      </w:pPr>
      <w:r w:rsidRPr="00D9542B">
        <w:rPr>
          <w:kern w:val="20"/>
        </w:rPr>
        <w:t>___ Fragmented</w:t>
      </w:r>
    </w:p>
    <w:p w14:paraId="641E6E1E" w14:textId="77777777" w:rsidR="00161328" w:rsidRPr="00D9542B" w:rsidRDefault="00161328" w:rsidP="00D9542B"/>
    <w:p w14:paraId="7E73631D" w14:textId="77777777" w:rsidR="00161328" w:rsidRPr="00980EB3" w:rsidRDefault="00161328" w:rsidP="00D9542B">
      <w:pPr>
        <w:pStyle w:val="Heading2"/>
        <w:rPr>
          <w:b w:val="0"/>
          <w:kern w:val="20"/>
        </w:rPr>
      </w:pPr>
      <w:r w:rsidRPr="00980EB3">
        <w:rPr>
          <w:b w:val="0"/>
          <w:kern w:val="20"/>
        </w:rPr>
        <w:t>Polyp Size</w:t>
      </w:r>
    </w:p>
    <w:p w14:paraId="2BAE5728" w14:textId="77777777" w:rsidR="00161328" w:rsidRPr="00D9542B" w:rsidRDefault="00161328" w:rsidP="00D9542B">
      <w:pPr>
        <w:rPr>
          <w:kern w:val="20"/>
        </w:rPr>
      </w:pPr>
      <w:r w:rsidRPr="00D9542B">
        <w:rPr>
          <w:kern w:val="20"/>
        </w:rPr>
        <w:t>Greatest dimension</w:t>
      </w:r>
      <w:r w:rsidR="0018505E">
        <w:rPr>
          <w:kern w:val="20"/>
        </w:rPr>
        <w:t xml:space="preserve"> (centimeters)</w:t>
      </w:r>
      <w:r w:rsidRPr="00D9542B">
        <w:rPr>
          <w:kern w:val="20"/>
        </w:rPr>
        <w:t>: ___ cm</w:t>
      </w:r>
    </w:p>
    <w:p w14:paraId="5A526AAD" w14:textId="77777777" w:rsidR="00161328" w:rsidRPr="00D9542B" w:rsidRDefault="00161328" w:rsidP="00D9542B">
      <w:pPr>
        <w:rPr>
          <w:kern w:val="20"/>
        </w:rPr>
      </w:pPr>
      <w:r w:rsidRPr="00D9542B">
        <w:rPr>
          <w:kern w:val="20"/>
        </w:rPr>
        <w:t>Additional dimensions</w:t>
      </w:r>
      <w:r w:rsidR="00ED22D3">
        <w:rPr>
          <w:kern w:val="20"/>
        </w:rPr>
        <w:t xml:space="preserve"> </w:t>
      </w:r>
      <w:r w:rsidR="0018505E">
        <w:rPr>
          <w:kern w:val="20"/>
        </w:rPr>
        <w:t>(centimeters)</w:t>
      </w:r>
      <w:r w:rsidRPr="00D9542B">
        <w:rPr>
          <w:kern w:val="20"/>
        </w:rPr>
        <w:t>: ___ x ___ cm</w:t>
      </w:r>
    </w:p>
    <w:p w14:paraId="26D36430" w14:textId="77777777" w:rsidR="00161328" w:rsidRPr="00D9542B" w:rsidRDefault="00161328" w:rsidP="00D9542B">
      <w:pPr>
        <w:rPr>
          <w:kern w:val="20"/>
        </w:rPr>
      </w:pPr>
      <w:r w:rsidRPr="00D9542B">
        <w:rPr>
          <w:kern w:val="20"/>
        </w:rPr>
        <w:t xml:space="preserve">___ Cannot be determined </w:t>
      </w:r>
      <w:r w:rsidR="0054747E" w:rsidRPr="00D9542B">
        <w:rPr>
          <w:kern w:val="20"/>
        </w:rPr>
        <w:t>(explain): _______________________________</w:t>
      </w:r>
    </w:p>
    <w:p w14:paraId="16B74A26" w14:textId="77777777" w:rsidR="00161328" w:rsidRPr="00D9542B" w:rsidRDefault="00161328" w:rsidP="00D9542B">
      <w:pPr>
        <w:rPr>
          <w:b/>
          <w:kern w:val="20"/>
        </w:rPr>
      </w:pPr>
    </w:p>
    <w:p w14:paraId="10A45CF0" w14:textId="77777777" w:rsidR="00161328" w:rsidRPr="00980EB3" w:rsidRDefault="00161328" w:rsidP="00D9542B">
      <w:pPr>
        <w:pStyle w:val="Heading2"/>
        <w:rPr>
          <w:b w:val="0"/>
          <w:kern w:val="20"/>
        </w:rPr>
      </w:pPr>
      <w:r w:rsidRPr="00980EB3">
        <w:rPr>
          <w:b w:val="0"/>
          <w:kern w:val="20"/>
        </w:rPr>
        <w:t xml:space="preserve">Polyp Configuration </w:t>
      </w:r>
    </w:p>
    <w:p w14:paraId="0C8E2175" w14:textId="77777777" w:rsidR="002B2390" w:rsidRPr="00D9542B" w:rsidRDefault="00161328" w:rsidP="00D9542B">
      <w:pPr>
        <w:rPr>
          <w:kern w:val="20"/>
        </w:rPr>
      </w:pPr>
      <w:r w:rsidRPr="00D9542B">
        <w:rPr>
          <w:kern w:val="20"/>
        </w:rPr>
        <w:t>___ Pedunculated with stalk</w:t>
      </w:r>
    </w:p>
    <w:p w14:paraId="43A636CF" w14:textId="77777777" w:rsidR="00161328" w:rsidRPr="00D9542B" w:rsidRDefault="00161328" w:rsidP="00D9542B">
      <w:pPr>
        <w:rPr>
          <w:kern w:val="20"/>
        </w:rPr>
      </w:pPr>
      <w:r w:rsidRPr="00D9542B">
        <w:rPr>
          <w:kern w:val="20"/>
        </w:rPr>
        <w:tab/>
        <w:t>Stalk length</w:t>
      </w:r>
      <w:r w:rsidR="00ED22D3">
        <w:rPr>
          <w:kern w:val="20"/>
        </w:rPr>
        <w:t xml:space="preserve"> </w:t>
      </w:r>
      <w:r w:rsidR="0018505E">
        <w:rPr>
          <w:kern w:val="20"/>
        </w:rPr>
        <w:t>(centimeters)</w:t>
      </w:r>
      <w:r w:rsidRPr="00D9542B">
        <w:rPr>
          <w:kern w:val="20"/>
        </w:rPr>
        <w:t>: ___ cm</w:t>
      </w:r>
    </w:p>
    <w:p w14:paraId="5A916A9B" w14:textId="77777777" w:rsidR="00161328" w:rsidRPr="00D9542B" w:rsidRDefault="00161328" w:rsidP="00D9542B">
      <w:pPr>
        <w:rPr>
          <w:kern w:val="20"/>
        </w:rPr>
      </w:pPr>
      <w:r w:rsidRPr="00D9542B">
        <w:rPr>
          <w:kern w:val="20"/>
        </w:rPr>
        <w:t>___ Sessile</w:t>
      </w:r>
    </w:p>
    <w:p w14:paraId="17B39A1F" w14:textId="77777777" w:rsidR="00161328" w:rsidRPr="00D9542B" w:rsidRDefault="00161328" w:rsidP="00D9542B">
      <w:pPr>
        <w:rPr>
          <w:b/>
          <w:kern w:val="20"/>
        </w:rPr>
      </w:pPr>
    </w:p>
    <w:p w14:paraId="602C5A9F" w14:textId="77777777" w:rsidR="00161328" w:rsidRPr="00980EB3" w:rsidRDefault="00161328" w:rsidP="00D9542B">
      <w:pPr>
        <w:rPr>
          <w:kern w:val="20"/>
        </w:rPr>
      </w:pPr>
      <w:r w:rsidRPr="00980EB3">
        <w:rPr>
          <w:kern w:val="20"/>
        </w:rPr>
        <w:t xml:space="preserve">Size of Invasive Carcinoma </w:t>
      </w:r>
    </w:p>
    <w:p w14:paraId="209D6AEB" w14:textId="77777777" w:rsidR="00161328" w:rsidRPr="00D9542B" w:rsidRDefault="00161328" w:rsidP="00D9542B">
      <w:pPr>
        <w:rPr>
          <w:kern w:val="20"/>
        </w:rPr>
      </w:pPr>
      <w:r w:rsidRPr="00D9542B">
        <w:rPr>
          <w:kern w:val="20"/>
        </w:rPr>
        <w:t>Greatest dimension</w:t>
      </w:r>
      <w:r w:rsidR="00ED22D3">
        <w:rPr>
          <w:kern w:val="20"/>
        </w:rPr>
        <w:t xml:space="preserve"> </w:t>
      </w:r>
      <w:r w:rsidR="0018505E">
        <w:rPr>
          <w:kern w:val="20"/>
        </w:rPr>
        <w:t>(centimeters)</w:t>
      </w:r>
      <w:r w:rsidRPr="00D9542B">
        <w:rPr>
          <w:kern w:val="20"/>
        </w:rPr>
        <w:t>: ___ cm</w:t>
      </w:r>
    </w:p>
    <w:p w14:paraId="521B7517" w14:textId="77777777" w:rsidR="00161328" w:rsidRPr="00D9542B" w:rsidRDefault="00161328" w:rsidP="00D9542B">
      <w:pPr>
        <w:rPr>
          <w:kern w:val="20"/>
        </w:rPr>
      </w:pPr>
      <w:r w:rsidRPr="00D9542B">
        <w:rPr>
          <w:kern w:val="20"/>
        </w:rPr>
        <w:t>Additional dimensions</w:t>
      </w:r>
      <w:r w:rsidR="00ED22D3">
        <w:rPr>
          <w:kern w:val="20"/>
        </w:rPr>
        <w:t xml:space="preserve"> </w:t>
      </w:r>
      <w:r w:rsidR="0018505E">
        <w:rPr>
          <w:kern w:val="20"/>
        </w:rPr>
        <w:t>(centimeters)</w:t>
      </w:r>
      <w:r w:rsidRPr="00D9542B">
        <w:rPr>
          <w:kern w:val="20"/>
        </w:rPr>
        <w:t>: ___x ___ cm</w:t>
      </w:r>
    </w:p>
    <w:p w14:paraId="0267C448" w14:textId="77777777" w:rsidR="00161328" w:rsidRPr="00D9542B" w:rsidRDefault="00161328" w:rsidP="00D9542B">
      <w:pPr>
        <w:rPr>
          <w:kern w:val="20"/>
        </w:rPr>
      </w:pPr>
      <w:r w:rsidRPr="00D9542B">
        <w:rPr>
          <w:kern w:val="20"/>
        </w:rPr>
        <w:t xml:space="preserve">___ Cannot be determined </w:t>
      </w:r>
      <w:r w:rsidR="0054747E" w:rsidRPr="00D9542B">
        <w:rPr>
          <w:kern w:val="20"/>
        </w:rPr>
        <w:t>(explain): _______________________________</w:t>
      </w:r>
    </w:p>
    <w:p w14:paraId="61E1B839" w14:textId="77777777" w:rsidR="00161328" w:rsidRPr="00D9542B" w:rsidRDefault="00161328" w:rsidP="00D9542B"/>
    <w:p w14:paraId="2B655A26" w14:textId="2BCF4959" w:rsidR="00161328" w:rsidRPr="00D9542B" w:rsidRDefault="00161328" w:rsidP="00D9542B">
      <w:pPr>
        <w:pStyle w:val="Heading2"/>
        <w:keepLines/>
        <w:rPr>
          <w:kern w:val="20"/>
          <w:lang w:val="pt-BR"/>
        </w:rPr>
      </w:pPr>
      <w:r w:rsidRPr="00D9542B">
        <w:rPr>
          <w:kern w:val="20"/>
          <w:lang w:val="pt-BR"/>
        </w:rPr>
        <w:t>Histologic Type</w:t>
      </w:r>
      <w:bookmarkStart w:id="3" w:name="_GoBack"/>
      <w:bookmarkEnd w:id="3"/>
      <w:r w:rsidR="008E4AAD" w:rsidRPr="00D9542B">
        <w:rPr>
          <w:kern w:val="20"/>
          <w:lang w:val="pt-BR"/>
        </w:rPr>
        <w:t xml:space="preserve"> </w:t>
      </w:r>
      <w:r w:rsidRPr="00D9542B">
        <w:rPr>
          <w:kern w:val="20"/>
        </w:rPr>
        <w:t>(Note B)</w:t>
      </w:r>
    </w:p>
    <w:p w14:paraId="3BC99570" w14:textId="77777777" w:rsidR="00DD7044" w:rsidRPr="00CF40F7" w:rsidRDefault="00DD7044" w:rsidP="00DD7044">
      <w:pPr>
        <w:keepNext/>
        <w:keepLines/>
        <w:rPr>
          <w:kern w:val="20"/>
        </w:rPr>
      </w:pPr>
      <w:bookmarkStart w:id="4" w:name="_Hlk4680711"/>
      <w:bookmarkStart w:id="5" w:name="_Hlk4680731"/>
      <w:r w:rsidRPr="00CF40F7">
        <w:rPr>
          <w:kern w:val="20"/>
        </w:rPr>
        <w:t>___ Adenocarcinoma</w:t>
      </w:r>
    </w:p>
    <w:p w14:paraId="3F76C985" w14:textId="77777777" w:rsidR="00DD7044" w:rsidRPr="00CF40F7" w:rsidRDefault="00DD7044" w:rsidP="00DD7044">
      <w:pPr>
        <w:keepNext/>
        <w:keepLines/>
        <w:rPr>
          <w:kern w:val="20"/>
          <w:lang w:val="pt-BR"/>
        </w:rPr>
      </w:pPr>
      <w:r w:rsidRPr="00CF40F7">
        <w:rPr>
          <w:kern w:val="20"/>
          <w:lang w:val="pt-BR"/>
        </w:rPr>
        <w:t xml:space="preserve">___ Mucinous adenocarcinoma </w:t>
      </w:r>
    </w:p>
    <w:p w14:paraId="4B1DD95E" w14:textId="77777777" w:rsidR="00DD7044" w:rsidRPr="00CF40F7" w:rsidRDefault="00DD7044" w:rsidP="00DD7044">
      <w:pPr>
        <w:keepNext/>
        <w:keepLines/>
        <w:rPr>
          <w:kern w:val="20"/>
        </w:rPr>
      </w:pPr>
      <w:r w:rsidRPr="00CF40F7">
        <w:rPr>
          <w:kern w:val="20"/>
        </w:rPr>
        <w:t>___ Signet-ring cell carcinoma (poorly cohesive carcinoma)</w:t>
      </w:r>
    </w:p>
    <w:p w14:paraId="5328D41F" w14:textId="77777777" w:rsidR="00DD7044" w:rsidRPr="00CF40F7" w:rsidRDefault="00DD7044" w:rsidP="00DD7044">
      <w:pPr>
        <w:keepNext/>
        <w:keepLines/>
        <w:rPr>
          <w:kern w:val="20"/>
        </w:rPr>
      </w:pPr>
      <w:r w:rsidRPr="00CF40F7">
        <w:rPr>
          <w:kern w:val="20"/>
        </w:rPr>
        <w:t xml:space="preserve">___ Medullary carcinoma </w:t>
      </w:r>
    </w:p>
    <w:p w14:paraId="605E9575" w14:textId="77777777" w:rsidR="00DD7044" w:rsidRPr="00CF40F7" w:rsidRDefault="00DD7044" w:rsidP="00DD7044">
      <w:r w:rsidRPr="00CF40F7">
        <w:t>___ Serrated adenocarcinoma</w:t>
      </w:r>
    </w:p>
    <w:p w14:paraId="27988E6F" w14:textId="77777777" w:rsidR="00DD7044" w:rsidRPr="00CF40F7" w:rsidRDefault="00DD7044" w:rsidP="00DD7044">
      <w:r w:rsidRPr="00CF40F7">
        <w:t>___ Micropapillary carcinoma</w:t>
      </w:r>
    </w:p>
    <w:p w14:paraId="229D0581" w14:textId="77777777" w:rsidR="00DD7044" w:rsidRPr="00CF40F7" w:rsidRDefault="00DD7044" w:rsidP="00DD7044">
      <w:r w:rsidRPr="00CF40F7">
        <w:t>___ Adenoma-like adenocarcinoma</w:t>
      </w:r>
    </w:p>
    <w:p w14:paraId="7CE8DCC8" w14:textId="77777777" w:rsidR="00DD7044" w:rsidRPr="00CF40F7" w:rsidRDefault="00DD7044" w:rsidP="00DD7044">
      <w:pPr>
        <w:rPr>
          <w:kern w:val="20"/>
        </w:rPr>
      </w:pPr>
      <w:r w:rsidRPr="00CF40F7">
        <w:rPr>
          <w:kern w:val="20"/>
        </w:rPr>
        <w:t xml:space="preserve">___ </w:t>
      </w:r>
      <w:proofErr w:type="spellStart"/>
      <w:r w:rsidRPr="00CF40F7">
        <w:rPr>
          <w:kern w:val="20"/>
        </w:rPr>
        <w:t>Adenosquamous</w:t>
      </w:r>
      <w:proofErr w:type="spellEnd"/>
      <w:r w:rsidRPr="00CF40F7">
        <w:rPr>
          <w:kern w:val="20"/>
        </w:rPr>
        <w:t xml:space="preserve"> carcinoma</w:t>
      </w:r>
      <w:r w:rsidRPr="00CF40F7">
        <w:rPr>
          <w:rFonts w:cs="Arial"/>
        </w:rPr>
        <w:t xml:space="preserve"> </w:t>
      </w:r>
    </w:p>
    <w:p w14:paraId="0C6AEA55" w14:textId="77777777" w:rsidR="00DD7044" w:rsidRPr="00CF40F7" w:rsidRDefault="00DD7044" w:rsidP="00DD7044">
      <w:pPr>
        <w:rPr>
          <w:kern w:val="20"/>
        </w:rPr>
      </w:pPr>
      <w:r w:rsidRPr="00CF40F7">
        <w:rPr>
          <w:kern w:val="20"/>
        </w:rPr>
        <w:t>___ Undifferentiated carcinoma</w:t>
      </w:r>
    </w:p>
    <w:p w14:paraId="7CAC7426" w14:textId="77777777" w:rsidR="00DD7044" w:rsidRPr="00CF40F7" w:rsidRDefault="00DD7044" w:rsidP="00DD7044">
      <w:pPr>
        <w:rPr>
          <w:kern w:val="20"/>
        </w:rPr>
      </w:pPr>
      <w:r w:rsidRPr="00CF40F7">
        <w:rPr>
          <w:kern w:val="20"/>
        </w:rPr>
        <w:t xml:space="preserve">___ Carcinoma with </w:t>
      </w:r>
      <w:proofErr w:type="spellStart"/>
      <w:r w:rsidRPr="00CF40F7">
        <w:rPr>
          <w:kern w:val="20"/>
        </w:rPr>
        <w:t>sarcomatoid</w:t>
      </w:r>
      <w:proofErr w:type="spellEnd"/>
      <w:r w:rsidRPr="00CF40F7">
        <w:rPr>
          <w:kern w:val="20"/>
        </w:rPr>
        <w:t xml:space="preserve"> component</w:t>
      </w:r>
    </w:p>
    <w:p w14:paraId="7EF0DBA0" w14:textId="77777777" w:rsidR="00DD7044" w:rsidRPr="00CF40F7" w:rsidRDefault="00DD7044" w:rsidP="00DD7044">
      <w:pPr>
        <w:keepNext/>
        <w:rPr>
          <w:rFonts w:cs="Arial"/>
        </w:rPr>
      </w:pPr>
      <w:r w:rsidRPr="00CF40F7">
        <w:rPr>
          <w:rFonts w:cs="Arial"/>
        </w:rPr>
        <w:lastRenderedPageBreak/>
        <w:t>___ Large cell neuroendocrine carcinoma</w:t>
      </w:r>
    </w:p>
    <w:p w14:paraId="792672D8" w14:textId="77777777" w:rsidR="00DD7044" w:rsidRPr="00CF40F7" w:rsidRDefault="00DD7044" w:rsidP="00DD7044">
      <w:pPr>
        <w:keepNext/>
        <w:rPr>
          <w:rFonts w:cs="Arial"/>
        </w:rPr>
      </w:pPr>
      <w:r w:rsidRPr="00CF40F7">
        <w:rPr>
          <w:rFonts w:cs="Arial"/>
        </w:rPr>
        <w:t>___ Small cell neuroendocrine carcinoma</w:t>
      </w:r>
    </w:p>
    <w:p w14:paraId="5310D40F" w14:textId="77777777" w:rsidR="00DD7044" w:rsidRPr="00CF40F7" w:rsidRDefault="00DD7044" w:rsidP="00DD7044">
      <w:r w:rsidRPr="00CF40F7">
        <w:t>___ Mixed neuroendocrine-non-neuroendocrine neoplasm</w:t>
      </w:r>
    </w:p>
    <w:p w14:paraId="47A42C93" w14:textId="77777777" w:rsidR="00DD7044" w:rsidRPr="00CF40F7" w:rsidRDefault="00DD7044" w:rsidP="00DD7044">
      <w:pPr>
        <w:rPr>
          <w:kern w:val="20"/>
        </w:rPr>
      </w:pPr>
      <w:r w:rsidRPr="00CF40F7">
        <w:rPr>
          <w:kern w:val="20"/>
        </w:rPr>
        <w:t xml:space="preserve">___ Other </w:t>
      </w:r>
      <w:r w:rsidRPr="00CF40F7">
        <w:rPr>
          <w:rFonts w:cs="Arial"/>
        </w:rPr>
        <w:t xml:space="preserve">histologic type not listed </w:t>
      </w:r>
      <w:r w:rsidRPr="00CF40F7">
        <w:rPr>
          <w:kern w:val="20"/>
        </w:rPr>
        <w:t>(specify): __________________________</w:t>
      </w:r>
    </w:p>
    <w:p w14:paraId="004ED72D" w14:textId="77777777" w:rsidR="00DD7044" w:rsidRPr="00CF40F7" w:rsidRDefault="00DD7044" w:rsidP="00DD7044">
      <w:pPr>
        <w:rPr>
          <w:kern w:val="20"/>
        </w:rPr>
      </w:pPr>
      <w:r w:rsidRPr="00CF40F7">
        <w:rPr>
          <w:kern w:val="20"/>
        </w:rPr>
        <w:t>___ Carcinoma, type cannot be determined</w:t>
      </w:r>
    </w:p>
    <w:bookmarkEnd w:id="4"/>
    <w:bookmarkEnd w:id="5"/>
    <w:p w14:paraId="096DE16B" w14:textId="77777777" w:rsidR="00161328" w:rsidRPr="00D9542B" w:rsidRDefault="00161328" w:rsidP="00D9542B">
      <w:pPr>
        <w:rPr>
          <w:kern w:val="20"/>
        </w:rPr>
      </w:pPr>
    </w:p>
    <w:p w14:paraId="576D7B4B" w14:textId="77777777" w:rsidR="00161328" w:rsidRPr="00D9542B" w:rsidRDefault="00161328" w:rsidP="00D9542B">
      <w:pPr>
        <w:pStyle w:val="Heading2"/>
        <w:rPr>
          <w:kern w:val="20"/>
        </w:rPr>
      </w:pPr>
      <w:r w:rsidRPr="00D9542B">
        <w:rPr>
          <w:kern w:val="20"/>
        </w:rPr>
        <w:t>Histologic Grade</w:t>
      </w:r>
      <w:r w:rsidRPr="00D9542B">
        <w:rPr>
          <w:color w:val="0000FF"/>
          <w:kern w:val="20"/>
        </w:rPr>
        <w:t xml:space="preserve"> </w:t>
      </w:r>
      <w:r w:rsidRPr="00D9542B">
        <w:rPr>
          <w:kern w:val="20"/>
        </w:rPr>
        <w:t>(Note C)</w:t>
      </w:r>
    </w:p>
    <w:p w14:paraId="1E1FD9A5" w14:textId="77777777" w:rsidR="002F71D5" w:rsidRDefault="00DF6419" w:rsidP="00D9542B">
      <w:pPr>
        <w:rPr>
          <w:kern w:val="20"/>
        </w:rPr>
      </w:pPr>
      <w:r w:rsidRPr="00D9542B">
        <w:rPr>
          <w:kern w:val="20"/>
        </w:rPr>
        <w:t xml:space="preserve">___ </w:t>
      </w:r>
      <w:r w:rsidR="00C97B2D">
        <w:rPr>
          <w:kern w:val="20"/>
        </w:rPr>
        <w:t xml:space="preserve">G1: </w:t>
      </w:r>
      <w:r w:rsidR="002F71D5">
        <w:rPr>
          <w:kern w:val="20"/>
        </w:rPr>
        <w:t>W</w:t>
      </w:r>
      <w:r w:rsidR="00161328" w:rsidRPr="00D9542B">
        <w:rPr>
          <w:kern w:val="20"/>
        </w:rPr>
        <w:t>ell</w:t>
      </w:r>
      <w:r w:rsidR="002F71D5">
        <w:rPr>
          <w:kern w:val="20"/>
        </w:rPr>
        <w:t xml:space="preserve"> </w:t>
      </w:r>
      <w:r w:rsidR="00161328" w:rsidRPr="00D9542B">
        <w:rPr>
          <w:kern w:val="20"/>
        </w:rPr>
        <w:t xml:space="preserve">differentiated </w:t>
      </w:r>
    </w:p>
    <w:p w14:paraId="46ED49E9" w14:textId="77777777" w:rsidR="002F71D5" w:rsidRDefault="002F71D5" w:rsidP="00D9542B">
      <w:pPr>
        <w:rPr>
          <w:kern w:val="20"/>
        </w:rPr>
      </w:pPr>
      <w:r w:rsidRPr="00D9542B">
        <w:rPr>
          <w:kern w:val="20"/>
        </w:rPr>
        <w:t xml:space="preserve">___ </w:t>
      </w:r>
      <w:r w:rsidR="00C97B2D">
        <w:rPr>
          <w:kern w:val="20"/>
        </w:rPr>
        <w:t xml:space="preserve">G2: </w:t>
      </w:r>
      <w:r>
        <w:rPr>
          <w:kern w:val="20"/>
        </w:rPr>
        <w:t xml:space="preserve">Moderately </w:t>
      </w:r>
      <w:r w:rsidRPr="00D9542B">
        <w:rPr>
          <w:kern w:val="20"/>
        </w:rPr>
        <w:t>differentiated</w:t>
      </w:r>
    </w:p>
    <w:p w14:paraId="1839479D" w14:textId="77777777" w:rsidR="002F71D5" w:rsidRDefault="002F71D5" w:rsidP="00D9542B">
      <w:pPr>
        <w:rPr>
          <w:kern w:val="20"/>
        </w:rPr>
      </w:pPr>
      <w:r w:rsidRPr="00D9542B">
        <w:rPr>
          <w:kern w:val="20"/>
        </w:rPr>
        <w:t xml:space="preserve">___ </w:t>
      </w:r>
      <w:r w:rsidR="00C97B2D">
        <w:rPr>
          <w:kern w:val="20"/>
        </w:rPr>
        <w:t xml:space="preserve">G3: </w:t>
      </w:r>
      <w:r>
        <w:rPr>
          <w:kern w:val="20"/>
        </w:rPr>
        <w:t xml:space="preserve">Poorly </w:t>
      </w:r>
      <w:r w:rsidRPr="00D9542B">
        <w:rPr>
          <w:kern w:val="20"/>
        </w:rPr>
        <w:t>differentiated</w:t>
      </w:r>
    </w:p>
    <w:p w14:paraId="687D0EF3" w14:textId="77777777" w:rsidR="002F71D5" w:rsidRDefault="002F71D5" w:rsidP="00D9542B">
      <w:pPr>
        <w:rPr>
          <w:kern w:val="20"/>
        </w:rPr>
      </w:pPr>
      <w:r w:rsidRPr="00D9542B">
        <w:rPr>
          <w:kern w:val="20"/>
        </w:rPr>
        <w:t xml:space="preserve">___ </w:t>
      </w:r>
      <w:r w:rsidR="00C97B2D">
        <w:rPr>
          <w:kern w:val="20"/>
        </w:rPr>
        <w:t xml:space="preserve">G4: </w:t>
      </w:r>
      <w:r>
        <w:rPr>
          <w:kern w:val="20"/>
        </w:rPr>
        <w:t>Un</w:t>
      </w:r>
      <w:r w:rsidRPr="00D9542B">
        <w:rPr>
          <w:kern w:val="20"/>
        </w:rPr>
        <w:t>differentiated</w:t>
      </w:r>
    </w:p>
    <w:p w14:paraId="20B373F8" w14:textId="77777777" w:rsidR="002F71D5" w:rsidRPr="00D9542B" w:rsidRDefault="002F71D5" w:rsidP="00D9542B">
      <w:pPr>
        <w:rPr>
          <w:kern w:val="20"/>
        </w:rPr>
      </w:pPr>
      <w:r w:rsidRPr="00D9542B">
        <w:rPr>
          <w:kern w:val="20"/>
        </w:rPr>
        <w:t>___ Other (specify): ____________________________</w:t>
      </w:r>
    </w:p>
    <w:p w14:paraId="1F74B5F5" w14:textId="77777777" w:rsidR="0077033C" w:rsidRDefault="0077033C" w:rsidP="0077033C">
      <w:pPr>
        <w:rPr>
          <w:kern w:val="20"/>
        </w:rPr>
      </w:pPr>
      <w:r w:rsidRPr="00D9542B">
        <w:rPr>
          <w:kern w:val="20"/>
        </w:rPr>
        <w:t xml:space="preserve">___ </w:t>
      </w:r>
      <w:r w:rsidR="00C97B2D">
        <w:rPr>
          <w:kern w:val="20"/>
        </w:rPr>
        <w:t xml:space="preserve">GX: </w:t>
      </w:r>
      <w:r w:rsidRPr="00D9542B">
        <w:rPr>
          <w:kern w:val="20"/>
        </w:rPr>
        <w:t xml:space="preserve">Cannot be </w:t>
      </w:r>
      <w:r>
        <w:rPr>
          <w:kern w:val="20"/>
        </w:rPr>
        <w:t>assessed</w:t>
      </w:r>
    </w:p>
    <w:p w14:paraId="5B7528B5" w14:textId="77777777" w:rsidR="00C97B2D" w:rsidRPr="00D9542B" w:rsidRDefault="00C97B2D" w:rsidP="0077033C">
      <w:pPr>
        <w:rPr>
          <w:kern w:val="20"/>
        </w:rPr>
      </w:pPr>
      <w:r>
        <w:rPr>
          <w:kern w:val="20"/>
        </w:rPr>
        <w:t>___ Not applicable</w:t>
      </w:r>
    </w:p>
    <w:p w14:paraId="38A78424" w14:textId="77777777" w:rsidR="00161328" w:rsidRPr="00D9542B" w:rsidRDefault="00161328" w:rsidP="00D9542B">
      <w:pPr>
        <w:rPr>
          <w:kern w:val="20"/>
        </w:rPr>
      </w:pPr>
    </w:p>
    <w:p w14:paraId="0D85317F" w14:textId="77777777" w:rsidR="00161328" w:rsidRPr="00D9542B" w:rsidRDefault="00161328" w:rsidP="00D9542B">
      <w:pPr>
        <w:pStyle w:val="Heading2"/>
        <w:rPr>
          <w:kern w:val="20"/>
        </w:rPr>
      </w:pPr>
      <w:r w:rsidRPr="00D9542B">
        <w:rPr>
          <w:kern w:val="20"/>
        </w:rPr>
        <w:t>Tumor Extension</w:t>
      </w:r>
      <w:r w:rsidRPr="00D9542B">
        <w:rPr>
          <w:color w:val="0000FF"/>
          <w:kern w:val="20"/>
        </w:rPr>
        <w:t xml:space="preserve"> </w:t>
      </w:r>
      <w:r w:rsidRPr="00D9542B">
        <w:rPr>
          <w:kern w:val="20"/>
        </w:rPr>
        <w:t xml:space="preserve">(Note D) </w:t>
      </w:r>
    </w:p>
    <w:p w14:paraId="49C89580" w14:textId="77777777" w:rsidR="00161328" w:rsidRPr="00D9542B" w:rsidRDefault="00161328" w:rsidP="00D9542B">
      <w:pPr>
        <w:rPr>
          <w:kern w:val="20"/>
        </w:rPr>
      </w:pPr>
      <w:r w:rsidRPr="00D9542B">
        <w:rPr>
          <w:kern w:val="20"/>
        </w:rPr>
        <w:t xml:space="preserve">___ </w:t>
      </w:r>
      <w:r w:rsidR="009F19B2">
        <w:rPr>
          <w:kern w:val="20"/>
        </w:rPr>
        <w:t>Tumor invades l</w:t>
      </w:r>
      <w:r w:rsidRPr="00D9542B">
        <w:rPr>
          <w:kern w:val="20"/>
        </w:rPr>
        <w:t>amina propria</w:t>
      </w:r>
    </w:p>
    <w:p w14:paraId="2F1C2A77" w14:textId="77777777" w:rsidR="00161328" w:rsidRPr="00D9542B" w:rsidRDefault="00161328" w:rsidP="00D9542B">
      <w:pPr>
        <w:rPr>
          <w:kern w:val="20"/>
        </w:rPr>
      </w:pPr>
      <w:r w:rsidRPr="00D9542B">
        <w:rPr>
          <w:kern w:val="20"/>
        </w:rPr>
        <w:t xml:space="preserve">___ </w:t>
      </w:r>
      <w:r w:rsidR="009F19B2">
        <w:rPr>
          <w:kern w:val="20"/>
        </w:rPr>
        <w:t>Tumor invades m</w:t>
      </w:r>
      <w:r w:rsidRPr="00D9542B">
        <w:rPr>
          <w:kern w:val="20"/>
        </w:rPr>
        <w:t>uscularis mucosae</w:t>
      </w:r>
    </w:p>
    <w:p w14:paraId="6695DE56" w14:textId="77777777" w:rsidR="00161328" w:rsidRPr="00D9542B" w:rsidRDefault="00161328" w:rsidP="00D9542B">
      <w:pPr>
        <w:rPr>
          <w:kern w:val="20"/>
        </w:rPr>
      </w:pPr>
      <w:r w:rsidRPr="00D9542B">
        <w:rPr>
          <w:kern w:val="20"/>
        </w:rPr>
        <w:t xml:space="preserve">___ </w:t>
      </w:r>
      <w:r w:rsidR="009F19B2">
        <w:rPr>
          <w:kern w:val="20"/>
        </w:rPr>
        <w:t>Tumor invades s</w:t>
      </w:r>
      <w:r w:rsidRPr="00D9542B">
        <w:rPr>
          <w:kern w:val="20"/>
        </w:rPr>
        <w:t>ubmucosa</w:t>
      </w:r>
    </w:p>
    <w:p w14:paraId="1E7F718B" w14:textId="77777777" w:rsidR="00161328" w:rsidRPr="00D9542B" w:rsidRDefault="00161328" w:rsidP="00D9542B">
      <w:pPr>
        <w:rPr>
          <w:kern w:val="20"/>
        </w:rPr>
      </w:pPr>
      <w:r w:rsidRPr="00D9542B">
        <w:rPr>
          <w:kern w:val="20"/>
        </w:rPr>
        <w:t xml:space="preserve">___ </w:t>
      </w:r>
      <w:r w:rsidR="00E97416">
        <w:rPr>
          <w:kern w:val="20"/>
        </w:rPr>
        <w:t>Tumor i</w:t>
      </w:r>
      <w:r w:rsidR="009F19B2">
        <w:rPr>
          <w:kern w:val="20"/>
        </w:rPr>
        <w:t>nvades m</w:t>
      </w:r>
      <w:r w:rsidRPr="00D9542B">
        <w:rPr>
          <w:kern w:val="20"/>
        </w:rPr>
        <w:t>uscularis propria</w:t>
      </w:r>
    </w:p>
    <w:p w14:paraId="1A33B558" w14:textId="77777777" w:rsidR="00644B1D" w:rsidRPr="00D9542B" w:rsidRDefault="00644B1D" w:rsidP="00644B1D">
      <w:pPr>
        <w:rPr>
          <w:kern w:val="20"/>
        </w:rPr>
      </w:pPr>
      <w:r w:rsidRPr="00D9542B">
        <w:rPr>
          <w:kern w:val="20"/>
        </w:rPr>
        <w:t xml:space="preserve">___ Cannot be </w:t>
      </w:r>
      <w:r>
        <w:rPr>
          <w:kern w:val="20"/>
        </w:rPr>
        <w:t>assessed</w:t>
      </w:r>
    </w:p>
    <w:p w14:paraId="4CC0AE42" w14:textId="77777777" w:rsidR="00161328" w:rsidRPr="00D9542B" w:rsidRDefault="00161328" w:rsidP="00D9542B">
      <w:pPr>
        <w:rPr>
          <w:kern w:val="20"/>
        </w:rPr>
      </w:pPr>
    </w:p>
    <w:p w14:paraId="16EA0A26" w14:textId="77777777" w:rsidR="00161328" w:rsidRPr="00D9542B" w:rsidRDefault="00161328" w:rsidP="00D9542B">
      <w:pPr>
        <w:pStyle w:val="Heading2"/>
        <w:rPr>
          <w:kern w:val="20"/>
        </w:rPr>
      </w:pPr>
      <w:r w:rsidRPr="00D9542B">
        <w:rPr>
          <w:kern w:val="20"/>
        </w:rPr>
        <w:t>Margins (select all that apply)</w:t>
      </w:r>
    </w:p>
    <w:p w14:paraId="2B94040F" w14:textId="77777777" w:rsidR="00161328" w:rsidRPr="00D9542B" w:rsidRDefault="00161328" w:rsidP="00D9542B">
      <w:pPr>
        <w:rPr>
          <w:kern w:val="20"/>
        </w:rPr>
      </w:pPr>
    </w:p>
    <w:p w14:paraId="686C8C63" w14:textId="77777777" w:rsidR="00161328" w:rsidRPr="00CF40F7" w:rsidRDefault="00161328" w:rsidP="00D9542B">
      <w:pPr>
        <w:pStyle w:val="Heading3"/>
        <w:rPr>
          <w:b/>
          <w:bCs/>
          <w:kern w:val="20"/>
          <w:u w:val="none"/>
        </w:rPr>
      </w:pPr>
      <w:r w:rsidRPr="00CF40F7">
        <w:rPr>
          <w:b/>
          <w:bCs/>
          <w:kern w:val="20"/>
          <w:u w:val="none"/>
        </w:rPr>
        <w:t>Deep Margin (Stalk Margin)</w:t>
      </w:r>
    </w:p>
    <w:p w14:paraId="2752A31C" w14:textId="77777777" w:rsidR="00161328" w:rsidRPr="00D9542B" w:rsidRDefault="00161328" w:rsidP="00D9542B">
      <w:pPr>
        <w:rPr>
          <w:kern w:val="20"/>
        </w:rPr>
      </w:pPr>
      <w:r w:rsidRPr="00D9542B">
        <w:rPr>
          <w:kern w:val="20"/>
        </w:rPr>
        <w:t>___ Cannot be assessed</w:t>
      </w:r>
    </w:p>
    <w:p w14:paraId="2848274A" w14:textId="77777777" w:rsidR="00161328" w:rsidRPr="00D9542B" w:rsidRDefault="00161328" w:rsidP="00D9542B">
      <w:pPr>
        <w:rPr>
          <w:kern w:val="20"/>
        </w:rPr>
      </w:pPr>
      <w:r w:rsidRPr="00D9542B">
        <w:rPr>
          <w:kern w:val="20"/>
        </w:rPr>
        <w:t>___ Uninvolved by invasive carcinoma</w:t>
      </w:r>
    </w:p>
    <w:p w14:paraId="73180B9C" w14:textId="77777777" w:rsidR="00161328" w:rsidRPr="00D9542B" w:rsidRDefault="00161328" w:rsidP="00D9542B">
      <w:pPr>
        <w:rPr>
          <w:kern w:val="20"/>
        </w:rPr>
      </w:pPr>
      <w:r w:rsidRPr="00D9542B">
        <w:rPr>
          <w:kern w:val="20"/>
        </w:rPr>
        <w:tab/>
        <w:t>Distance of invasive carcinoma from margin</w:t>
      </w:r>
      <w:r w:rsidR="00ED22D3">
        <w:rPr>
          <w:kern w:val="20"/>
        </w:rPr>
        <w:t xml:space="preserve"> (millimeters </w:t>
      </w:r>
      <w:r w:rsidR="00ED22D3" w:rsidRPr="00ED22D3">
        <w:rPr>
          <w:i/>
          <w:kern w:val="20"/>
        </w:rPr>
        <w:t>or</w:t>
      </w:r>
      <w:r w:rsidR="00ED22D3">
        <w:rPr>
          <w:kern w:val="20"/>
        </w:rPr>
        <w:t xml:space="preserve"> centimeters)</w:t>
      </w:r>
      <w:r w:rsidRPr="00D9542B">
        <w:rPr>
          <w:kern w:val="20"/>
        </w:rPr>
        <w:t>: ___ mm</w:t>
      </w:r>
      <w:r w:rsidR="00A314C8" w:rsidRPr="00D9542B">
        <w:rPr>
          <w:kern w:val="20"/>
        </w:rPr>
        <w:t xml:space="preserve"> </w:t>
      </w:r>
      <w:r w:rsidR="00A314C8" w:rsidRPr="00D9542B">
        <w:rPr>
          <w:i/>
          <w:kern w:val="20"/>
        </w:rPr>
        <w:t>or</w:t>
      </w:r>
      <w:r w:rsidR="00A314C8" w:rsidRPr="00D9542B">
        <w:rPr>
          <w:kern w:val="20"/>
        </w:rPr>
        <w:t xml:space="preserve"> </w:t>
      </w:r>
      <w:r w:rsidR="003C5BDA" w:rsidRPr="00D9542B">
        <w:rPr>
          <w:kern w:val="20"/>
        </w:rPr>
        <w:t xml:space="preserve">___ </w:t>
      </w:r>
      <w:r w:rsidR="00A314C8" w:rsidRPr="00D9542B">
        <w:rPr>
          <w:kern w:val="20"/>
        </w:rPr>
        <w:t>cm</w:t>
      </w:r>
    </w:p>
    <w:p w14:paraId="7C8255AE" w14:textId="77777777" w:rsidR="00161328" w:rsidRPr="00D9542B" w:rsidRDefault="00161328" w:rsidP="00D9542B">
      <w:pPr>
        <w:rPr>
          <w:kern w:val="20"/>
        </w:rPr>
      </w:pPr>
      <w:r w:rsidRPr="00D9542B">
        <w:rPr>
          <w:kern w:val="20"/>
        </w:rPr>
        <w:t>___ Involved by invasive carcinoma</w:t>
      </w:r>
    </w:p>
    <w:p w14:paraId="2F1DF7B6" w14:textId="77777777" w:rsidR="00161328" w:rsidRPr="00D9542B" w:rsidRDefault="00161328" w:rsidP="00D9542B">
      <w:pPr>
        <w:rPr>
          <w:kern w:val="20"/>
        </w:rPr>
      </w:pPr>
    </w:p>
    <w:p w14:paraId="2BB4D291" w14:textId="77777777" w:rsidR="00161328" w:rsidRPr="00CF40F7" w:rsidRDefault="00161328" w:rsidP="00D9542B">
      <w:pPr>
        <w:pStyle w:val="Heading3"/>
        <w:rPr>
          <w:b/>
          <w:bCs/>
          <w:kern w:val="20"/>
          <w:u w:val="none"/>
        </w:rPr>
      </w:pPr>
      <w:r w:rsidRPr="00CF40F7">
        <w:rPr>
          <w:b/>
          <w:bCs/>
          <w:kern w:val="20"/>
          <w:u w:val="none"/>
        </w:rPr>
        <w:t>Mucosal Margin</w:t>
      </w:r>
      <w:r w:rsidR="00F73FEA" w:rsidRPr="00CF40F7">
        <w:rPr>
          <w:b/>
          <w:bCs/>
          <w:kern w:val="20"/>
          <w:u w:val="none"/>
        </w:rPr>
        <w:t xml:space="preserve"> (required only if applicable)</w:t>
      </w:r>
      <w:r w:rsidRPr="00CF40F7">
        <w:rPr>
          <w:b/>
          <w:bCs/>
          <w:kern w:val="20"/>
          <w:u w:val="none"/>
        </w:rPr>
        <w:t xml:space="preserve"> </w:t>
      </w:r>
    </w:p>
    <w:p w14:paraId="52FEC929" w14:textId="77777777" w:rsidR="00161328" w:rsidRPr="00D9542B" w:rsidRDefault="00161328" w:rsidP="00D9542B">
      <w:pPr>
        <w:rPr>
          <w:kern w:val="20"/>
        </w:rPr>
      </w:pPr>
      <w:r w:rsidRPr="00D9542B">
        <w:rPr>
          <w:kern w:val="20"/>
        </w:rPr>
        <w:t>___ Cannot be assessed</w:t>
      </w:r>
    </w:p>
    <w:p w14:paraId="1378047C" w14:textId="77777777" w:rsidR="00161328" w:rsidRPr="00D9542B" w:rsidRDefault="00161328" w:rsidP="00D9542B">
      <w:pPr>
        <w:rPr>
          <w:kern w:val="20"/>
        </w:rPr>
      </w:pPr>
      <w:r w:rsidRPr="00D9542B">
        <w:rPr>
          <w:kern w:val="20"/>
        </w:rPr>
        <w:t>___ Uninvolved by invasive carcinoma</w:t>
      </w:r>
    </w:p>
    <w:p w14:paraId="7E50D3AC" w14:textId="77777777" w:rsidR="00161328" w:rsidRPr="00D9542B" w:rsidRDefault="00161328" w:rsidP="00D9542B">
      <w:pPr>
        <w:rPr>
          <w:kern w:val="20"/>
        </w:rPr>
      </w:pPr>
      <w:r w:rsidRPr="00D9542B">
        <w:rPr>
          <w:kern w:val="20"/>
        </w:rPr>
        <w:t>___ Involved by invasive carcinoma</w:t>
      </w:r>
    </w:p>
    <w:p w14:paraId="7DD56A63" w14:textId="77777777" w:rsidR="00161328" w:rsidRPr="00D9542B" w:rsidRDefault="00161328" w:rsidP="00D9542B">
      <w:pPr>
        <w:rPr>
          <w:kern w:val="20"/>
        </w:rPr>
      </w:pPr>
      <w:r w:rsidRPr="00D9542B">
        <w:rPr>
          <w:kern w:val="20"/>
        </w:rPr>
        <w:t>___ Involved by adenoma</w:t>
      </w:r>
    </w:p>
    <w:p w14:paraId="7F5F505F" w14:textId="77777777" w:rsidR="00161328" w:rsidRPr="00D9542B" w:rsidRDefault="00161328" w:rsidP="00D9542B">
      <w:pPr>
        <w:rPr>
          <w:kern w:val="20"/>
        </w:rPr>
      </w:pPr>
    </w:p>
    <w:p w14:paraId="069B48D2" w14:textId="77777777" w:rsidR="00161328" w:rsidRPr="00D9542B" w:rsidRDefault="00161328" w:rsidP="00D9542B">
      <w:pPr>
        <w:pStyle w:val="Heading2"/>
        <w:rPr>
          <w:kern w:val="20"/>
        </w:rPr>
      </w:pPr>
      <w:r w:rsidRPr="00D9542B">
        <w:rPr>
          <w:kern w:val="20"/>
          <w:lang w:val="fr-FR"/>
        </w:rPr>
        <w:t>Lymph</w:t>
      </w:r>
      <w:r w:rsidR="00AB72C1">
        <w:rPr>
          <w:kern w:val="20"/>
          <w:lang w:val="fr-FR"/>
        </w:rPr>
        <w:t>ov</w:t>
      </w:r>
      <w:r w:rsidRPr="00D9542B">
        <w:rPr>
          <w:kern w:val="20"/>
          <w:lang w:val="fr-FR"/>
        </w:rPr>
        <w:t>ascular Invasion</w:t>
      </w:r>
      <w:r w:rsidR="008E4AAD" w:rsidRPr="00D9542B">
        <w:rPr>
          <w:kern w:val="20"/>
          <w:lang w:val="fr-FR"/>
        </w:rPr>
        <w:t xml:space="preserve"> </w:t>
      </w:r>
      <w:r w:rsidR="00440EB4">
        <w:rPr>
          <w:kern w:val="20"/>
          <w:lang w:val="fr-FR"/>
        </w:rPr>
        <w:t xml:space="preserve">(select all </w:t>
      </w:r>
      <w:proofErr w:type="spellStart"/>
      <w:r w:rsidR="00440EB4">
        <w:rPr>
          <w:kern w:val="20"/>
          <w:lang w:val="fr-FR"/>
        </w:rPr>
        <w:t>that</w:t>
      </w:r>
      <w:proofErr w:type="spellEnd"/>
      <w:r w:rsidR="00440EB4">
        <w:rPr>
          <w:kern w:val="20"/>
          <w:lang w:val="fr-FR"/>
        </w:rPr>
        <w:t xml:space="preserve"> </w:t>
      </w:r>
      <w:proofErr w:type="spellStart"/>
      <w:r w:rsidR="00440EB4">
        <w:rPr>
          <w:kern w:val="20"/>
          <w:lang w:val="fr-FR"/>
        </w:rPr>
        <w:t>apply</w:t>
      </w:r>
      <w:proofErr w:type="spellEnd"/>
      <w:r w:rsidR="00440EB4">
        <w:rPr>
          <w:kern w:val="20"/>
          <w:lang w:val="fr-FR"/>
        </w:rPr>
        <w:t xml:space="preserve">) </w:t>
      </w:r>
      <w:r w:rsidRPr="00D9542B">
        <w:rPr>
          <w:kern w:val="20"/>
        </w:rPr>
        <w:t>(Notes D and E)</w:t>
      </w:r>
    </w:p>
    <w:p w14:paraId="0E4560F5" w14:textId="77777777" w:rsidR="00161328" w:rsidRPr="00D9542B" w:rsidRDefault="00161328" w:rsidP="00D9542B">
      <w:pPr>
        <w:rPr>
          <w:kern w:val="20"/>
        </w:rPr>
      </w:pPr>
      <w:r w:rsidRPr="00D9542B">
        <w:rPr>
          <w:kern w:val="20"/>
        </w:rPr>
        <w:t>___ Not identified</w:t>
      </w:r>
    </w:p>
    <w:p w14:paraId="16A5411E" w14:textId="77777777" w:rsidR="00161328" w:rsidRPr="00D9542B" w:rsidRDefault="00161328" w:rsidP="00D9542B">
      <w:pPr>
        <w:rPr>
          <w:kern w:val="20"/>
        </w:rPr>
      </w:pPr>
      <w:r w:rsidRPr="00D9542B">
        <w:rPr>
          <w:kern w:val="20"/>
        </w:rPr>
        <w:t>___ Present</w:t>
      </w:r>
    </w:p>
    <w:p w14:paraId="5CBFD285" w14:textId="77777777" w:rsidR="002161AE" w:rsidRPr="00D9542B" w:rsidRDefault="00363D37" w:rsidP="00D9542B">
      <w:pPr>
        <w:pStyle w:val="MediumShading1-Accent11"/>
        <w:ind w:left="720"/>
        <w:rPr>
          <w:rFonts w:ascii="Arial" w:hAnsi="Arial" w:cs="Arial"/>
          <w:color w:val="000000"/>
        </w:rPr>
      </w:pPr>
      <w:r w:rsidRPr="00D9542B">
        <w:rPr>
          <w:rFonts w:ascii="Arial" w:hAnsi="Arial" w:cs="Arial"/>
          <w:color w:val="000000"/>
          <w:sz w:val="20"/>
          <w:szCs w:val="20"/>
        </w:rPr>
        <w:t xml:space="preserve">___ </w:t>
      </w:r>
      <w:r w:rsidR="002161AE" w:rsidRPr="00D9542B">
        <w:rPr>
          <w:rFonts w:ascii="Arial" w:hAnsi="Arial" w:cs="Arial"/>
          <w:color w:val="000000"/>
          <w:sz w:val="20"/>
          <w:szCs w:val="20"/>
        </w:rPr>
        <w:t xml:space="preserve">Small vessel </w:t>
      </w:r>
      <w:proofErr w:type="spellStart"/>
      <w:r w:rsidR="002161AE" w:rsidRPr="00D9542B">
        <w:rPr>
          <w:rFonts w:ascii="Arial" w:hAnsi="Arial" w:cs="Arial"/>
          <w:color w:val="000000"/>
          <w:sz w:val="20"/>
          <w:szCs w:val="20"/>
        </w:rPr>
        <w:t>lymphovascular</w:t>
      </w:r>
      <w:proofErr w:type="spellEnd"/>
      <w:r w:rsidR="002161AE" w:rsidRPr="00D9542B">
        <w:rPr>
          <w:rFonts w:ascii="Arial" w:hAnsi="Arial" w:cs="Arial"/>
          <w:color w:val="000000"/>
          <w:sz w:val="20"/>
          <w:szCs w:val="20"/>
        </w:rPr>
        <w:t xml:space="preserve"> invasion</w:t>
      </w:r>
    </w:p>
    <w:p w14:paraId="45FC221D" w14:textId="77777777" w:rsidR="002161AE" w:rsidRPr="00D9542B" w:rsidRDefault="00363D37" w:rsidP="00D9542B">
      <w:pPr>
        <w:pStyle w:val="MediumShading1-Accent11"/>
        <w:ind w:left="720"/>
        <w:rPr>
          <w:rFonts w:ascii="Arial" w:hAnsi="Arial" w:cs="Arial"/>
          <w:color w:val="000000"/>
        </w:rPr>
      </w:pPr>
      <w:r w:rsidRPr="00D9542B">
        <w:rPr>
          <w:rFonts w:ascii="Arial" w:hAnsi="Arial" w:cs="Arial"/>
          <w:color w:val="000000"/>
          <w:sz w:val="20"/>
          <w:szCs w:val="20"/>
        </w:rPr>
        <w:t xml:space="preserve">___ </w:t>
      </w:r>
      <w:r w:rsidR="002161AE" w:rsidRPr="00D9542B">
        <w:rPr>
          <w:rFonts w:ascii="Arial" w:hAnsi="Arial" w:cs="Arial"/>
          <w:color w:val="000000"/>
          <w:sz w:val="20"/>
          <w:szCs w:val="20"/>
        </w:rPr>
        <w:t>Large vessel (venous) invasion</w:t>
      </w:r>
    </w:p>
    <w:p w14:paraId="74B59EA7" w14:textId="77777777" w:rsidR="00B72AA3" w:rsidRDefault="00161328" w:rsidP="00D9542B">
      <w:pPr>
        <w:rPr>
          <w:rFonts w:cs="Arial"/>
          <w:kern w:val="20"/>
        </w:rPr>
      </w:pPr>
      <w:r w:rsidRPr="00D9542B">
        <w:rPr>
          <w:rFonts w:cs="Arial"/>
          <w:kern w:val="20"/>
        </w:rPr>
        <w:t>___</w:t>
      </w:r>
      <w:r w:rsidR="008E4AAD" w:rsidRPr="00D9542B">
        <w:rPr>
          <w:rFonts w:cs="Arial"/>
          <w:kern w:val="20"/>
        </w:rPr>
        <w:t xml:space="preserve"> </w:t>
      </w:r>
      <w:r w:rsidR="002161AE" w:rsidRPr="00D9542B">
        <w:rPr>
          <w:rFonts w:cs="Arial"/>
          <w:kern w:val="20"/>
        </w:rPr>
        <w:t>Cannot be determined</w:t>
      </w:r>
    </w:p>
    <w:p w14:paraId="769470FD" w14:textId="77777777" w:rsidR="00CF525F" w:rsidRDefault="00CF525F" w:rsidP="00D9542B">
      <w:pPr>
        <w:rPr>
          <w:rFonts w:cs="Arial"/>
          <w:kern w:val="20"/>
        </w:rPr>
      </w:pPr>
    </w:p>
    <w:p w14:paraId="37BF91B9" w14:textId="77777777" w:rsidR="00CF525F" w:rsidRPr="00980EB3" w:rsidRDefault="005A6945" w:rsidP="00CF525F">
      <w:pPr>
        <w:pStyle w:val="MediumGrid21"/>
        <w:rPr>
          <w:rFonts w:ascii="Arial" w:hAnsi="Arial" w:cs="Arial"/>
          <w:sz w:val="20"/>
        </w:rPr>
      </w:pPr>
      <w:r w:rsidRPr="00980EB3">
        <w:rPr>
          <w:rFonts w:ascii="Arial" w:hAnsi="Arial" w:cs="Arial"/>
          <w:sz w:val="20"/>
        </w:rPr>
        <w:t xml:space="preserve">Tumor Budding </w:t>
      </w:r>
      <w:r w:rsidR="00651495" w:rsidRPr="00980EB3">
        <w:rPr>
          <w:rFonts w:ascii="Arial" w:hAnsi="Arial" w:cs="Arial"/>
          <w:sz w:val="20"/>
        </w:rPr>
        <w:t>(Note F)</w:t>
      </w:r>
    </w:p>
    <w:p w14:paraId="4B462AC4" w14:textId="77777777" w:rsidR="00CF525F" w:rsidRPr="005A6945" w:rsidRDefault="005A6945" w:rsidP="00CF525F">
      <w:pPr>
        <w:pStyle w:val="MediumGrid21"/>
        <w:rPr>
          <w:rFonts w:ascii="Arial" w:hAnsi="Arial" w:cs="Arial"/>
          <w:sz w:val="20"/>
        </w:rPr>
      </w:pPr>
      <w:r>
        <w:rPr>
          <w:rFonts w:ascii="Arial" w:hAnsi="Arial" w:cs="Arial"/>
          <w:sz w:val="20"/>
        </w:rPr>
        <w:t>___</w:t>
      </w:r>
      <w:r w:rsidRPr="005A6945">
        <w:rPr>
          <w:rFonts w:ascii="Arial" w:hAnsi="Arial" w:cs="Arial"/>
          <w:sz w:val="20"/>
        </w:rPr>
        <w:t xml:space="preserve"> </w:t>
      </w:r>
      <w:r w:rsidR="00CF525F" w:rsidRPr="005A6945">
        <w:rPr>
          <w:rFonts w:ascii="Arial" w:hAnsi="Arial" w:cs="Arial"/>
          <w:sz w:val="20"/>
        </w:rPr>
        <w:t xml:space="preserve">Number of tumor buds in </w:t>
      </w:r>
      <w:r>
        <w:rPr>
          <w:rFonts w:ascii="Arial" w:hAnsi="Arial" w:cs="Arial"/>
          <w:sz w:val="20"/>
        </w:rPr>
        <w:t>1</w:t>
      </w:r>
      <w:r w:rsidR="0090374B">
        <w:rPr>
          <w:rFonts w:ascii="Arial" w:hAnsi="Arial" w:cs="Arial"/>
          <w:sz w:val="20"/>
        </w:rPr>
        <w:t xml:space="preserve"> “hotspot” </w:t>
      </w:r>
      <w:r w:rsidR="00CF525F" w:rsidRPr="005A6945">
        <w:rPr>
          <w:rFonts w:ascii="Arial" w:hAnsi="Arial" w:cs="Arial"/>
          <w:sz w:val="20"/>
        </w:rPr>
        <w:t>field (</w:t>
      </w:r>
      <w:r w:rsidR="00F81FC2">
        <w:rPr>
          <w:rFonts w:ascii="Arial" w:hAnsi="Arial" w:cs="Arial"/>
          <w:sz w:val="20"/>
        </w:rPr>
        <w:t xml:space="preserve">specify total </w:t>
      </w:r>
      <w:r w:rsidR="00D903F8">
        <w:rPr>
          <w:rFonts w:ascii="Arial" w:hAnsi="Arial" w:cs="Arial"/>
          <w:sz w:val="20"/>
        </w:rPr>
        <w:t xml:space="preserve">number in </w:t>
      </w:r>
      <w:r w:rsidR="00CF525F" w:rsidRPr="005A6945">
        <w:rPr>
          <w:rFonts w:ascii="Arial" w:hAnsi="Arial" w:cs="Arial"/>
          <w:sz w:val="20"/>
        </w:rPr>
        <w:t>area=0.785 mm</w:t>
      </w:r>
      <w:r w:rsidR="00CF525F" w:rsidRPr="005A6945">
        <w:rPr>
          <w:rFonts w:ascii="Arial" w:hAnsi="Arial" w:cs="Arial"/>
          <w:sz w:val="20"/>
          <w:vertAlign w:val="superscript"/>
        </w:rPr>
        <w:t>2</w:t>
      </w:r>
      <w:r w:rsidR="00D903F8" w:rsidRPr="00C726D8">
        <w:rPr>
          <w:rFonts w:ascii="Arial" w:hAnsi="Arial" w:cs="Arial"/>
          <w:sz w:val="20"/>
        </w:rPr>
        <w:t>)</w:t>
      </w:r>
      <w:r w:rsidR="00BB7291">
        <w:rPr>
          <w:rFonts w:ascii="Arial" w:hAnsi="Arial" w:cs="Arial"/>
          <w:sz w:val="20"/>
        </w:rPr>
        <w:t>: ___________</w:t>
      </w:r>
    </w:p>
    <w:p w14:paraId="5DE382C2" w14:textId="77777777" w:rsidR="00CF525F" w:rsidRPr="005A6945" w:rsidRDefault="005A6945" w:rsidP="00800071">
      <w:pPr>
        <w:pStyle w:val="MediumGrid21"/>
        <w:ind w:left="720"/>
        <w:rPr>
          <w:rFonts w:ascii="Arial" w:hAnsi="Arial" w:cs="Arial"/>
          <w:sz w:val="20"/>
        </w:rPr>
      </w:pPr>
      <w:r>
        <w:rPr>
          <w:rFonts w:ascii="Arial" w:hAnsi="Arial" w:cs="Arial"/>
          <w:sz w:val="20"/>
        </w:rPr>
        <w:t>___</w:t>
      </w:r>
      <w:r w:rsidRPr="005A6945">
        <w:rPr>
          <w:rFonts w:ascii="Arial" w:hAnsi="Arial" w:cs="Arial"/>
          <w:sz w:val="20"/>
        </w:rPr>
        <w:t xml:space="preserve"> </w:t>
      </w:r>
      <w:r w:rsidR="00CF525F" w:rsidRPr="005A6945">
        <w:rPr>
          <w:rFonts w:ascii="Arial" w:hAnsi="Arial" w:cs="Arial"/>
          <w:sz w:val="20"/>
        </w:rPr>
        <w:t>Low score</w:t>
      </w:r>
      <w:r w:rsidR="008F4028">
        <w:rPr>
          <w:rFonts w:ascii="Arial" w:hAnsi="Arial" w:cs="Arial"/>
          <w:sz w:val="20"/>
        </w:rPr>
        <w:t xml:space="preserve"> (0-4)</w:t>
      </w:r>
      <w:r w:rsidR="00CF525F" w:rsidRPr="005A6945">
        <w:rPr>
          <w:rFonts w:ascii="Arial" w:hAnsi="Arial" w:cs="Arial"/>
          <w:sz w:val="20"/>
        </w:rPr>
        <w:t xml:space="preserve"> </w:t>
      </w:r>
    </w:p>
    <w:p w14:paraId="7C1C3958" w14:textId="77777777" w:rsidR="00CF525F" w:rsidRPr="005A6945" w:rsidRDefault="005A6945" w:rsidP="00800071">
      <w:pPr>
        <w:pStyle w:val="MediumGrid21"/>
        <w:ind w:left="720"/>
        <w:rPr>
          <w:rFonts w:ascii="Arial" w:hAnsi="Arial" w:cs="Arial"/>
          <w:sz w:val="20"/>
        </w:rPr>
      </w:pPr>
      <w:r>
        <w:rPr>
          <w:rFonts w:ascii="Arial" w:hAnsi="Arial" w:cs="Arial"/>
          <w:sz w:val="20"/>
        </w:rPr>
        <w:t>___</w:t>
      </w:r>
      <w:r w:rsidRPr="005A6945">
        <w:rPr>
          <w:rFonts w:ascii="Arial" w:hAnsi="Arial" w:cs="Arial"/>
          <w:sz w:val="20"/>
        </w:rPr>
        <w:t xml:space="preserve"> </w:t>
      </w:r>
      <w:r w:rsidR="00CF525F" w:rsidRPr="005A6945">
        <w:rPr>
          <w:rFonts w:ascii="Arial" w:hAnsi="Arial" w:cs="Arial"/>
          <w:sz w:val="20"/>
        </w:rPr>
        <w:t xml:space="preserve">Intermediate score </w:t>
      </w:r>
      <w:r w:rsidR="008F4028">
        <w:rPr>
          <w:rFonts w:ascii="Arial" w:hAnsi="Arial" w:cs="Arial"/>
          <w:sz w:val="20"/>
        </w:rPr>
        <w:t>(5-9)</w:t>
      </w:r>
    </w:p>
    <w:p w14:paraId="61D0E23F" w14:textId="77777777" w:rsidR="00CF525F" w:rsidRPr="005A6945" w:rsidRDefault="005A6945" w:rsidP="00800071">
      <w:pPr>
        <w:pStyle w:val="MediumGrid21"/>
        <w:ind w:left="720"/>
        <w:rPr>
          <w:rFonts w:ascii="Arial" w:hAnsi="Arial" w:cs="Arial"/>
          <w:sz w:val="20"/>
        </w:rPr>
      </w:pPr>
      <w:r>
        <w:rPr>
          <w:rFonts w:ascii="Arial" w:hAnsi="Arial" w:cs="Arial"/>
          <w:sz w:val="20"/>
        </w:rPr>
        <w:t>___</w:t>
      </w:r>
      <w:r w:rsidRPr="005A6945">
        <w:rPr>
          <w:rFonts w:ascii="Arial" w:hAnsi="Arial" w:cs="Arial"/>
          <w:sz w:val="20"/>
        </w:rPr>
        <w:t xml:space="preserve"> </w:t>
      </w:r>
      <w:r w:rsidR="00CF525F" w:rsidRPr="005A6945">
        <w:rPr>
          <w:rFonts w:ascii="Arial" w:hAnsi="Arial" w:cs="Arial"/>
          <w:sz w:val="20"/>
        </w:rPr>
        <w:t>High score (10 or more)</w:t>
      </w:r>
    </w:p>
    <w:p w14:paraId="25847FB4" w14:textId="77777777" w:rsidR="003A013D" w:rsidRPr="003A013D" w:rsidRDefault="003A013D" w:rsidP="003A013D">
      <w:pPr>
        <w:rPr>
          <w:rFonts w:eastAsia="Calibri" w:cs="Arial"/>
          <w:kern w:val="0"/>
          <w:szCs w:val="22"/>
        </w:rPr>
      </w:pPr>
      <w:r w:rsidRPr="003A013D">
        <w:rPr>
          <w:rFonts w:eastAsia="Calibri" w:cs="Arial"/>
          <w:kern w:val="0"/>
          <w:szCs w:val="22"/>
        </w:rPr>
        <w:t>___ Cannot be determined</w:t>
      </w:r>
    </w:p>
    <w:p w14:paraId="6723D6AF" w14:textId="77777777" w:rsidR="00CF525F" w:rsidRPr="00D9542B" w:rsidRDefault="00CF525F" w:rsidP="00D9542B">
      <w:pPr>
        <w:rPr>
          <w:rFonts w:cs="Arial"/>
          <w:kern w:val="20"/>
        </w:rPr>
      </w:pPr>
    </w:p>
    <w:p w14:paraId="64EFDD8D" w14:textId="77777777" w:rsidR="00161328" w:rsidRPr="00980EB3" w:rsidRDefault="00161328" w:rsidP="00E8149E">
      <w:pPr>
        <w:pStyle w:val="Heading2"/>
        <w:rPr>
          <w:b w:val="0"/>
          <w:kern w:val="20"/>
        </w:rPr>
      </w:pPr>
      <w:r w:rsidRPr="00980EB3">
        <w:rPr>
          <w:b w:val="0"/>
          <w:kern w:val="20"/>
        </w:rPr>
        <w:lastRenderedPageBreak/>
        <w:t xml:space="preserve">Type of Polyp in Which Invasive Carcinoma Arose (Note </w:t>
      </w:r>
      <w:r w:rsidR="00651495" w:rsidRPr="00980EB3">
        <w:rPr>
          <w:b w:val="0"/>
          <w:kern w:val="20"/>
        </w:rPr>
        <w:t>G</w:t>
      </w:r>
      <w:r w:rsidRPr="00980EB3">
        <w:rPr>
          <w:b w:val="0"/>
          <w:kern w:val="20"/>
        </w:rPr>
        <w:t>)</w:t>
      </w:r>
    </w:p>
    <w:p w14:paraId="61134C3A" w14:textId="77777777" w:rsidR="00161328" w:rsidRPr="00752B84" w:rsidRDefault="00161328" w:rsidP="00E8149E">
      <w:pPr>
        <w:keepNext/>
        <w:rPr>
          <w:kern w:val="20"/>
        </w:rPr>
      </w:pPr>
      <w:r w:rsidRPr="00752B84">
        <w:rPr>
          <w:kern w:val="20"/>
        </w:rPr>
        <w:t>___ Tubular adenoma</w:t>
      </w:r>
    </w:p>
    <w:p w14:paraId="3C603D63" w14:textId="77777777" w:rsidR="00161328" w:rsidRPr="00752B84" w:rsidRDefault="00161328" w:rsidP="00E8149E">
      <w:pPr>
        <w:keepNext/>
        <w:rPr>
          <w:kern w:val="20"/>
        </w:rPr>
      </w:pPr>
      <w:r w:rsidRPr="00752B84">
        <w:rPr>
          <w:kern w:val="20"/>
        </w:rPr>
        <w:t>___ Villous adenoma</w:t>
      </w:r>
    </w:p>
    <w:p w14:paraId="531FE385" w14:textId="77777777" w:rsidR="00161328" w:rsidRPr="00752B84" w:rsidRDefault="00161328" w:rsidP="00E8149E">
      <w:pPr>
        <w:keepNext/>
        <w:rPr>
          <w:kern w:val="20"/>
        </w:rPr>
      </w:pPr>
      <w:r w:rsidRPr="00752B84">
        <w:rPr>
          <w:kern w:val="20"/>
        </w:rPr>
        <w:t xml:space="preserve">___ </w:t>
      </w:r>
      <w:proofErr w:type="spellStart"/>
      <w:r w:rsidRPr="00752B84">
        <w:rPr>
          <w:kern w:val="20"/>
        </w:rPr>
        <w:t>Tubulovillous</w:t>
      </w:r>
      <w:proofErr w:type="spellEnd"/>
      <w:r w:rsidRPr="00752B84">
        <w:rPr>
          <w:kern w:val="20"/>
        </w:rPr>
        <w:t xml:space="preserve"> adenoma</w:t>
      </w:r>
    </w:p>
    <w:p w14:paraId="09683605" w14:textId="77777777" w:rsidR="00161328" w:rsidRPr="00D9542B" w:rsidRDefault="00161328" w:rsidP="00E8149E">
      <w:pPr>
        <w:keepNext/>
        <w:rPr>
          <w:kern w:val="20"/>
        </w:rPr>
      </w:pPr>
      <w:r w:rsidRPr="00D9542B">
        <w:rPr>
          <w:kern w:val="20"/>
        </w:rPr>
        <w:t>___ Traditional serrated adenoma</w:t>
      </w:r>
    </w:p>
    <w:p w14:paraId="7DED02FA" w14:textId="77777777" w:rsidR="00ED6C85" w:rsidRPr="00D9542B" w:rsidRDefault="00161328" w:rsidP="00E8149E">
      <w:pPr>
        <w:keepNext/>
        <w:rPr>
          <w:kern w:val="20"/>
        </w:rPr>
      </w:pPr>
      <w:r w:rsidRPr="00D9542B">
        <w:rPr>
          <w:kern w:val="20"/>
        </w:rPr>
        <w:t>___ Sessile serrated adenoma</w:t>
      </w:r>
      <w:r w:rsidR="00C350C4">
        <w:rPr>
          <w:kern w:val="20"/>
        </w:rPr>
        <w:t>/sessile serrated polyp</w:t>
      </w:r>
    </w:p>
    <w:p w14:paraId="0898349F" w14:textId="77777777" w:rsidR="00161328" w:rsidRPr="00D9542B" w:rsidRDefault="00161328" w:rsidP="00752B84">
      <w:pPr>
        <w:rPr>
          <w:kern w:val="20"/>
        </w:rPr>
      </w:pPr>
      <w:r w:rsidRPr="00D9542B">
        <w:rPr>
          <w:kern w:val="20"/>
        </w:rPr>
        <w:t xml:space="preserve">___ </w:t>
      </w:r>
      <w:proofErr w:type="spellStart"/>
      <w:r w:rsidRPr="00D9542B">
        <w:rPr>
          <w:kern w:val="20"/>
        </w:rPr>
        <w:t>Hamartomatous</w:t>
      </w:r>
      <w:proofErr w:type="spellEnd"/>
      <w:r w:rsidRPr="00D9542B">
        <w:rPr>
          <w:kern w:val="20"/>
        </w:rPr>
        <w:t xml:space="preserve"> polyp</w:t>
      </w:r>
    </w:p>
    <w:p w14:paraId="52277EB8" w14:textId="77777777" w:rsidR="00161328" w:rsidRPr="00D9542B" w:rsidRDefault="00161328" w:rsidP="00D9542B">
      <w:pPr>
        <w:rPr>
          <w:kern w:val="20"/>
        </w:rPr>
      </w:pPr>
      <w:r w:rsidRPr="00D9542B">
        <w:rPr>
          <w:kern w:val="20"/>
        </w:rPr>
        <w:t xml:space="preserve">___ </w:t>
      </w:r>
      <w:r w:rsidR="00DD2DC1" w:rsidRPr="00D9542B">
        <w:rPr>
          <w:kern w:val="20"/>
        </w:rPr>
        <w:t>Other</w:t>
      </w:r>
      <w:r w:rsidR="002161AE" w:rsidRPr="00D9542B">
        <w:rPr>
          <w:kern w:val="20"/>
        </w:rPr>
        <w:t xml:space="preserve"> (specify): ________________________________</w:t>
      </w:r>
    </w:p>
    <w:p w14:paraId="50353335" w14:textId="77777777" w:rsidR="00161328" w:rsidRPr="00D9542B" w:rsidRDefault="00161328" w:rsidP="00D9542B">
      <w:pPr>
        <w:rPr>
          <w:kern w:val="20"/>
        </w:rPr>
      </w:pPr>
    </w:p>
    <w:p w14:paraId="23FA5458" w14:textId="77777777" w:rsidR="00D333E2" w:rsidRPr="00980EB3" w:rsidRDefault="00D333E2" w:rsidP="00D333E2">
      <w:pPr>
        <w:pStyle w:val="Heading2"/>
        <w:rPr>
          <w:b w:val="0"/>
          <w:kern w:val="20"/>
        </w:rPr>
      </w:pPr>
      <w:r w:rsidRPr="00980EB3">
        <w:rPr>
          <w:b w:val="0"/>
          <w:kern w:val="20"/>
        </w:rPr>
        <w:t>Additional Pathologic Findings (select all that apply)</w:t>
      </w:r>
    </w:p>
    <w:p w14:paraId="55827083" w14:textId="77777777" w:rsidR="00D333E2" w:rsidRPr="00D9542B" w:rsidRDefault="00D333E2" w:rsidP="00752B84">
      <w:pPr>
        <w:rPr>
          <w:kern w:val="20"/>
        </w:rPr>
      </w:pPr>
      <w:r w:rsidRPr="00D9542B">
        <w:rPr>
          <w:kern w:val="20"/>
        </w:rPr>
        <w:t>___ None identified</w:t>
      </w:r>
    </w:p>
    <w:p w14:paraId="08232271" w14:textId="77777777" w:rsidR="00D333E2" w:rsidRPr="00D9542B" w:rsidRDefault="00D333E2" w:rsidP="00D333E2">
      <w:pPr>
        <w:rPr>
          <w:kern w:val="20"/>
        </w:rPr>
      </w:pPr>
      <w:r w:rsidRPr="00D9542B">
        <w:rPr>
          <w:kern w:val="20"/>
        </w:rPr>
        <w:t xml:space="preserve">___ </w:t>
      </w:r>
      <w:r>
        <w:rPr>
          <w:kern w:val="20"/>
        </w:rPr>
        <w:t>U</w:t>
      </w:r>
      <w:r w:rsidRPr="00D9542B">
        <w:rPr>
          <w:kern w:val="20"/>
        </w:rPr>
        <w:t>lcerative colitis</w:t>
      </w:r>
    </w:p>
    <w:p w14:paraId="46ECFC27" w14:textId="77777777" w:rsidR="00D333E2" w:rsidRPr="00D9542B" w:rsidRDefault="00D333E2" w:rsidP="00D333E2">
      <w:pPr>
        <w:rPr>
          <w:kern w:val="20"/>
        </w:rPr>
      </w:pPr>
      <w:r w:rsidRPr="00D9542B">
        <w:rPr>
          <w:kern w:val="20"/>
        </w:rPr>
        <w:t>___ Crohn disease</w:t>
      </w:r>
    </w:p>
    <w:p w14:paraId="0C92395D" w14:textId="77777777" w:rsidR="00D333E2" w:rsidRPr="00D9542B" w:rsidRDefault="00D333E2" w:rsidP="00752B84">
      <w:pPr>
        <w:rPr>
          <w:kern w:val="20"/>
        </w:rPr>
      </w:pPr>
      <w:r w:rsidRPr="00D9542B">
        <w:rPr>
          <w:kern w:val="20"/>
        </w:rPr>
        <w:t>___ Other polyps (type[s]): ___________________________</w:t>
      </w:r>
    </w:p>
    <w:p w14:paraId="60AF6C6A" w14:textId="77777777" w:rsidR="00D333E2" w:rsidRPr="00D9542B" w:rsidRDefault="00D333E2" w:rsidP="00D333E2">
      <w:pPr>
        <w:rPr>
          <w:kern w:val="20"/>
        </w:rPr>
      </w:pPr>
      <w:r w:rsidRPr="00D9542B">
        <w:rPr>
          <w:kern w:val="20"/>
        </w:rPr>
        <w:t>___ Other (specify): ___________________________</w:t>
      </w:r>
    </w:p>
    <w:p w14:paraId="44DF1139" w14:textId="77777777" w:rsidR="00161328" w:rsidRPr="00D9542B" w:rsidRDefault="00161328" w:rsidP="00D9542B">
      <w:pPr>
        <w:rPr>
          <w:kern w:val="20"/>
        </w:rPr>
      </w:pPr>
    </w:p>
    <w:p w14:paraId="3CA49511" w14:textId="27E38373" w:rsidR="00161328" w:rsidRPr="00980EB3" w:rsidRDefault="00161328" w:rsidP="00D9542B">
      <w:pPr>
        <w:keepNext/>
        <w:rPr>
          <w:kern w:val="20"/>
        </w:rPr>
      </w:pPr>
      <w:r w:rsidRPr="00980EB3">
        <w:rPr>
          <w:kern w:val="20"/>
        </w:rPr>
        <w:t xml:space="preserve">Ancillary Studies </w:t>
      </w:r>
      <w:r w:rsidR="00651495" w:rsidRPr="00980EB3">
        <w:rPr>
          <w:kern w:val="20"/>
        </w:rPr>
        <w:t xml:space="preserve">(Note </w:t>
      </w:r>
      <w:r w:rsidR="00A04420">
        <w:rPr>
          <w:kern w:val="20"/>
        </w:rPr>
        <w:t>H</w:t>
      </w:r>
      <w:r w:rsidR="00651495" w:rsidRPr="00980EB3">
        <w:rPr>
          <w:kern w:val="20"/>
        </w:rPr>
        <w:t>)</w:t>
      </w:r>
    </w:p>
    <w:p w14:paraId="10F79375" w14:textId="77777777" w:rsidR="00F03054" w:rsidRPr="00CF40F7" w:rsidRDefault="00711A4A" w:rsidP="003C281F">
      <w:pPr>
        <w:spacing w:before="120"/>
        <w:ind w:left="187"/>
        <w:rPr>
          <w:rFonts w:cs="Arial"/>
          <w:bCs/>
          <w:i/>
          <w:iCs/>
        </w:rPr>
      </w:pPr>
      <w:r w:rsidRPr="00CF40F7">
        <w:rPr>
          <w:rFonts w:cs="Arial"/>
          <w:bCs/>
          <w:i/>
          <w:iCs/>
        </w:rPr>
        <w:t>Note: For reporting molecular testing and immunohistochemistry for mismatch repair proteins, and for other cancer biomarker testing results, the CAP Colorectal Biomarker Template should be used.</w:t>
      </w:r>
      <w:r w:rsidR="008E4AAD" w:rsidRPr="00CF40F7">
        <w:rPr>
          <w:rFonts w:cs="Arial"/>
          <w:bCs/>
          <w:i/>
          <w:iCs/>
        </w:rPr>
        <w:t xml:space="preserve"> </w:t>
      </w:r>
      <w:r w:rsidR="00F03054" w:rsidRPr="00CF40F7">
        <w:rPr>
          <w:rFonts w:cs="Arial"/>
          <w:bCs/>
          <w:i/>
          <w:iCs/>
        </w:rPr>
        <w:t>Pending biomarker studies should be listed in the Comments section of this report.</w:t>
      </w:r>
    </w:p>
    <w:p w14:paraId="04E0A0A9" w14:textId="77777777" w:rsidR="00711A4A" w:rsidRPr="00CF40F7" w:rsidRDefault="00711A4A" w:rsidP="00D9542B">
      <w:pPr>
        <w:rPr>
          <w:rFonts w:cs="Arial"/>
          <w:b/>
          <w:i/>
        </w:rPr>
      </w:pPr>
    </w:p>
    <w:p w14:paraId="38802CDE" w14:textId="77777777" w:rsidR="00161328" w:rsidRPr="00CF40F7" w:rsidRDefault="00161328" w:rsidP="00D9542B">
      <w:pPr>
        <w:pStyle w:val="Heading2"/>
        <w:rPr>
          <w:rFonts w:cs="Arial"/>
          <w:b w:val="0"/>
          <w:kern w:val="20"/>
        </w:rPr>
      </w:pPr>
      <w:r w:rsidRPr="00CF40F7">
        <w:rPr>
          <w:rFonts w:cs="Arial"/>
          <w:b w:val="0"/>
          <w:kern w:val="20"/>
        </w:rPr>
        <w:t>Comment(s)</w:t>
      </w:r>
    </w:p>
    <w:p w14:paraId="28460057" w14:textId="77777777" w:rsidR="00B50B27" w:rsidRPr="00B50B27" w:rsidRDefault="00B50B27" w:rsidP="00B50B27">
      <w:pPr>
        <w:rPr>
          <w:b/>
          <w:i/>
        </w:rPr>
      </w:pPr>
    </w:p>
    <w:p w14:paraId="2087CC38" w14:textId="77777777" w:rsidR="00B50B27" w:rsidRDefault="00B50B27" w:rsidP="00B50B27">
      <w:pPr>
        <w:rPr>
          <w:b/>
          <w:i/>
        </w:rPr>
        <w:sectPr w:rsidR="00B50B27" w:rsidSect="00BF0DFE">
          <w:headerReference w:type="default" r:id="rId14"/>
          <w:footerReference w:type="even" r:id="rId15"/>
          <w:footerReference w:type="default" r:id="rId16"/>
          <w:endnotePr>
            <w:numFmt w:val="decimal"/>
          </w:endnotePr>
          <w:pgSz w:w="12240" w:h="15840"/>
          <w:pgMar w:top="1440" w:right="1080" w:bottom="1440" w:left="1080" w:header="720" w:footer="936" w:gutter="0"/>
          <w:cols w:space="720"/>
        </w:sectPr>
      </w:pPr>
    </w:p>
    <w:p w14:paraId="14B2462E" w14:textId="77777777" w:rsidR="00161328" w:rsidRPr="00D9542B" w:rsidRDefault="00161328" w:rsidP="00D9542B">
      <w:pPr>
        <w:pStyle w:val="Head2"/>
        <w:rPr>
          <w:kern w:val="20"/>
        </w:rPr>
      </w:pPr>
      <w:r w:rsidRPr="00D9542B">
        <w:rPr>
          <w:kern w:val="20"/>
        </w:rPr>
        <w:lastRenderedPageBreak/>
        <w:t>Explanatory Notes</w:t>
      </w:r>
    </w:p>
    <w:p w14:paraId="163B1147" w14:textId="77777777" w:rsidR="00161328" w:rsidRPr="00D9542B" w:rsidRDefault="00161328" w:rsidP="00D9542B">
      <w:pPr>
        <w:pStyle w:val="Heading2"/>
        <w:rPr>
          <w:kern w:val="20"/>
        </w:rPr>
      </w:pPr>
    </w:p>
    <w:p w14:paraId="73129DF7" w14:textId="77777777" w:rsidR="00161328" w:rsidRPr="00D9542B" w:rsidRDefault="00C2077B" w:rsidP="00D9542B">
      <w:pPr>
        <w:pStyle w:val="Heading2"/>
        <w:rPr>
          <w:kern w:val="20"/>
        </w:rPr>
      </w:pPr>
      <w:r w:rsidRPr="00D9542B">
        <w:rPr>
          <w:kern w:val="20"/>
        </w:rPr>
        <w:t xml:space="preserve">A.  </w:t>
      </w:r>
      <w:r w:rsidR="00161328" w:rsidRPr="00D9542B">
        <w:rPr>
          <w:kern w:val="20"/>
        </w:rPr>
        <w:t>Anatomic Sites</w:t>
      </w:r>
    </w:p>
    <w:p w14:paraId="2C431062" w14:textId="77777777" w:rsidR="00161328" w:rsidRPr="00D9542B" w:rsidRDefault="00161328" w:rsidP="00D9542B">
      <w:pPr>
        <w:rPr>
          <w:kern w:val="20"/>
        </w:rPr>
      </w:pPr>
      <w:r w:rsidRPr="00D9542B">
        <w:rPr>
          <w:kern w:val="20"/>
        </w:rPr>
        <w:t>The protocol applies to all carcinomas arising in the colon and rectum.</w:t>
      </w:r>
      <w:r w:rsidR="009D42F3" w:rsidRPr="00D9542B">
        <w:rPr>
          <w:kern w:val="20"/>
        </w:rPr>
        <w:fldChar w:fldCharType="begin"/>
      </w:r>
      <w:r w:rsidRPr="00D9542B">
        <w:rPr>
          <w:kern w:val="20"/>
        </w:rPr>
        <w:instrText xml:space="preserve"> ADDIN EN.CITE &lt;EndNote&gt;&lt;Cite&gt;&lt;Author&gt;Edge&lt;/Author&gt;&lt;Year&gt;2009&lt;/Year&gt;&lt;RecNum&gt;3&lt;/RecNum&gt;&lt;record&gt;&lt;rec-number&gt;3&lt;/rec-number&gt;&lt;ref-type name="Book"&gt;6&lt;/ref-type&gt;&lt;contributors&gt;&lt;authors&gt;&lt;author&gt;Edge, S. E.&lt;/author&gt;&lt;author&gt;Byrd, D. R.&lt;/author&gt;&lt;author&gt;Carducci, M. A.&lt;/author&gt;&lt;author&gt;Compton, C. C.&lt;/author&gt;&lt;/authors&gt;&lt;/contributors&gt;&lt;titles&gt;&lt;title&gt;AJCC Cancer Staging Manual&lt;/title&gt;&lt;/titles&gt;&lt;dates&gt;&lt;year&gt;2009&lt;/year&gt;&lt;/dates&gt;&lt;pub-location&gt;New York, N. Y.&lt;/pub-location&gt;&lt;publisher&gt;Springer&lt;/publisher&gt;&lt;urls&gt;&lt;/urls&gt;&lt;/record&gt;&lt;/Cite&gt;&lt;/EndNote&gt;</w:instrText>
      </w:r>
      <w:r w:rsidR="009D42F3" w:rsidRPr="00D9542B">
        <w:rPr>
          <w:kern w:val="20"/>
        </w:rPr>
        <w:fldChar w:fldCharType="separate"/>
      </w:r>
      <w:r w:rsidRPr="00D9542B">
        <w:rPr>
          <w:kern w:val="20"/>
          <w:vertAlign w:val="superscript"/>
        </w:rPr>
        <w:t>1</w:t>
      </w:r>
      <w:r w:rsidR="009D42F3" w:rsidRPr="00D9542B">
        <w:rPr>
          <w:kern w:val="20"/>
        </w:rPr>
        <w:fldChar w:fldCharType="end"/>
      </w:r>
      <w:r w:rsidR="00FF07DC">
        <w:rPr>
          <w:kern w:val="20"/>
        </w:rPr>
        <w:t xml:space="preserve"> </w:t>
      </w:r>
      <w:r w:rsidRPr="00D9542B">
        <w:rPr>
          <w:kern w:val="20"/>
        </w:rPr>
        <w:t xml:space="preserve">It excludes carcinomas of the vermiform appendix and </w:t>
      </w:r>
      <w:r w:rsidR="0061366A">
        <w:rPr>
          <w:kern w:val="20"/>
        </w:rPr>
        <w:t xml:space="preserve">well-differentiated </w:t>
      </w:r>
      <w:r w:rsidRPr="00D9542B">
        <w:rPr>
          <w:kern w:val="20"/>
        </w:rPr>
        <w:t xml:space="preserve">neuroendocrine </w:t>
      </w:r>
      <w:r w:rsidR="0061366A">
        <w:rPr>
          <w:kern w:val="20"/>
        </w:rPr>
        <w:t>tumors</w:t>
      </w:r>
      <w:r w:rsidRPr="00D9542B">
        <w:rPr>
          <w:kern w:val="20"/>
        </w:rPr>
        <w:t>.</w:t>
      </w:r>
    </w:p>
    <w:p w14:paraId="23D838A0" w14:textId="77777777" w:rsidR="00161328" w:rsidRPr="00D9542B" w:rsidRDefault="00161328" w:rsidP="00D9542B">
      <w:pPr>
        <w:rPr>
          <w:kern w:val="20"/>
        </w:rPr>
      </w:pPr>
    </w:p>
    <w:p w14:paraId="39010E5E" w14:textId="77777777" w:rsidR="00161328" w:rsidRPr="00D9542B" w:rsidRDefault="00161328" w:rsidP="00D9542B">
      <w:pPr>
        <w:rPr>
          <w:kern w:val="20"/>
        </w:rPr>
      </w:pPr>
      <w:r w:rsidRPr="00D9542B">
        <w:rPr>
          <w:kern w:val="20"/>
        </w:rPr>
        <w:t>The colon is divided as shown in Figure 1. The right colon is subdivided into the cecum and the ascending colon.</w:t>
      </w:r>
      <w:r w:rsidRPr="00D9542B">
        <w:rPr>
          <w:kern w:val="20"/>
          <w:vertAlign w:val="superscript"/>
        </w:rPr>
        <w:t>2</w:t>
      </w:r>
      <w:r w:rsidRPr="00D9542B">
        <w:rPr>
          <w:kern w:val="20"/>
        </w:rPr>
        <w:t xml:space="preserve"> The left colon is subdivided into the descending col</w:t>
      </w:r>
      <w:r w:rsidR="008E3BD8" w:rsidRPr="00D9542B">
        <w:rPr>
          <w:kern w:val="20"/>
        </w:rPr>
        <w:t>on and sigmoid colon (see Table </w:t>
      </w:r>
      <w:r w:rsidRPr="00D9542B">
        <w:rPr>
          <w:kern w:val="20"/>
        </w:rPr>
        <w:t>1).</w:t>
      </w:r>
      <w:r w:rsidRPr="00D9542B">
        <w:rPr>
          <w:kern w:val="20"/>
          <w:vertAlign w:val="superscript"/>
        </w:rPr>
        <w:t>1</w:t>
      </w:r>
    </w:p>
    <w:p w14:paraId="7891077C" w14:textId="77777777" w:rsidR="00161328" w:rsidRPr="00D9542B" w:rsidRDefault="00161328" w:rsidP="00D9542B">
      <w:pPr>
        <w:rPr>
          <w:kern w:val="20"/>
        </w:rPr>
      </w:pPr>
    </w:p>
    <w:p w14:paraId="6ED909FE" w14:textId="77777777" w:rsidR="00161328" w:rsidRPr="00D9542B" w:rsidRDefault="009025DC" w:rsidP="00D9542B">
      <w:r>
        <w:rPr>
          <w:noProof/>
        </w:rPr>
        <w:pict w14:anchorId="069CCC39">
          <v:shapetype id="_x0000_t202" coordsize="21600,21600" o:spt="202" path="m,l,21600r21600,l21600,xe">
            <v:stroke joinstyle="miter"/>
            <v:path gradientshapeok="t" o:connecttype="rect"/>
          </v:shapetype>
          <v:shape id="Text Box 2" o:spid="_x0000_s1027" type="#_x0000_t202" style="position:absolute;margin-left:112.05pt;margin-top:185.3pt;width:54pt;height:18pt;z-index:25165721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" stroked="f">
            <v:textbox>
              <w:txbxContent>
                <w:p w14:paraId="5E4CC41D" w14:textId="77777777" w:rsidR="00DD7044" w:rsidRPr="00C2077B" w:rsidRDefault="00DD7044" w:rsidP="00161328">
                  <w:pPr>
                    <w:rPr>
                      <w:sz w:val="18"/>
                      <w:szCs w:val="18"/>
                    </w:rPr>
                  </w:pPr>
                  <w:r w:rsidRPr="00C2077B">
                    <w:rPr>
                      <w:sz w:val="18"/>
                      <w:szCs w:val="18"/>
                    </w:rPr>
                    <w:t>rectum</w:t>
                  </w:r>
                </w:p>
                <w:p w14:paraId="420C7C7A" w14:textId="77777777" w:rsidR="00DD7044" w:rsidRDefault="00DD7044" w:rsidP="00161328"/>
              </w:txbxContent>
            </v:textbox>
          </v:shape>
        </w:pict>
      </w:r>
      <w:r>
        <w:rPr>
          <w:noProof/>
        </w:rPr>
        <w:pict w14:anchorId="485347AD">
          <v:line id="Line 3" o:spid="_x0000_s1026" style="position:absolute;z-index:251658240;visibility:visible" from="99pt,184.6pt" to="117pt,19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"/>
        </w:pict>
      </w:r>
      <w:r>
        <w:rPr>
          <w:noProof/>
        </w:rPr>
        <w:pict w14:anchorId="011C55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Description: 12" style="width:228.8pt;height:198.3pt;visibility:visible">
            <v:imagedata r:id="rId17" o:title="12"/>
          </v:shape>
        </w:pict>
      </w:r>
    </w:p>
    <w:p w14:paraId="17614F7C" w14:textId="77777777" w:rsidR="00161328" w:rsidRPr="00D9542B" w:rsidRDefault="00161328" w:rsidP="00D9542B"/>
    <w:p w14:paraId="0B33056B" w14:textId="77777777" w:rsidR="00161328" w:rsidRPr="00D9542B" w:rsidRDefault="00161328" w:rsidP="00D9542B">
      <w:pPr>
        <w:rPr>
          <w:sz w:val="18"/>
          <w:szCs w:val="18"/>
        </w:rPr>
      </w:pPr>
      <w:r w:rsidRPr="00D9542B">
        <w:rPr>
          <w:b/>
          <w:sz w:val="18"/>
          <w:szCs w:val="18"/>
        </w:rPr>
        <w:t>Figure 1.</w:t>
      </w:r>
      <w:r w:rsidRPr="00D9542B">
        <w:rPr>
          <w:sz w:val="18"/>
          <w:szCs w:val="18"/>
        </w:rPr>
        <w:t xml:space="preserve"> Anatomic subsites of the colon. Used with permission of the American Joint Committee on Cancer (AJCC), Chicago, Ill. The original source for this material is the </w:t>
      </w:r>
      <w:r w:rsidRPr="00D9542B">
        <w:rPr>
          <w:i/>
          <w:sz w:val="18"/>
          <w:szCs w:val="18"/>
        </w:rPr>
        <w:t>AJCC Cancer Staging Atlas</w:t>
      </w:r>
      <w:r w:rsidRPr="00D9542B">
        <w:rPr>
          <w:sz w:val="18"/>
          <w:szCs w:val="18"/>
        </w:rPr>
        <w:t xml:space="preserve"> (2006) edited by Greene et al</w:t>
      </w:r>
      <w:r w:rsidRPr="00D9542B">
        <w:rPr>
          <w:sz w:val="18"/>
          <w:szCs w:val="18"/>
          <w:vertAlign w:val="superscript"/>
        </w:rPr>
        <w:t>2</w:t>
      </w:r>
      <w:r w:rsidRPr="00D9542B">
        <w:rPr>
          <w:sz w:val="18"/>
          <w:szCs w:val="18"/>
        </w:rPr>
        <w:t xml:space="preserve"> and published by Springer Science and Business Media, LLC, www.springerlink.com.</w:t>
      </w:r>
    </w:p>
    <w:p w14:paraId="3F638448" w14:textId="77777777" w:rsidR="00161328" w:rsidRPr="00D9542B" w:rsidRDefault="00161328" w:rsidP="00D9542B"/>
    <w:p w14:paraId="67D690A6" w14:textId="77777777" w:rsidR="00161328" w:rsidRPr="00D9542B" w:rsidRDefault="00161328" w:rsidP="00D9542B">
      <w:pPr>
        <w:spacing w:after="60"/>
        <w:rPr>
          <w:b/>
          <w:kern w:val="20"/>
        </w:rPr>
      </w:pPr>
      <w:r w:rsidRPr="00D9542B">
        <w:rPr>
          <w:b/>
          <w:kern w:val="20"/>
        </w:rPr>
        <w:t>Table 1. Anatomic Subsites of the Colon and Rectum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4770"/>
        <w:gridCol w:w="3060"/>
      </w:tblGrid>
      <w:tr w:rsidR="00B47864" w:rsidRPr="00D9542B" w14:paraId="1B7B8CDF" w14:textId="77777777" w:rsidTr="00DF6419">
        <w:trPr>
          <w:tblHeader/>
        </w:trPr>
        <w:tc>
          <w:tcPr>
            <w:tcW w:w="1890" w:type="dxa"/>
          </w:tcPr>
          <w:p w14:paraId="2D782FFC" w14:textId="77777777" w:rsidR="00161328" w:rsidRPr="00D9542B" w:rsidRDefault="00161328" w:rsidP="00D9542B">
            <w:pPr>
              <w:spacing w:before="60" w:after="60"/>
              <w:rPr>
                <w:b/>
                <w:kern w:val="20"/>
              </w:rPr>
            </w:pPr>
            <w:r w:rsidRPr="00D9542B">
              <w:rPr>
                <w:b/>
                <w:kern w:val="20"/>
              </w:rPr>
              <w:t>Site</w:t>
            </w:r>
          </w:p>
        </w:tc>
        <w:tc>
          <w:tcPr>
            <w:tcW w:w="4770" w:type="dxa"/>
          </w:tcPr>
          <w:p w14:paraId="76D59DCD" w14:textId="7213205F" w:rsidR="00161328" w:rsidRPr="00D9542B" w:rsidRDefault="00161328" w:rsidP="00D9542B">
            <w:pPr>
              <w:spacing w:before="60" w:after="60"/>
              <w:rPr>
                <w:b/>
                <w:kern w:val="20"/>
              </w:rPr>
            </w:pPr>
            <w:r w:rsidRPr="00D9542B">
              <w:rPr>
                <w:b/>
                <w:kern w:val="20"/>
              </w:rPr>
              <w:t xml:space="preserve">Relationship to Peritoneum </w:t>
            </w:r>
          </w:p>
        </w:tc>
        <w:tc>
          <w:tcPr>
            <w:tcW w:w="3060" w:type="dxa"/>
          </w:tcPr>
          <w:p w14:paraId="7C13B7B5" w14:textId="77777777" w:rsidR="00161328" w:rsidRPr="00D9542B" w:rsidRDefault="00161328" w:rsidP="00D9542B">
            <w:pPr>
              <w:spacing w:before="60" w:after="60"/>
              <w:rPr>
                <w:b/>
                <w:kern w:val="20"/>
              </w:rPr>
            </w:pPr>
            <w:r w:rsidRPr="00D9542B">
              <w:rPr>
                <w:b/>
                <w:kern w:val="20"/>
              </w:rPr>
              <w:t>Dimensions (approximate)</w:t>
            </w:r>
          </w:p>
        </w:tc>
      </w:tr>
      <w:tr w:rsidR="00B47864" w:rsidRPr="00D9542B" w14:paraId="41EA4A4A" w14:textId="77777777" w:rsidTr="00DF6419">
        <w:tc>
          <w:tcPr>
            <w:tcW w:w="1890" w:type="dxa"/>
          </w:tcPr>
          <w:p w14:paraId="6DD81310" w14:textId="77777777" w:rsidR="00161328" w:rsidRPr="00D9542B" w:rsidRDefault="00161328" w:rsidP="00D9542B">
            <w:pPr>
              <w:spacing w:before="60" w:after="60"/>
              <w:rPr>
                <w:kern w:val="20"/>
                <w:sz w:val="18"/>
                <w:szCs w:val="18"/>
              </w:rPr>
            </w:pPr>
            <w:r w:rsidRPr="00D9542B">
              <w:rPr>
                <w:kern w:val="20"/>
                <w:sz w:val="18"/>
                <w:szCs w:val="18"/>
              </w:rPr>
              <w:t>Cecum</w:t>
            </w:r>
          </w:p>
        </w:tc>
        <w:tc>
          <w:tcPr>
            <w:tcW w:w="4770" w:type="dxa"/>
          </w:tcPr>
          <w:p w14:paraId="156034AB" w14:textId="77777777" w:rsidR="00161328" w:rsidRPr="00D9542B" w:rsidRDefault="00161328" w:rsidP="00D9542B">
            <w:pPr>
              <w:spacing w:before="60" w:after="60"/>
              <w:rPr>
                <w:kern w:val="20"/>
                <w:sz w:val="18"/>
                <w:szCs w:val="18"/>
              </w:rPr>
            </w:pPr>
            <w:r w:rsidRPr="00D9542B">
              <w:rPr>
                <w:kern w:val="20"/>
                <w:sz w:val="18"/>
                <w:szCs w:val="18"/>
              </w:rPr>
              <w:t>Entirely covered by peritoneum</w:t>
            </w:r>
          </w:p>
        </w:tc>
        <w:tc>
          <w:tcPr>
            <w:tcW w:w="3060" w:type="dxa"/>
          </w:tcPr>
          <w:p w14:paraId="26D12E4F" w14:textId="77777777" w:rsidR="00161328" w:rsidRPr="00D9542B" w:rsidRDefault="00161328" w:rsidP="00D9542B">
            <w:pPr>
              <w:spacing w:before="60" w:after="60"/>
              <w:rPr>
                <w:kern w:val="20"/>
                <w:sz w:val="18"/>
                <w:szCs w:val="18"/>
              </w:rPr>
            </w:pPr>
            <w:r w:rsidRPr="00D9542B">
              <w:rPr>
                <w:kern w:val="20"/>
                <w:sz w:val="18"/>
                <w:szCs w:val="18"/>
              </w:rPr>
              <w:t>6 x 9 cm</w:t>
            </w:r>
          </w:p>
        </w:tc>
      </w:tr>
      <w:tr w:rsidR="00B47864" w:rsidRPr="00D9542B" w14:paraId="03566154" w14:textId="77777777" w:rsidTr="00DF6419">
        <w:tc>
          <w:tcPr>
            <w:tcW w:w="1890" w:type="dxa"/>
          </w:tcPr>
          <w:p w14:paraId="5430DE8F" w14:textId="77777777" w:rsidR="00161328" w:rsidRPr="00D9542B" w:rsidRDefault="00161328" w:rsidP="00D9542B">
            <w:pPr>
              <w:spacing w:before="60" w:after="60"/>
              <w:rPr>
                <w:kern w:val="20"/>
                <w:sz w:val="18"/>
                <w:szCs w:val="18"/>
              </w:rPr>
            </w:pPr>
            <w:r w:rsidRPr="00D9542B">
              <w:rPr>
                <w:kern w:val="20"/>
                <w:sz w:val="18"/>
                <w:szCs w:val="18"/>
              </w:rPr>
              <w:t>Ascending colon</w:t>
            </w:r>
          </w:p>
        </w:tc>
        <w:tc>
          <w:tcPr>
            <w:tcW w:w="4770" w:type="dxa"/>
          </w:tcPr>
          <w:p w14:paraId="71D70071" w14:textId="77777777" w:rsidR="00161328" w:rsidRPr="00D9542B" w:rsidRDefault="00161328" w:rsidP="00D9542B">
            <w:pPr>
              <w:spacing w:before="60" w:after="60"/>
              <w:rPr>
                <w:kern w:val="20"/>
                <w:sz w:val="18"/>
                <w:szCs w:val="18"/>
              </w:rPr>
            </w:pPr>
            <w:r w:rsidRPr="00D9542B">
              <w:rPr>
                <w:kern w:val="20"/>
                <w:sz w:val="18"/>
                <w:szCs w:val="18"/>
              </w:rPr>
              <w:t xml:space="preserve">Retroperitoneal; posterior surface lacks peritoneal covering; lateral and anterior surfaces covered by visceral peritoneum (serosa) </w:t>
            </w:r>
          </w:p>
        </w:tc>
        <w:tc>
          <w:tcPr>
            <w:tcW w:w="3060" w:type="dxa"/>
          </w:tcPr>
          <w:p w14:paraId="6038EFDA" w14:textId="77777777" w:rsidR="00161328" w:rsidRPr="00D9542B" w:rsidRDefault="00161328" w:rsidP="00D9542B">
            <w:pPr>
              <w:spacing w:before="60" w:after="60"/>
              <w:rPr>
                <w:kern w:val="20"/>
                <w:sz w:val="18"/>
                <w:szCs w:val="18"/>
              </w:rPr>
            </w:pPr>
            <w:r w:rsidRPr="00D9542B">
              <w:rPr>
                <w:kern w:val="20"/>
                <w:sz w:val="18"/>
                <w:szCs w:val="18"/>
              </w:rPr>
              <w:t>15-20 cm long</w:t>
            </w:r>
          </w:p>
        </w:tc>
      </w:tr>
      <w:tr w:rsidR="00B47864" w:rsidRPr="00D9542B" w14:paraId="2AC61ECD" w14:textId="77777777" w:rsidTr="00DF6419">
        <w:tc>
          <w:tcPr>
            <w:tcW w:w="1890" w:type="dxa"/>
          </w:tcPr>
          <w:p w14:paraId="23E092E8" w14:textId="77777777" w:rsidR="00161328" w:rsidRPr="00D9542B" w:rsidRDefault="00161328" w:rsidP="00D9542B">
            <w:pPr>
              <w:spacing w:before="60" w:after="60"/>
              <w:rPr>
                <w:kern w:val="20"/>
                <w:sz w:val="18"/>
                <w:szCs w:val="18"/>
              </w:rPr>
            </w:pPr>
            <w:r w:rsidRPr="00D9542B">
              <w:rPr>
                <w:kern w:val="20"/>
                <w:sz w:val="18"/>
                <w:szCs w:val="18"/>
              </w:rPr>
              <w:t>Transverse colon</w:t>
            </w:r>
          </w:p>
        </w:tc>
        <w:tc>
          <w:tcPr>
            <w:tcW w:w="4770" w:type="dxa"/>
          </w:tcPr>
          <w:p w14:paraId="79709B61" w14:textId="77777777" w:rsidR="00161328" w:rsidRPr="00D9542B" w:rsidRDefault="00161328" w:rsidP="00D9542B">
            <w:pPr>
              <w:spacing w:before="60" w:after="60"/>
              <w:rPr>
                <w:kern w:val="20"/>
                <w:sz w:val="18"/>
                <w:szCs w:val="18"/>
              </w:rPr>
            </w:pPr>
            <w:r w:rsidRPr="00D9542B">
              <w:rPr>
                <w:kern w:val="20"/>
                <w:sz w:val="18"/>
                <w:szCs w:val="18"/>
              </w:rPr>
              <w:t>Intraperitoneal; has mesentery</w:t>
            </w:r>
          </w:p>
        </w:tc>
        <w:tc>
          <w:tcPr>
            <w:tcW w:w="3060" w:type="dxa"/>
          </w:tcPr>
          <w:p w14:paraId="7005D4EB" w14:textId="77777777" w:rsidR="00161328" w:rsidRPr="00D9542B" w:rsidRDefault="00161328" w:rsidP="00D9542B">
            <w:pPr>
              <w:spacing w:before="60" w:after="60"/>
              <w:rPr>
                <w:kern w:val="20"/>
                <w:sz w:val="18"/>
                <w:szCs w:val="18"/>
              </w:rPr>
            </w:pPr>
            <w:r w:rsidRPr="00D9542B">
              <w:rPr>
                <w:kern w:val="20"/>
                <w:sz w:val="18"/>
                <w:szCs w:val="18"/>
              </w:rPr>
              <w:t xml:space="preserve">Variable </w:t>
            </w:r>
          </w:p>
        </w:tc>
      </w:tr>
      <w:tr w:rsidR="00B47864" w:rsidRPr="00D9542B" w14:paraId="640C5937" w14:textId="77777777" w:rsidTr="00DF6419">
        <w:tc>
          <w:tcPr>
            <w:tcW w:w="1890" w:type="dxa"/>
          </w:tcPr>
          <w:p w14:paraId="0D9879D0" w14:textId="77777777" w:rsidR="00161328" w:rsidRPr="00D9542B" w:rsidRDefault="00161328" w:rsidP="00D9542B">
            <w:pPr>
              <w:spacing w:before="60" w:after="60"/>
              <w:rPr>
                <w:kern w:val="20"/>
                <w:sz w:val="18"/>
                <w:szCs w:val="18"/>
              </w:rPr>
            </w:pPr>
            <w:r w:rsidRPr="00D9542B">
              <w:rPr>
                <w:kern w:val="20"/>
                <w:sz w:val="18"/>
                <w:szCs w:val="18"/>
              </w:rPr>
              <w:t>Descending colon</w:t>
            </w:r>
          </w:p>
        </w:tc>
        <w:tc>
          <w:tcPr>
            <w:tcW w:w="4770" w:type="dxa"/>
          </w:tcPr>
          <w:p w14:paraId="2D85E426" w14:textId="77777777" w:rsidR="00161328" w:rsidRPr="00D9542B" w:rsidRDefault="00161328" w:rsidP="00D9542B">
            <w:pPr>
              <w:spacing w:before="60" w:after="60"/>
              <w:rPr>
                <w:kern w:val="20"/>
                <w:sz w:val="18"/>
                <w:szCs w:val="18"/>
              </w:rPr>
            </w:pPr>
            <w:r w:rsidRPr="00D9542B">
              <w:rPr>
                <w:kern w:val="20"/>
                <w:sz w:val="18"/>
                <w:szCs w:val="18"/>
              </w:rPr>
              <w:t>Retroperitoneal; posterior surface lacks peritoneal covering; lateral and anterior surfaces covered by visceral peritoneum (serosa)</w:t>
            </w:r>
          </w:p>
        </w:tc>
        <w:tc>
          <w:tcPr>
            <w:tcW w:w="3060" w:type="dxa"/>
          </w:tcPr>
          <w:p w14:paraId="048E5981" w14:textId="77777777" w:rsidR="00161328" w:rsidRPr="00D9542B" w:rsidRDefault="00161328" w:rsidP="00D9542B">
            <w:pPr>
              <w:spacing w:before="60" w:after="60"/>
              <w:rPr>
                <w:kern w:val="20"/>
                <w:sz w:val="18"/>
                <w:szCs w:val="18"/>
              </w:rPr>
            </w:pPr>
            <w:r w:rsidRPr="00D9542B">
              <w:rPr>
                <w:kern w:val="20"/>
                <w:sz w:val="18"/>
                <w:szCs w:val="18"/>
              </w:rPr>
              <w:t>10-15 cm long</w:t>
            </w:r>
          </w:p>
        </w:tc>
      </w:tr>
      <w:tr w:rsidR="00B47864" w:rsidRPr="00D9542B" w14:paraId="59CC3E6E" w14:textId="77777777" w:rsidTr="00DF6419">
        <w:tc>
          <w:tcPr>
            <w:tcW w:w="1890" w:type="dxa"/>
          </w:tcPr>
          <w:p w14:paraId="48C78B64" w14:textId="77777777" w:rsidR="00161328" w:rsidRPr="00D9542B" w:rsidRDefault="00161328" w:rsidP="00D9542B">
            <w:pPr>
              <w:spacing w:before="60" w:after="60"/>
              <w:rPr>
                <w:kern w:val="20"/>
                <w:sz w:val="18"/>
                <w:szCs w:val="18"/>
              </w:rPr>
            </w:pPr>
            <w:r w:rsidRPr="00D9542B">
              <w:rPr>
                <w:kern w:val="20"/>
                <w:sz w:val="18"/>
                <w:szCs w:val="18"/>
              </w:rPr>
              <w:t>Sigmoid colon</w:t>
            </w:r>
          </w:p>
        </w:tc>
        <w:tc>
          <w:tcPr>
            <w:tcW w:w="4770" w:type="dxa"/>
          </w:tcPr>
          <w:p w14:paraId="2A3B5133" w14:textId="77777777" w:rsidR="00161328" w:rsidRPr="00D9542B" w:rsidRDefault="00161328" w:rsidP="00D9542B">
            <w:pPr>
              <w:spacing w:before="60" w:after="60"/>
              <w:rPr>
                <w:kern w:val="20"/>
                <w:sz w:val="18"/>
                <w:szCs w:val="18"/>
              </w:rPr>
            </w:pPr>
            <w:r w:rsidRPr="00D9542B">
              <w:rPr>
                <w:kern w:val="20"/>
                <w:sz w:val="18"/>
                <w:szCs w:val="18"/>
              </w:rPr>
              <w:t>Intraperitoneal; has mesentery</w:t>
            </w:r>
          </w:p>
        </w:tc>
        <w:tc>
          <w:tcPr>
            <w:tcW w:w="3060" w:type="dxa"/>
          </w:tcPr>
          <w:p w14:paraId="40A6CB26" w14:textId="77777777" w:rsidR="00161328" w:rsidRPr="00D9542B" w:rsidRDefault="00161328" w:rsidP="00D9542B">
            <w:pPr>
              <w:spacing w:before="60" w:after="60"/>
              <w:rPr>
                <w:kern w:val="20"/>
                <w:sz w:val="18"/>
                <w:szCs w:val="18"/>
              </w:rPr>
            </w:pPr>
            <w:r w:rsidRPr="00D9542B">
              <w:rPr>
                <w:kern w:val="20"/>
                <w:sz w:val="18"/>
                <w:szCs w:val="18"/>
              </w:rPr>
              <w:t>Variable</w:t>
            </w:r>
          </w:p>
        </w:tc>
      </w:tr>
      <w:tr w:rsidR="00B47864" w:rsidRPr="00D9542B" w14:paraId="08DC8143" w14:textId="77777777" w:rsidTr="00DF6419">
        <w:tc>
          <w:tcPr>
            <w:tcW w:w="1890" w:type="dxa"/>
          </w:tcPr>
          <w:p w14:paraId="0B83E2B2" w14:textId="77777777" w:rsidR="00161328" w:rsidRPr="00D9542B" w:rsidRDefault="00161328" w:rsidP="00D9542B">
            <w:pPr>
              <w:spacing w:before="60" w:after="60"/>
              <w:rPr>
                <w:kern w:val="20"/>
                <w:sz w:val="18"/>
                <w:szCs w:val="18"/>
              </w:rPr>
            </w:pPr>
            <w:r w:rsidRPr="00D9542B">
              <w:rPr>
                <w:kern w:val="20"/>
                <w:sz w:val="18"/>
                <w:szCs w:val="18"/>
              </w:rPr>
              <w:t xml:space="preserve">Rectum </w:t>
            </w:r>
          </w:p>
        </w:tc>
        <w:tc>
          <w:tcPr>
            <w:tcW w:w="4770" w:type="dxa"/>
          </w:tcPr>
          <w:p w14:paraId="5D9C8D3F" w14:textId="77777777" w:rsidR="00161328" w:rsidRPr="00D9542B" w:rsidRDefault="00161328" w:rsidP="00D9542B">
            <w:pPr>
              <w:spacing w:before="60" w:after="60"/>
              <w:rPr>
                <w:kern w:val="20"/>
                <w:sz w:val="18"/>
                <w:szCs w:val="18"/>
              </w:rPr>
            </w:pPr>
            <w:r w:rsidRPr="00D9542B">
              <w:rPr>
                <w:kern w:val="20"/>
                <w:sz w:val="18"/>
                <w:szCs w:val="18"/>
              </w:rPr>
              <w:t>Upper third covered by peritoneum on anterior and lateral surfaces; middle third covered by peritoneum only on anterior surface; lower third has no peritoneal covering</w:t>
            </w:r>
          </w:p>
        </w:tc>
        <w:tc>
          <w:tcPr>
            <w:tcW w:w="3060" w:type="dxa"/>
          </w:tcPr>
          <w:p w14:paraId="59E387C5" w14:textId="77777777" w:rsidR="00161328" w:rsidRPr="00D9542B" w:rsidRDefault="00161328" w:rsidP="00D9542B">
            <w:pPr>
              <w:spacing w:before="60" w:after="60"/>
              <w:rPr>
                <w:kern w:val="20"/>
                <w:sz w:val="18"/>
                <w:szCs w:val="18"/>
              </w:rPr>
            </w:pPr>
            <w:r w:rsidRPr="00D9542B">
              <w:rPr>
                <w:kern w:val="20"/>
                <w:sz w:val="18"/>
                <w:szCs w:val="18"/>
              </w:rPr>
              <w:t>12 cm long</w:t>
            </w:r>
          </w:p>
        </w:tc>
      </w:tr>
    </w:tbl>
    <w:p w14:paraId="0E57A203" w14:textId="77777777" w:rsidR="00161328" w:rsidRPr="00D9542B" w:rsidRDefault="00161328" w:rsidP="00D9542B">
      <w:pPr>
        <w:rPr>
          <w:kern w:val="20"/>
        </w:rPr>
      </w:pPr>
    </w:p>
    <w:p w14:paraId="52EF092E" w14:textId="77777777" w:rsidR="00161328" w:rsidRPr="00D9542B" w:rsidRDefault="00161328" w:rsidP="00D9542B">
      <w:pPr>
        <w:keepLines/>
        <w:rPr>
          <w:kern w:val="20"/>
        </w:rPr>
      </w:pPr>
      <w:r w:rsidRPr="00D9542B">
        <w:rPr>
          <w:kern w:val="20"/>
        </w:rPr>
        <w:t>The transition from sigmoid to rectum is marked by the fusion of the tenia coli of the sigmoid to form the circumferential longitudinal muscle of the rectal wall approximately 12 to 15 cm from the dentate line.</w:t>
      </w:r>
      <w:r w:rsidRPr="00D9542B">
        <w:rPr>
          <w:rStyle w:val="Superscript"/>
          <w:kern w:val="20"/>
          <w:vertAlign w:val="baseline"/>
        </w:rPr>
        <w:t xml:space="preserve"> </w:t>
      </w:r>
      <w:r w:rsidRPr="00D9542B">
        <w:rPr>
          <w:kern w:val="20"/>
        </w:rPr>
        <w:t>The rectum is defined clinically as the distal large intestine commencing opposite the sacral promontory and ending at the anorectal ring, which corresponds to the proximal border of the puborectalis muscle palpable on digital rectal examination</w:t>
      </w:r>
      <w:r w:rsidR="009D42F3" w:rsidRPr="00D9542B">
        <w:rPr>
          <w:kern w:val="20"/>
        </w:rPr>
        <w:fldChar w:fldCharType="begin"/>
      </w:r>
      <w:r w:rsidRPr="00D9542B">
        <w:rPr>
          <w:kern w:val="20"/>
        </w:rPr>
        <w:instrText xml:space="preserve"> ADDIN EN.CITE &lt;EndNote&gt;&lt;Cite&gt;&lt;Author&gt;Edge&lt;/Author&gt;&lt;Year&gt;2009&lt;/Year&gt;&lt;RecNum&gt;3&lt;/RecNum&gt;&lt;record&gt;&lt;rec-number&gt;3&lt;/rec-number&gt;&lt;ref-type name="Book"&gt;6&lt;/ref-type&gt;&lt;contributors&gt;&lt;authors&gt;&lt;author&gt;Edge, S. E.&lt;/author&gt;&lt;author&gt;Byrd, D. R.&lt;/author&gt;&lt;author&gt;Carducci, M. A.&lt;/author&gt;&lt;author&gt;Compton, C. C.&lt;/author&gt;&lt;/authors&gt;&lt;/contributors&gt;&lt;titles&gt;&lt;title&gt;AJCC Cancer Staging Manual&lt;/title&gt;&lt;/titles&gt;&lt;dates&gt;&lt;year&gt;2009&lt;/year&gt;&lt;/dates&gt;&lt;pub-location&gt;New York, N. Y.&lt;/pub-location&gt;&lt;publisher&gt;Springer&lt;/publisher&gt;&lt;urls&gt;&lt;/urls&gt;&lt;/record&gt;&lt;/Cite&gt;&lt;/EndNote&gt;</w:instrText>
      </w:r>
      <w:r w:rsidR="009D42F3" w:rsidRPr="00D9542B">
        <w:rPr>
          <w:kern w:val="20"/>
        </w:rPr>
        <w:fldChar w:fldCharType="separate"/>
      </w:r>
      <w:r w:rsidRPr="00D9542B">
        <w:rPr>
          <w:kern w:val="20"/>
          <w:vertAlign w:val="superscript"/>
        </w:rPr>
        <w:t>1</w:t>
      </w:r>
      <w:r w:rsidR="009D42F3" w:rsidRPr="00D9542B">
        <w:rPr>
          <w:kern w:val="20"/>
        </w:rPr>
        <w:fldChar w:fldCharType="end"/>
      </w:r>
      <w:r w:rsidRPr="00D9542B">
        <w:rPr>
          <w:kern w:val="20"/>
        </w:rPr>
        <w:t xml:space="preserve"> (Figure 2). When measuring below with a rigid sigmoidoscope, it extends 16 cm from the anal verge.</w:t>
      </w:r>
    </w:p>
    <w:p w14:paraId="37401D7A" w14:textId="77777777" w:rsidR="00161328" w:rsidRPr="00D9542B" w:rsidRDefault="00161328" w:rsidP="00D9542B">
      <w:pPr>
        <w:rPr>
          <w:kern w:val="20"/>
        </w:rPr>
      </w:pPr>
    </w:p>
    <w:p w14:paraId="31B79D26" w14:textId="77777777" w:rsidR="00161328" w:rsidRPr="00D9542B" w:rsidRDefault="009025DC" w:rsidP="00D9542B">
      <w:r>
        <w:rPr>
          <w:noProof/>
        </w:rPr>
        <w:pict w14:anchorId="370634ED">
          <v:shape id="Picture 2" o:spid="_x0000_i1027" type="#_x0000_t75" alt="Description: 12-2" style="width:257.5pt;height:209.9pt;visibility:visible">
            <v:imagedata r:id="rId18" o:title="12-2"/>
          </v:shape>
        </w:pict>
      </w:r>
    </w:p>
    <w:p w14:paraId="6C148DBF" w14:textId="77777777" w:rsidR="00161328" w:rsidRPr="00D9542B" w:rsidRDefault="00161328" w:rsidP="00D9542B">
      <w:pPr>
        <w:spacing w:before="120"/>
        <w:rPr>
          <w:sz w:val="18"/>
          <w:szCs w:val="18"/>
        </w:rPr>
      </w:pPr>
      <w:r w:rsidRPr="00D9542B">
        <w:rPr>
          <w:b/>
          <w:sz w:val="18"/>
          <w:szCs w:val="18"/>
        </w:rPr>
        <w:t>Figure 2.</w:t>
      </w:r>
      <w:r w:rsidRPr="00D9542B">
        <w:rPr>
          <w:sz w:val="18"/>
          <w:szCs w:val="18"/>
        </w:rPr>
        <w:t xml:space="preserve"> Anatomic subsites of the rectum. Used with permission of the American Joint Committee on Cancer (AJCC), Chicago, Ill. The original source for this material is the </w:t>
      </w:r>
      <w:r w:rsidRPr="00D9542B">
        <w:rPr>
          <w:i/>
          <w:sz w:val="18"/>
          <w:szCs w:val="18"/>
        </w:rPr>
        <w:t>AJCC Cancer Staging Atlas</w:t>
      </w:r>
      <w:r w:rsidRPr="00D9542B">
        <w:rPr>
          <w:sz w:val="18"/>
          <w:szCs w:val="18"/>
        </w:rPr>
        <w:t xml:space="preserve"> (2006) edited by Greene et al</w:t>
      </w:r>
      <w:r w:rsidRPr="00D9542B">
        <w:rPr>
          <w:sz w:val="18"/>
          <w:szCs w:val="18"/>
          <w:vertAlign w:val="superscript"/>
        </w:rPr>
        <w:t>2</w:t>
      </w:r>
      <w:r w:rsidRPr="00D9542B">
        <w:rPr>
          <w:sz w:val="18"/>
          <w:szCs w:val="18"/>
        </w:rPr>
        <w:t xml:space="preserve"> and published by Springer Science and Business Media, LLC, www.springerlink.com.</w:t>
      </w:r>
    </w:p>
    <w:p w14:paraId="6B8EDB82" w14:textId="77777777" w:rsidR="00161328" w:rsidRPr="00D9542B" w:rsidRDefault="00161328" w:rsidP="00D9542B"/>
    <w:p w14:paraId="628805A2" w14:textId="77777777" w:rsidR="00161328" w:rsidRPr="00D9542B" w:rsidRDefault="00161328" w:rsidP="00D9542B">
      <w:pPr>
        <w:rPr>
          <w:kern w:val="20"/>
        </w:rPr>
      </w:pPr>
      <w:r w:rsidRPr="00D9542B">
        <w:rPr>
          <w:kern w:val="20"/>
        </w:rPr>
        <w:t xml:space="preserve">Tumors located at the border between </w:t>
      </w:r>
      <w:r w:rsidR="00542EA8">
        <w:rPr>
          <w:kern w:val="20"/>
        </w:rPr>
        <w:t>two</w:t>
      </w:r>
      <w:r w:rsidRPr="00D9542B">
        <w:rPr>
          <w:kern w:val="20"/>
        </w:rPr>
        <w:t xml:space="preserve"> subsites of the colon (</w:t>
      </w:r>
      <w:proofErr w:type="spellStart"/>
      <w:r w:rsidRPr="00D9542B">
        <w:rPr>
          <w:kern w:val="20"/>
        </w:rPr>
        <w:t>eg</w:t>
      </w:r>
      <w:proofErr w:type="spellEnd"/>
      <w:r w:rsidRPr="00D9542B">
        <w:rPr>
          <w:kern w:val="20"/>
        </w:rPr>
        <w:t xml:space="preserve">, cecum and ascending colon) are registered as tumors of the subsite that is more involved. If </w:t>
      </w:r>
      <w:r w:rsidR="00542EA8">
        <w:rPr>
          <w:kern w:val="20"/>
        </w:rPr>
        <w:t>two</w:t>
      </w:r>
      <w:r w:rsidRPr="00D9542B">
        <w:rPr>
          <w:kern w:val="20"/>
        </w:rPr>
        <w:t xml:space="preserve"> subsites are involved to the same extent, the tumor is classified as an "overlapping" lesion. </w:t>
      </w:r>
    </w:p>
    <w:p w14:paraId="174CF7FD" w14:textId="77777777" w:rsidR="00161328" w:rsidRPr="00D9542B" w:rsidRDefault="00161328" w:rsidP="00D9542B">
      <w:pPr>
        <w:rPr>
          <w:kern w:val="20"/>
        </w:rPr>
      </w:pPr>
    </w:p>
    <w:p w14:paraId="7ED25A1B" w14:textId="77777777" w:rsidR="00A2356E" w:rsidRPr="00D9542B" w:rsidRDefault="00161328" w:rsidP="00D9542B">
      <w:pPr>
        <w:rPr>
          <w:kern w:val="20"/>
          <w:vertAlign w:val="superscript"/>
        </w:rPr>
      </w:pPr>
      <w:r w:rsidRPr="00D9542B">
        <w:rPr>
          <w:kern w:val="20"/>
        </w:rPr>
        <w:t>A tumor is classified as rectal if its inferior margin lies less than 16 cm from the anal verge or if any part of the tumor is located at least partly within the supply of the superior rectal artery.</w:t>
      </w:r>
      <w:r w:rsidRPr="00D9542B">
        <w:rPr>
          <w:kern w:val="20"/>
          <w:vertAlign w:val="superscript"/>
        </w:rPr>
        <w:t xml:space="preserve">3 </w:t>
      </w:r>
      <w:r w:rsidR="00067079" w:rsidRPr="00D9542B">
        <w:t xml:space="preserve">The rectum commences at the sacral promontory, and the junction of sigmoid colon and rectum is anatomically marked by fusion of tenia coli to form the circumferential longitudinal muscle of the rectal wall. Intraoperatively, the rectosigmoid junction corresponds to the sacral promontory. </w:t>
      </w:r>
      <w:r w:rsidRPr="00D9542B">
        <w:rPr>
          <w:kern w:val="20"/>
        </w:rPr>
        <w:t>A tumor is classified as rectosigmoid when differentiation between rectum and sigmoid according to the previously mentioned guidelines is not possible.</w:t>
      </w:r>
      <w:r w:rsidRPr="00D9542B">
        <w:rPr>
          <w:kern w:val="20"/>
          <w:vertAlign w:val="superscript"/>
        </w:rPr>
        <w:t>4</w:t>
      </w:r>
      <w:r w:rsidRPr="00D9542B" w:rsidDel="00E258E3">
        <w:rPr>
          <w:kern w:val="20"/>
          <w:vertAlign w:val="superscript"/>
        </w:rPr>
        <w:t xml:space="preserve"> </w:t>
      </w:r>
    </w:p>
    <w:p w14:paraId="66D7BCA9" w14:textId="77777777" w:rsidR="00A2356E" w:rsidRPr="00D9542B" w:rsidRDefault="00A2356E" w:rsidP="00D9542B">
      <w:pPr>
        <w:rPr>
          <w:kern w:val="20"/>
          <w:vertAlign w:val="superscript"/>
        </w:rPr>
      </w:pPr>
    </w:p>
    <w:p w14:paraId="7D6D8D29" w14:textId="77777777" w:rsidR="00161328" w:rsidRDefault="00CA5F54" w:rsidP="00D9542B">
      <w:pPr>
        <w:rPr>
          <w:kern w:val="20"/>
          <w:vertAlign w:val="superscript"/>
        </w:rPr>
      </w:pPr>
      <w:r>
        <w:rPr>
          <w:rFonts w:cs="Arial"/>
        </w:rPr>
        <w:t>References</w:t>
      </w:r>
    </w:p>
    <w:p w14:paraId="6ECD6211" w14:textId="77777777" w:rsidR="00622455" w:rsidRPr="00622455" w:rsidRDefault="00622455" w:rsidP="00622455">
      <w:pPr>
        <w:numPr>
          <w:ilvl w:val="0"/>
          <w:numId w:val="32"/>
        </w:numPr>
        <w:rPr>
          <w:kern w:val="20"/>
        </w:rPr>
      </w:pPr>
      <w:r w:rsidRPr="00622455">
        <w:rPr>
          <w:kern w:val="20"/>
        </w:rPr>
        <w:t xml:space="preserve">Amin MB, Edge SB, Greene FL, et al, eds. </w:t>
      </w:r>
      <w:r w:rsidRPr="006418D2">
        <w:rPr>
          <w:i/>
          <w:kern w:val="20"/>
        </w:rPr>
        <w:t>AJCC Cancer Staging Manual. 8th ed</w:t>
      </w:r>
      <w:r w:rsidRPr="00622455">
        <w:rPr>
          <w:kern w:val="20"/>
        </w:rPr>
        <w:t>. New York, NY: Springer; 2017.</w:t>
      </w:r>
    </w:p>
    <w:p w14:paraId="58380FE6" w14:textId="77777777" w:rsidR="00622455" w:rsidRPr="00622455" w:rsidRDefault="00622455" w:rsidP="00622455">
      <w:pPr>
        <w:numPr>
          <w:ilvl w:val="0"/>
          <w:numId w:val="32"/>
        </w:numPr>
        <w:rPr>
          <w:kern w:val="20"/>
        </w:rPr>
      </w:pPr>
      <w:r w:rsidRPr="00622455">
        <w:rPr>
          <w:kern w:val="20"/>
        </w:rPr>
        <w:t xml:space="preserve">Greene FL, Compton CC, Fritz AG, Shah J, Winchester DP, eds. </w:t>
      </w:r>
      <w:r w:rsidRPr="006418D2">
        <w:rPr>
          <w:i/>
          <w:kern w:val="20"/>
        </w:rPr>
        <w:t>AJCC Cancer Staging Atlas</w:t>
      </w:r>
      <w:r w:rsidRPr="00622455">
        <w:rPr>
          <w:kern w:val="20"/>
        </w:rPr>
        <w:t>. New York, NY: Springer; 2006.</w:t>
      </w:r>
    </w:p>
    <w:p w14:paraId="79C6CFC8" w14:textId="77777777" w:rsidR="00622455" w:rsidRPr="00622455" w:rsidRDefault="00622455" w:rsidP="00622455">
      <w:pPr>
        <w:numPr>
          <w:ilvl w:val="0"/>
          <w:numId w:val="32"/>
        </w:numPr>
        <w:rPr>
          <w:kern w:val="20"/>
        </w:rPr>
      </w:pPr>
      <w:r w:rsidRPr="00622455">
        <w:rPr>
          <w:kern w:val="20"/>
        </w:rPr>
        <w:t xml:space="preserve">Fielding LP, Arsenault PA, </w:t>
      </w:r>
      <w:proofErr w:type="spellStart"/>
      <w:r w:rsidRPr="00622455">
        <w:rPr>
          <w:kern w:val="20"/>
        </w:rPr>
        <w:t>Chapuis</w:t>
      </w:r>
      <w:proofErr w:type="spellEnd"/>
      <w:r w:rsidRPr="00622455">
        <w:rPr>
          <w:kern w:val="20"/>
        </w:rPr>
        <w:t xml:space="preserve"> PH, et al. Clinicopathological staging for colorectal cancer: </w:t>
      </w:r>
      <w:proofErr w:type="gramStart"/>
      <w:r w:rsidRPr="00622455">
        <w:rPr>
          <w:kern w:val="20"/>
        </w:rPr>
        <w:t>an</w:t>
      </w:r>
      <w:proofErr w:type="gramEnd"/>
      <w:r w:rsidRPr="00622455">
        <w:rPr>
          <w:kern w:val="20"/>
        </w:rPr>
        <w:t xml:space="preserve"> International Documentation System (IDS) and an International Comprehensive Anatomical Terminology (ICAT). </w:t>
      </w:r>
      <w:r w:rsidRPr="006418D2">
        <w:rPr>
          <w:i/>
          <w:kern w:val="20"/>
        </w:rPr>
        <w:t xml:space="preserve">J Gastroenterol </w:t>
      </w:r>
      <w:proofErr w:type="spellStart"/>
      <w:r w:rsidRPr="006418D2">
        <w:rPr>
          <w:i/>
          <w:kern w:val="20"/>
        </w:rPr>
        <w:t>Hepatol</w:t>
      </w:r>
      <w:proofErr w:type="spellEnd"/>
      <w:r w:rsidRPr="00622455">
        <w:rPr>
          <w:kern w:val="20"/>
        </w:rPr>
        <w:t>. 1991;6(4):325-344.</w:t>
      </w:r>
    </w:p>
    <w:p w14:paraId="5B1E14B4" w14:textId="77777777" w:rsidR="00622455" w:rsidRPr="00622455" w:rsidRDefault="00622455" w:rsidP="00622455">
      <w:pPr>
        <w:numPr>
          <w:ilvl w:val="0"/>
          <w:numId w:val="32"/>
        </w:numPr>
        <w:rPr>
          <w:kern w:val="20"/>
        </w:rPr>
      </w:pPr>
      <w:r w:rsidRPr="00622455">
        <w:rPr>
          <w:kern w:val="20"/>
        </w:rPr>
        <w:t xml:space="preserve">Wittekind C, Henson DE, </w:t>
      </w:r>
      <w:proofErr w:type="spellStart"/>
      <w:r w:rsidRPr="00622455">
        <w:rPr>
          <w:kern w:val="20"/>
        </w:rPr>
        <w:t>Hutter</w:t>
      </w:r>
      <w:proofErr w:type="spellEnd"/>
      <w:r w:rsidRPr="00622455">
        <w:rPr>
          <w:kern w:val="20"/>
        </w:rPr>
        <w:t xml:space="preserve"> RVP, </w:t>
      </w:r>
      <w:proofErr w:type="spellStart"/>
      <w:r w:rsidRPr="00622455">
        <w:rPr>
          <w:kern w:val="20"/>
        </w:rPr>
        <w:t>Sobin</w:t>
      </w:r>
      <w:proofErr w:type="spellEnd"/>
      <w:r w:rsidRPr="00622455">
        <w:rPr>
          <w:kern w:val="20"/>
        </w:rPr>
        <w:t xml:space="preserve"> LH, eds. </w:t>
      </w:r>
      <w:r w:rsidRPr="006418D2">
        <w:rPr>
          <w:i/>
          <w:kern w:val="20"/>
        </w:rPr>
        <w:t>TNM Supplement: A Commentary on Uniform Use. 2nd ed</w:t>
      </w:r>
      <w:r w:rsidRPr="00622455">
        <w:rPr>
          <w:kern w:val="20"/>
        </w:rPr>
        <w:t>. New York, NY: Wiley-</w:t>
      </w:r>
      <w:proofErr w:type="spellStart"/>
      <w:r w:rsidRPr="00622455">
        <w:rPr>
          <w:kern w:val="20"/>
        </w:rPr>
        <w:t>Liss</w:t>
      </w:r>
      <w:proofErr w:type="spellEnd"/>
      <w:r w:rsidRPr="00622455">
        <w:rPr>
          <w:kern w:val="20"/>
        </w:rPr>
        <w:t>; 2001.</w:t>
      </w:r>
    </w:p>
    <w:p w14:paraId="2C0D30B5" w14:textId="77777777" w:rsidR="00622455" w:rsidRPr="006418D2" w:rsidRDefault="00622455" w:rsidP="00622455">
      <w:pPr>
        <w:numPr>
          <w:ilvl w:val="0"/>
          <w:numId w:val="32"/>
        </w:numPr>
        <w:rPr>
          <w:i/>
          <w:kern w:val="20"/>
        </w:rPr>
      </w:pPr>
      <w:proofErr w:type="spellStart"/>
      <w:r w:rsidRPr="00622455">
        <w:rPr>
          <w:kern w:val="20"/>
        </w:rPr>
        <w:t>Kenig</w:t>
      </w:r>
      <w:proofErr w:type="spellEnd"/>
      <w:r w:rsidRPr="00622455">
        <w:rPr>
          <w:kern w:val="20"/>
        </w:rPr>
        <w:t xml:space="preserve"> J, Richter P. Definition of the rectum and level of the peritoneal reflection - still a matter of debate? </w:t>
      </w:r>
      <w:proofErr w:type="spellStart"/>
      <w:r w:rsidRPr="006418D2">
        <w:rPr>
          <w:i/>
          <w:kern w:val="20"/>
        </w:rPr>
        <w:t>Wideochir</w:t>
      </w:r>
      <w:proofErr w:type="spellEnd"/>
      <w:r w:rsidRPr="006418D2">
        <w:rPr>
          <w:i/>
          <w:kern w:val="20"/>
        </w:rPr>
        <w:t xml:space="preserve"> </w:t>
      </w:r>
      <w:proofErr w:type="spellStart"/>
      <w:r w:rsidRPr="006418D2">
        <w:rPr>
          <w:i/>
          <w:kern w:val="20"/>
        </w:rPr>
        <w:t>Inne</w:t>
      </w:r>
      <w:proofErr w:type="spellEnd"/>
      <w:r w:rsidRPr="006418D2">
        <w:rPr>
          <w:i/>
          <w:kern w:val="20"/>
        </w:rPr>
        <w:t xml:space="preserve"> Tech Malo </w:t>
      </w:r>
      <w:proofErr w:type="spellStart"/>
      <w:r w:rsidRPr="006418D2">
        <w:rPr>
          <w:i/>
          <w:kern w:val="20"/>
        </w:rPr>
        <w:t>Inwazyjne</w:t>
      </w:r>
      <w:proofErr w:type="spellEnd"/>
      <w:r w:rsidRPr="006418D2">
        <w:rPr>
          <w:i/>
          <w:kern w:val="20"/>
        </w:rPr>
        <w:t>.</w:t>
      </w:r>
      <w:r w:rsidRPr="00622455">
        <w:rPr>
          <w:kern w:val="20"/>
        </w:rPr>
        <w:t xml:space="preserve"> </w:t>
      </w:r>
      <w:proofErr w:type="gramStart"/>
      <w:r w:rsidRPr="00622455">
        <w:rPr>
          <w:kern w:val="20"/>
        </w:rPr>
        <w:t>2013;8:183</w:t>
      </w:r>
      <w:proofErr w:type="gramEnd"/>
      <w:r w:rsidRPr="00622455">
        <w:rPr>
          <w:kern w:val="20"/>
        </w:rPr>
        <w:t>-186.</w:t>
      </w:r>
    </w:p>
    <w:p w14:paraId="11125823" w14:textId="77777777" w:rsidR="00622455" w:rsidRPr="00622455" w:rsidRDefault="00622455" w:rsidP="00622455">
      <w:pPr>
        <w:numPr>
          <w:ilvl w:val="0"/>
          <w:numId w:val="32"/>
        </w:numPr>
        <w:rPr>
          <w:kern w:val="20"/>
        </w:rPr>
      </w:pPr>
      <w:r w:rsidRPr="006418D2">
        <w:rPr>
          <w:i/>
          <w:kern w:val="20"/>
        </w:rPr>
        <w:t xml:space="preserve">Bosman FT, Carneiro F, </w:t>
      </w:r>
      <w:proofErr w:type="spellStart"/>
      <w:r w:rsidRPr="006418D2">
        <w:rPr>
          <w:i/>
          <w:kern w:val="20"/>
        </w:rPr>
        <w:t>Hruban</w:t>
      </w:r>
      <w:proofErr w:type="spellEnd"/>
      <w:r w:rsidRPr="006418D2">
        <w:rPr>
          <w:i/>
          <w:kern w:val="20"/>
        </w:rPr>
        <w:t xml:space="preserve"> RH, </w:t>
      </w:r>
      <w:proofErr w:type="spellStart"/>
      <w:r w:rsidRPr="006418D2">
        <w:rPr>
          <w:i/>
          <w:kern w:val="20"/>
        </w:rPr>
        <w:t>Theise</w:t>
      </w:r>
      <w:proofErr w:type="spellEnd"/>
      <w:r w:rsidRPr="006418D2">
        <w:rPr>
          <w:i/>
          <w:kern w:val="20"/>
        </w:rPr>
        <w:t xml:space="preserve"> ND, eds. WHO Classification of </w:t>
      </w:r>
      <w:proofErr w:type="spellStart"/>
      <w:r w:rsidRPr="006418D2">
        <w:rPr>
          <w:i/>
          <w:kern w:val="20"/>
        </w:rPr>
        <w:t>Tumours</w:t>
      </w:r>
      <w:proofErr w:type="spellEnd"/>
      <w:r w:rsidRPr="006418D2">
        <w:rPr>
          <w:i/>
          <w:kern w:val="20"/>
        </w:rPr>
        <w:t xml:space="preserve"> of the Digestive System</w:t>
      </w:r>
      <w:r w:rsidRPr="00622455">
        <w:rPr>
          <w:kern w:val="20"/>
        </w:rPr>
        <w:t>. Geneva, Switzerland: WHO Press; 2010.</w:t>
      </w:r>
    </w:p>
    <w:p w14:paraId="07CBFC07" w14:textId="77777777" w:rsidR="00622455" w:rsidRPr="00622455" w:rsidRDefault="00622455" w:rsidP="00622455">
      <w:pPr>
        <w:numPr>
          <w:ilvl w:val="0"/>
          <w:numId w:val="32"/>
        </w:numPr>
        <w:rPr>
          <w:kern w:val="20"/>
        </w:rPr>
      </w:pPr>
      <w:r w:rsidRPr="00622455">
        <w:rPr>
          <w:kern w:val="20"/>
        </w:rPr>
        <w:t xml:space="preserve">Kang H, O'Connell JB, Maggard MA, Sack J, Ko CY. A 10-year outcomes evaluation of mucinous and signet-ring cell carcinoma of the colon and rectum. </w:t>
      </w:r>
      <w:r w:rsidRPr="006418D2">
        <w:rPr>
          <w:i/>
          <w:kern w:val="20"/>
        </w:rPr>
        <w:t>Dis Colon Rectum</w:t>
      </w:r>
      <w:r w:rsidRPr="00622455">
        <w:rPr>
          <w:kern w:val="20"/>
        </w:rPr>
        <w:t>. 2005;48(6):1161-1168.</w:t>
      </w:r>
    </w:p>
    <w:p w14:paraId="37904CB2" w14:textId="77777777" w:rsidR="00622455" w:rsidRPr="00622455" w:rsidRDefault="00622455" w:rsidP="00622455">
      <w:pPr>
        <w:numPr>
          <w:ilvl w:val="0"/>
          <w:numId w:val="32"/>
        </w:numPr>
        <w:rPr>
          <w:kern w:val="20"/>
        </w:rPr>
      </w:pPr>
      <w:r w:rsidRPr="00622455">
        <w:rPr>
          <w:kern w:val="20"/>
        </w:rPr>
        <w:t>8.</w:t>
      </w:r>
      <w:r w:rsidRPr="00622455">
        <w:rPr>
          <w:kern w:val="20"/>
        </w:rPr>
        <w:tab/>
        <w:t xml:space="preserve">Bernick PE, </w:t>
      </w:r>
      <w:proofErr w:type="spellStart"/>
      <w:r w:rsidRPr="00622455">
        <w:rPr>
          <w:kern w:val="20"/>
        </w:rPr>
        <w:t>Klimstra</w:t>
      </w:r>
      <w:proofErr w:type="spellEnd"/>
      <w:r w:rsidRPr="00622455">
        <w:rPr>
          <w:kern w:val="20"/>
        </w:rPr>
        <w:t xml:space="preserve"> DS, Shia J, et al. Neuroendocrine carcinomas of the colon and rectum. </w:t>
      </w:r>
      <w:r w:rsidRPr="006418D2">
        <w:rPr>
          <w:i/>
          <w:kern w:val="20"/>
        </w:rPr>
        <w:t>Dis Colon Rectum</w:t>
      </w:r>
      <w:r w:rsidRPr="00622455">
        <w:rPr>
          <w:kern w:val="20"/>
        </w:rPr>
        <w:t>. 2004;47(2):163-169.</w:t>
      </w:r>
    </w:p>
    <w:p w14:paraId="35DB0C53" w14:textId="77777777" w:rsidR="00622455" w:rsidRPr="00622455" w:rsidRDefault="00622455" w:rsidP="00622455">
      <w:pPr>
        <w:numPr>
          <w:ilvl w:val="0"/>
          <w:numId w:val="32"/>
        </w:numPr>
        <w:rPr>
          <w:kern w:val="20"/>
        </w:rPr>
      </w:pPr>
      <w:r w:rsidRPr="00622455">
        <w:rPr>
          <w:kern w:val="20"/>
        </w:rPr>
        <w:t xml:space="preserve">Wick MR, </w:t>
      </w:r>
      <w:proofErr w:type="spellStart"/>
      <w:r w:rsidRPr="00622455">
        <w:rPr>
          <w:kern w:val="20"/>
        </w:rPr>
        <w:t>Vitsky</w:t>
      </w:r>
      <w:proofErr w:type="spellEnd"/>
      <w:r w:rsidRPr="00622455">
        <w:rPr>
          <w:kern w:val="20"/>
        </w:rPr>
        <w:t xml:space="preserve"> JL, Ritter JH, Swanson PE, Mills SE. Sporadic medullary carcinoma of the colon: a clinicopathologic comparison with nonhereditary poorly differentiated enteric-type adenocarcinoma and neuroendocrine colorectal carcinoma. </w:t>
      </w:r>
      <w:r w:rsidRPr="006418D2">
        <w:rPr>
          <w:i/>
          <w:kern w:val="20"/>
        </w:rPr>
        <w:t xml:space="preserve">Am J Clin </w:t>
      </w:r>
      <w:proofErr w:type="spellStart"/>
      <w:r w:rsidRPr="006418D2">
        <w:rPr>
          <w:i/>
          <w:kern w:val="20"/>
        </w:rPr>
        <w:t>Pathol</w:t>
      </w:r>
      <w:proofErr w:type="spellEnd"/>
      <w:r w:rsidRPr="00622455">
        <w:rPr>
          <w:kern w:val="20"/>
        </w:rPr>
        <w:t xml:space="preserve">. </w:t>
      </w:r>
      <w:proofErr w:type="gramStart"/>
      <w:r w:rsidRPr="00622455">
        <w:rPr>
          <w:kern w:val="20"/>
        </w:rPr>
        <w:t>2005;123:56</w:t>
      </w:r>
      <w:proofErr w:type="gramEnd"/>
      <w:r w:rsidRPr="00622455">
        <w:rPr>
          <w:kern w:val="20"/>
        </w:rPr>
        <w:t>-65.</w:t>
      </w:r>
    </w:p>
    <w:p w14:paraId="2F74A6D1" w14:textId="77777777" w:rsidR="00622455" w:rsidRPr="00622455" w:rsidRDefault="00622455" w:rsidP="00622455">
      <w:pPr>
        <w:numPr>
          <w:ilvl w:val="0"/>
          <w:numId w:val="32"/>
        </w:numPr>
        <w:rPr>
          <w:kern w:val="20"/>
        </w:rPr>
      </w:pPr>
      <w:proofErr w:type="spellStart"/>
      <w:r w:rsidRPr="00622455">
        <w:rPr>
          <w:kern w:val="20"/>
        </w:rPr>
        <w:lastRenderedPageBreak/>
        <w:t>Pyo</w:t>
      </w:r>
      <w:proofErr w:type="spellEnd"/>
      <w:r w:rsidRPr="00622455">
        <w:rPr>
          <w:kern w:val="20"/>
        </w:rPr>
        <w:t xml:space="preserve"> JS, Sohn JH, Kang G. Medullary carcinoma in the colorectum: a systematic review and meta-analysis. </w:t>
      </w:r>
      <w:r w:rsidRPr="006418D2">
        <w:rPr>
          <w:i/>
          <w:kern w:val="20"/>
        </w:rPr>
        <w:t xml:space="preserve">Hum </w:t>
      </w:r>
      <w:proofErr w:type="spellStart"/>
      <w:r w:rsidRPr="006418D2">
        <w:rPr>
          <w:i/>
          <w:kern w:val="20"/>
        </w:rPr>
        <w:t>Pathol</w:t>
      </w:r>
      <w:proofErr w:type="spellEnd"/>
      <w:r w:rsidRPr="00622455">
        <w:rPr>
          <w:kern w:val="20"/>
        </w:rPr>
        <w:t xml:space="preserve">. </w:t>
      </w:r>
      <w:proofErr w:type="gramStart"/>
      <w:r w:rsidRPr="00622455">
        <w:rPr>
          <w:kern w:val="20"/>
        </w:rPr>
        <w:t>2016;53:91</w:t>
      </w:r>
      <w:proofErr w:type="gramEnd"/>
      <w:r w:rsidRPr="00622455">
        <w:rPr>
          <w:kern w:val="20"/>
        </w:rPr>
        <w:t xml:space="preserve">-96. </w:t>
      </w:r>
    </w:p>
    <w:p w14:paraId="29307186" w14:textId="77777777" w:rsidR="00622455" w:rsidRPr="00622455" w:rsidRDefault="00622455" w:rsidP="00622455">
      <w:pPr>
        <w:numPr>
          <w:ilvl w:val="0"/>
          <w:numId w:val="32"/>
        </w:numPr>
        <w:rPr>
          <w:kern w:val="20"/>
        </w:rPr>
      </w:pPr>
      <w:r w:rsidRPr="00622455">
        <w:rPr>
          <w:kern w:val="20"/>
        </w:rPr>
        <w:t xml:space="preserve">Knox RD, </w:t>
      </w:r>
      <w:proofErr w:type="spellStart"/>
      <w:r w:rsidRPr="00622455">
        <w:rPr>
          <w:kern w:val="20"/>
        </w:rPr>
        <w:t>Luey</w:t>
      </w:r>
      <w:proofErr w:type="spellEnd"/>
      <w:r w:rsidRPr="00622455">
        <w:rPr>
          <w:kern w:val="20"/>
        </w:rPr>
        <w:t xml:space="preserve"> N, </w:t>
      </w:r>
      <w:proofErr w:type="spellStart"/>
      <w:r w:rsidRPr="00622455">
        <w:rPr>
          <w:kern w:val="20"/>
        </w:rPr>
        <w:t>Sioson</w:t>
      </w:r>
      <w:proofErr w:type="spellEnd"/>
      <w:r w:rsidRPr="00622455">
        <w:rPr>
          <w:kern w:val="20"/>
        </w:rPr>
        <w:t xml:space="preserve"> L, et al. Medullary colorectal carcinoma revisited: a clinical and pathological study of 102 cases. </w:t>
      </w:r>
      <w:r w:rsidRPr="006418D2">
        <w:rPr>
          <w:i/>
          <w:kern w:val="20"/>
        </w:rPr>
        <w:t>Ann Surg Oncol</w:t>
      </w:r>
      <w:r w:rsidRPr="00622455">
        <w:rPr>
          <w:kern w:val="20"/>
        </w:rPr>
        <w:t>. 2015;22(9):2988-96.</w:t>
      </w:r>
    </w:p>
    <w:p w14:paraId="427FF41A" w14:textId="77777777" w:rsidR="00622455" w:rsidRPr="00622455" w:rsidRDefault="00622455" w:rsidP="00622455">
      <w:pPr>
        <w:numPr>
          <w:ilvl w:val="0"/>
          <w:numId w:val="32"/>
        </w:numPr>
        <w:rPr>
          <w:kern w:val="20"/>
        </w:rPr>
      </w:pPr>
      <w:r w:rsidRPr="00622455">
        <w:rPr>
          <w:kern w:val="20"/>
        </w:rPr>
        <w:t xml:space="preserve">Haupt B, Ro JY, Schwartz MR, et al. Colorectal adenocarcinoma with micropapillary pattern and its association with lymph node metastasis. </w:t>
      </w:r>
      <w:r w:rsidRPr="006418D2">
        <w:rPr>
          <w:i/>
          <w:kern w:val="20"/>
        </w:rPr>
        <w:t xml:space="preserve">Mod </w:t>
      </w:r>
      <w:proofErr w:type="spellStart"/>
      <w:r w:rsidRPr="006418D2">
        <w:rPr>
          <w:i/>
          <w:kern w:val="20"/>
        </w:rPr>
        <w:t>Pathol</w:t>
      </w:r>
      <w:proofErr w:type="spellEnd"/>
      <w:r w:rsidR="006418D2">
        <w:rPr>
          <w:i/>
          <w:kern w:val="20"/>
        </w:rPr>
        <w:t>.</w:t>
      </w:r>
      <w:r w:rsidRPr="00622455">
        <w:rPr>
          <w:kern w:val="20"/>
        </w:rPr>
        <w:t xml:space="preserve"> </w:t>
      </w:r>
      <w:proofErr w:type="gramStart"/>
      <w:r w:rsidRPr="00622455">
        <w:rPr>
          <w:kern w:val="20"/>
        </w:rPr>
        <w:t>2007;20:729</w:t>
      </w:r>
      <w:proofErr w:type="gramEnd"/>
      <w:r w:rsidRPr="00622455">
        <w:rPr>
          <w:kern w:val="20"/>
        </w:rPr>
        <w:t>–733.</w:t>
      </w:r>
    </w:p>
    <w:p w14:paraId="41C45BCB" w14:textId="77777777" w:rsidR="006418D2" w:rsidRDefault="006418D2" w:rsidP="006418D2">
      <w:pPr>
        <w:numPr>
          <w:ilvl w:val="0"/>
          <w:numId w:val="32"/>
        </w:numPr>
      </w:pPr>
      <w:r>
        <w:t xml:space="preserve">García-Solano J, Pérez-Guillermo M, Conesa-Zamora P, et al. Clinicopathologic study of 85 colorectal serrated adenocarcinomas: further insights into the full recognition of a new subset of colorectal carcinoma. </w:t>
      </w:r>
      <w:r w:rsidRPr="006418D2">
        <w:rPr>
          <w:i/>
        </w:rPr>
        <w:t xml:space="preserve">Hum </w:t>
      </w:r>
      <w:proofErr w:type="spellStart"/>
      <w:r w:rsidRPr="006418D2">
        <w:rPr>
          <w:i/>
        </w:rPr>
        <w:t>Pathol</w:t>
      </w:r>
      <w:proofErr w:type="spellEnd"/>
      <w:r>
        <w:t>. 2010;41(10):1359-1368.</w:t>
      </w:r>
    </w:p>
    <w:p w14:paraId="25024620" w14:textId="77777777" w:rsidR="00622455" w:rsidRPr="00980EB3" w:rsidRDefault="00622455" w:rsidP="006418D2">
      <w:pPr>
        <w:ind w:left="360"/>
        <w:rPr>
          <w:kern w:val="20"/>
        </w:rPr>
      </w:pPr>
    </w:p>
    <w:p w14:paraId="6349091F" w14:textId="77777777" w:rsidR="00161328" w:rsidRPr="00D9542B" w:rsidRDefault="00C2077B" w:rsidP="00D9542B">
      <w:pPr>
        <w:keepNext/>
        <w:tabs>
          <w:tab w:val="left" w:pos="360"/>
        </w:tabs>
        <w:rPr>
          <w:b/>
          <w:kern w:val="20"/>
        </w:rPr>
      </w:pPr>
      <w:r w:rsidRPr="00D9542B">
        <w:rPr>
          <w:b/>
          <w:kern w:val="20"/>
        </w:rPr>
        <w:t xml:space="preserve">B.  </w:t>
      </w:r>
      <w:r w:rsidR="00161328" w:rsidRPr="00D9542B">
        <w:rPr>
          <w:b/>
          <w:kern w:val="20"/>
        </w:rPr>
        <w:t>Histologic Types</w:t>
      </w:r>
    </w:p>
    <w:p w14:paraId="03EFDFC1" w14:textId="62CDC569" w:rsidR="008058CF" w:rsidRPr="00D9542B" w:rsidRDefault="00161328" w:rsidP="00622455">
      <w:pPr>
        <w:rPr>
          <w:kern w:val="20"/>
        </w:rPr>
      </w:pPr>
      <w:r w:rsidRPr="00D9542B">
        <w:rPr>
          <w:kern w:val="20"/>
        </w:rPr>
        <w:t>For consistency in reporting, the histologic classification proposed by the World Health Organization (WHO) is recommended.</w:t>
      </w:r>
      <w:r w:rsidR="00622455">
        <w:rPr>
          <w:kern w:val="20"/>
          <w:vertAlign w:val="superscript"/>
        </w:rPr>
        <w:t>1</w:t>
      </w:r>
      <w:r w:rsidRPr="00D9542B">
        <w:rPr>
          <w:kern w:val="20"/>
        </w:rPr>
        <w:t xml:space="preserve"> </w:t>
      </w:r>
    </w:p>
    <w:p w14:paraId="24679B66" w14:textId="77777777" w:rsidR="00161328" w:rsidRPr="00622455" w:rsidRDefault="00161328" w:rsidP="00622455">
      <w:pPr>
        <w:rPr>
          <w:kern w:val="20"/>
        </w:rPr>
      </w:pPr>
    </w:p>
    <w:p w14:paraId="06CA7F97" w14:textId="77777777" w:rsidR="00161328" w:rsidRPr="00D9542B" w:rsidRDefault="00161328" w:rsidP="00D9542B">
      <w:pPr>
        <w:rPr>
          <w:kern w:val="20"/>
        </w:rPr>
      </w:pPr>
      <w:r w:rsidRPr="00D9542B">
        <w:rPr>
          <w:kern w:val="20"/>
        </w:rPr>
        <w:t>The histologic types of colorectal carcinoma that have been shown to have adverse prognostic significance independent of stage are signet-ring cell carcinoma</w:t>
      </w:r>
      <w:r w:rsidR="00622455">
        <w:rPr>
          <w:kern w:val="20"/>
          <w:vertAlign w:val="superscript"/>
        </w:rPr>
        <w:t>2</w:t>
      </w:r>
      <w:r w:rsidRPr="00D9542B">
        <w:rPr>
          <w:kern w:val="20"/>
        </w:rPr>
        <w:t xml:space="preserve"> and </w:t>
      </w:r>
      <w:r w:rsidR="00130C40">
        <w:t>poorly differentiated neuroendocrine carcinoma, such as small cell carcinoma</w:t>
      </w:r>
      <w:r w:rsidR="00130C40" w:rsidRPr="00D9542B">
        <w:rPr>
          <w:kern w:val="20"/>
        </w:rPr>
        <w:t xml:space="preserve"> </w:t>
      </w:r>
      <w:r w:rsidRPr="00D9542B">
        <w:rPr>
          <w:kern w:val="20"/>
        </w:rPr>
        <w:t>small cell carcinoma (</w:t>
      </w:r>
      <w:r w:rsidR="001C5F47">
        <w:rPr>
          <w:kern w:val="20"/>
        </w:rPr>
        <w:t xml:space="preserve">poorly differentiated </w:t>
      </w:r>
      <w:r w:rsidRPr="00D9542B">
        <w:rPr>
          <w:kern w:val="20"/>
        </w:rPr>
        <w:t>neuroendocrine carcinoma).</w:t>
      </w:r>
      <w:r w:rsidR="00622455">
        <w:rPr>
          <w:kern w:val="20"/>
          <w:vertAlign w:val="superscript"/>
        </w:rPr>
        <w:t>3</w:t>
      </w:r>
    </w:p>
    <w:p w14:paraId="218D6D5E" w14:textId="77777777" w:rsidR="00161328" w:rsidRPr="00D9542B" w:rsidRDefault="00161328" w:rsidP="00D9542B">
      <w:pPr>
        <w:rPr>
          <w:kern w:val="20"/>
        </w:rPr>
      </w:pPr>
    </w:p>
    <w:p w14:paraId="49A97AC0" w14:textId="56F9EBD4" w:rsidR="00161328" w:rsidRDefault="00161328" w:rsidP="00D9542B">
      <w:pPr>
        <w:rPr>
          <w:kern w:val="20"/>
        </w:rPr>
      </w:pPr>
      <w:r w:rsidRPr="00D9542B">
        <w:rPr>
          <w:kern w:val="20"/>
        </w:rPr>
        <w:t xml:space="preserve">Medullary carcinoma is a distinctive histologic type strongly associated with high levels of microsatellite instability (MSI-H), indicative of defects in DNA repair gene function. Medullary carcinoma may occur either sporadically or in association with </w:t>
      </w:r>
      <w:r w:rsidR="00863945">
        <w:rPr>
          <w:kern w:val="20"/>
        </w:rPr>
        <w:t>Lynch syndrome</w:t>
      </w:r>
      <w:r w:rsidRPr="00D9542B">
        <w:rPr>
          <w:kern w:val="20"/>
        </w:rPr>
        <w:t>.</w:t>
      </w:r>
      <w:r w:rsidR="00622455">
        <w:rPr>
          <w:kern w:val="20"/>
          <w:vertAlign w:val="superscript"/>
        </w:rPr>
        <w:t>4-6</w:t>
      </w:r>
      <w:r w:rsidRPr="00D9542B">
        <w:rPr>
          <w:kern w:val="20"/>
          <w:vertAlign w:val="superscript"/>
        </w:rPr>
        <w:t xml:space="preserve"> </w:t>
      </w:r>
      <w:r w:rsidRPr="00D9542B">
        <w:rPr>
          <w:kern w:val="20"/>
        </w:rPr>
        <w:t xml:space="preserve">This tumor type is characterized by solid growth in nested, organoid, or trabecular patterns, with no immunohistochemical evidence of neuroendocrine differentiation. Medullary carcinomas are also characterized by numerous </w:t>
      </w:r>
      <w:proofErr w:type="gramStart"/>
      <w:r w:rsidRPr="00D9542B">
        <w:rPr>
          <w:kern w:val="20"/>
        </w:rPr>
        <w:t>tumor</w:t>
      </w:r>
      <w:proofErr w:type="gramEnd"/>
      <w:r w:rsidRPr="00D9542B">
        <w:rPr>
          <w:kern w:val="20"/>
        </w:rPr>
        <w:t xml:space="preserve"> infiltrating lymphocytes </w:t>
      </w:r>
      <w:r w:rsidR="00C726D8">
        <w:rPr>
          <w:kern w:val="20"/>
        </w:rPr>
        <w:t>and a better prognosis</w:t>
      </w:r>
      <w:r w:rsidRPr="00D9542B">
        <w:rPr>
          <w:kern w:val="20"/>
        </w:rPr>
        <w:t>.</w:t>
      </w:r>
    </w:p>
    <w:p w14:paraId="05D6FC28" w14:textId="77777777" w:rsidR="006F7EFC" w:rsidRDefault="006F7EFC" w:rsidP="00D9542B">
      <w:pPr>
        <w:rPr>
          <w:kern w:val="20"/>
        </w:rPr>
      </w:pPr>
    </w:p>
    <w:p w14:paraId="23944D4B" w14:textId="77777777" w:rsidR="006F7EFC" w:rsidRDefault="006F7EFC" w:rsidP="00D9542B">
      <w:pPr>
        <w:rPr>
          <w:kern w:val="20"/>
        </w:rPr>
      </w:pPr>
      <w:r>
        <w:rPr>
          <w:kern w:val="20"/>
        </w:rPr>
        <w:t>Micropapillary carcinoma is characterized by small</w:t>
      </w:r>
      <w:r w:rsidR="00B03D88">
        <w:rPr>
          <w:kern w:val="20"/>
        </w:rPr>
        <w:t>,</w:t>
      </w:r>
      <w:r>
        <w:rPr>
          <w:kern w:val="20"/>
        </w:rPr>
        <w:t xml:space="preserve"> tight clusters of tumor cells in cleft-like </w:t>
      </w:r>
      <w:proofErr w:type="gramStart"/>
      <w:r>
        <w:rPr>
          <w:kern w:val="20"/>
        </w:rPr>
        <w:t>spaces, and</w:t>
      </w:r>
      <w:proofErr w:type="gramEnd"/>
      <w:r>
        <w:rPr>
          <w:kern w:val="20"/>
        </w:rPr>
        <w:t xml:space="preserve"> is often present in association with conventional adenocarcinoma. This variant is strongly associated with </w:t>
      </w:r>
      <w:proofErr w:type="spellStart"/>
      <w:r>
        <w:rPr>
          <w:kern w:val="20"/>
        </w:rPr>
        <w:t>lymphovascular</w:t>
      </w:r>
      <w:proofErr w:type="spellEnd"/>
      <w:r>
        <w:rPr>
          <w:kern w:val="20"/>
        </w:rPr>
        <w:t xml:space="preserve"> invasion and lymph node metastasis.</w:t>
      </w:r>
      <w:r w:rsidR="00622455">
        <w:rPr>
          <w:kern w:val="20"/>
          <w:vertAlign w:val="superscript"/>
        </w:rPr>
        <w:t>7</w:t>
      </w:r>
      <w:r>
        <w:rPr>
          <w:kern w:val="20"/>
        </w:rPr>
        <w:t xml:space="preserve"> </w:t>
      </w:r>
    </w:p>
    <w:p w14:paraId="0B660A05" w14:textId="77777777" w:rsidR="00C625D3" w:rsidRDefault="00C625D3" w:rsidP="00D9542B">
      <w:pPr>
        <w:rPr>
          <w:kern w:val="20"/>
        </w:rPr>
      </w:pPr>
    </w:p>
    <w:p w14:paraId="649B1823" w14:textId="77777777" w:rsidR="00161328" w:rsidRPr="00D9542B" w:rsidRDefault="00A06B8A" w:rsidP="00D9542B">
      <w:pPr>
        <w:rPr>
          <w:kern w:val="20"/>
        </w:rPr>
      </w:pPr>
      <w:r>
        <w:rPr>
          <w:kern w:val="20"/>
        </w:rPr>
        <w:t>Serrated adenocarcinomas are characterized by neoplastic glands showing prominent serrations, tumor cells with basal nuclei and eosinophilic cytoplasm, and no or minimal luminal necrosis. These tumors are thought to be re</w:t>
      </w:r>
      <w:r w:rsidR="00B03D88">
        <w:rPr>
          <w:kern w:val="20"/>
        </w:rPr>
        <w:t>la</w:t>
      </w:r>
      <w:r>
        <w:rPr>
          <w:kern w:val="20"/>
        </w:rPr>
        <w:t>ted to traditional serrated adenomas and may have a more aggressive course than conventional adenocarcinoma.</w:t>
      </w:r>
      <w:r w:rsidR="00622455">
        <w:rPr>
          <w:kern w:val="20"/>
          <w:vertAlign w:val="superscript"/>
        </w:rPr>
        <w:t>8</w:t>
      </w:r>
    </w:p>
    <w:p w14:paraId="2CF9EB01" w14:textId="77777777" w:rsidR="00A06B8A" w:rsidRDefault="00A06B8A" w:rsidP="00D9542B">
      <w:pPr>
        <w:pStyle w:val="Heading2"/>
        <w:rPr>
          <w:kern w:val="20"/>
        </w:rPr>
      </w:pPr>
    </w:p>
    <w:p w14:paraId="0AB95B9C" w14:textId="77777777" w:rsidR="00CA5F54" w:rsidRPr="00980EB3" w:rsidRDefault="00CA5F54" w:rsidP="00980EB3">
      <w:r>
        <w:rPr>
          <w:rFonts w:cs="Arial"/>
        </w:rPr>
        <w:t>References</w:t>
      </w:r>
    </w:p>
    <w:p w14:paraId="03FC25C6" w14:textId="6236B160" w:rsidR="00622455" w:rsidRDefault="0042714D" w:rsidP="00622455">
      <w:pPr>
        <w:numPr>
          <w:ilvl w:val="0"/>
          <w:numId w:val="34"/>
        </w:numPr>
      </w:pPr>
      <w:r w:rsidRPr="0042714D">
        <w:t xml:space="preserve">WHO Classification of </w:t>
      </w:r>
      <w:proofErr w:type="spellStart"/>
      <w:r w:rsidRPr="0042714D">
        <w:t>Tumours</w:t>
      </w:r>
      <w:proofErr w:type="spellEnd"/>
      <w:r w:rsidRPr="0042714D">
        <w:t xml:space="preserve"> Editorial Board. </w:t>
      </w:r>
      <w:r w:rsidRPr="00CF40F7">
        <w:rPr>
          <w:i/>
          <w:iCs/>
        </w:rPr>
        <w:t xml:space="preserve">Digestive system </w:t>
      </w:r>
      <w:proofErr w:type="spellStart"/>
      <w:r w:rsidRPr="00CF40F7">
        <w:rPr>
          <w:i/>
          <w:iCs/>
        </w:rPr>
        <w:t>tumours</w:t>
      </w:r>
      <w:proofErr w:type="spellEnd"/>
      <w:r w:rsidRPr="0042714D">
        <w:t xml:space="preserve">. Lyon (France): International Agency for Research on Cancer; 2019. (WHO classification of </w:t>
      </w:r>
      <w:proofErr w:type="spellStart"/>
      <w:r w:rsidRPr="0042714D">
        <w:t>tumours</w:t>
      </w:r>
      <w:proofErr w:type="spellEnd"/>
      <w:r w:rsidRPr="0042714D">
        <w:t xml:space="preserve"> series, 5th ed.; vol. 1)</w:t>
      </w:r>
      <w:r w:rsidR="00622455">
        <w:t>.</w:t>
      </w:r>
    </w:p>
    <w:p w14:paraId="7B41D5F2" w14:textId="77777777" w:rsidR="00622455" w:rsidRDefault="00622455" w:rsidP="00622455">
      <w:pPr>
        <w:numPr>
          <w:ilvl w:val="0"/>
          <w:numId w:val="34"/>
        </w:numPr>
      </w:pPr>
      <w:r>
        <w:t xml:space="preserve">Kang H, O'Connell JB, Maggard MA, Sack J, Ko CY. A 10-year outcomes evaluation of mucinous and signet-ring cell carcinoma of the colon and rectum. </w:t>
      </w:r>
      <w:r w:rsidRPr="006418D2">
        <w:rPr>
          <w:i/>
        </w:rPr>
        <w:t>Dis Colon Rectum</w:t>
      </w:r>
      <w:r>
        <w:t>. 2005;48(6):1161-1168.</w:t>
      </w:r>
    </w:p>
    <w:p w14:paraId="27B9ADE3" w14:textId="77777777" w:rsidR="00622455" w:rsidRDefault="00622455" w:rsidP="00622455">
      <w:pPr>
        <w:numPr>
          <w:ilvl w:val="0"/>
          <w:numId w:val="34"/>
        </w:numPr>
      </w:pPr>
      <w:r>
        <w:t xml:space="preserve">Bernick PE, </w:t>
      </w:r>
      <w:proofErr w:type="spellStart"/>
      <w:r>
        <w:t>Klimstra</w:t>
      </w:r>
      <w:proofErr w:type="spellEnd"/>
      <w:r>
        <w:t xml:space="preserve"> DS, Shia J, et al. Neuroendocrine carcinomas of the colon and rectum. </w:t>
      </w:r>
      <w:r w:rsidRPr="006418D2">
        <w:rPr>
          <w:i/>
        </w:rPr>
        <w:t>Dis Colon Rectum</w:t>
      </w:r>
      <w:r>
        <w:t>. 2004;47(2):163-169.</w:t>
      </w:r>
    </w:p>
    <w:p w14:paraId="19509271" w14:textId="77777777" w:rsidR="00622455" w:rsidRDefault="00622455" w:rsidP="00622455">
      <w:pPr>
        <w:numPr>
          <w:ilvl w:val="0"/>
          <w:numId w:val="34"/>
        </w:numPr>
      </w:pPr>
      <w:r>
        <w:t xml:space="preserve">Wick MR, </w:t>
      </w:r>
      <w:proofErr w:type="spellStart"/>
      <w:r>
        <w:t>Vitsky</w:t>
      </w:r>
      <w:proofErr w:type="spellEnd"/>
      <w:r>
        <w:t xml:space="preserve"> JL, Ritter JH, Swanson PE, Mills SE. Sporadic medullary carcinoma of the colon: a clinicopathologic comparison with nonhereditary poorly differentiated enteric-type adenocarcinoma and neuroendocrine colorectal carcinoma. </w:t>
      </w:r>
      <w:r w:rsidRPr="006418D2">
        <w:rPr>
          <w:i/>
        </w:rPr>
        <w:t xml:space="preserve">Am J Clin </w:t>
      </w:r>
      <w:proofErr w:type="spellStart"/>
      <w:r w:rsidRPr="006418D2">
        <w:rPr>
          <w:i/>
        </w:rPr>
        <w:t>Pathol</w:t>
      </w:r>
      <w:proofErr w:type="spellEnd"/>
      <w:r>
        <w:t xml:space="preserve">. </w:t>
      </w:r>
      <w:proofErr w:type="gramStart"/>
      <w:r>
        <w:t>2005;123:56</w:t>
      </w:r>
      <w:proofErr w:type="gramEnd"/>
      <w:r>
        <w:t>-65.</w:t>
      </w:r>
    </w:p>
    <w:p w14:paraId="430EBCA3" w14:textId="77777777" w:rsidR="00622455" w:rsidRDefault="00622455" w:rsidP="00622455">
      <w:pPr>
        <w:numPr>
          <w:ilvl w:val="0"/>
          <w:numId w:val="34"/>
        </w:numPr>
      </w:pPr>
      <w:proofErr w:type="spellStart"/>
      <w:r>
        <w:t>Pyo</w:t>
      </w:r>
      <w:proofErr w:type="spellEnd"/>
      <w:r>
        <w:t xml:space="preserve"> JS, Sohn JH, Kang G. Medullary carcinoma in the colorectum: a systematic review and meta-analysis. </w:t>
      </w:r>
      <w:r w:rsidRPr="006418D2">
        <w:rPr>
          <w:i/>
        </w:rPr>
        <w:t xml:space="preserve">Hum </w:t>
      </w:r>
      <w:proofErr w:type="spellStart"/>
      <w:r w:rsidRPr="006418D2">
        <w:rPr>
          <w:i/>
        </w:rPr>
        <w:t>Pathol</w:t>
      </w:r>
      <w:proofErr w:type="spellEnd"/>
      <w:r>
        <w:t xml:space="preserve">. </w:t>
      </w:r>
      <w:proofErr w:type="gramStart"/>
      <w:r>
        <w:t>2016;53:91</w:t>
      </w:r>
      <w:proofErr w:type="gramEnd"/>
      <w:r>
        <w:t xml:space="preserve">-96. </w:t>
      </w:r>
    </w:p>
    <w:p w14:paraId="27678CE9" w14:textId="77777777" w:rsidR="00622455" w:rsidRDefault="00622455" w:rsidP="00622455">
      <w:pPr>
        <w:numPr>
          <w:ilvl w:val="0"/>
          <w:numId w:val="34"/>
        </w:numPr>
      </w:pPr>
      <w:r>
        <w:t xml:space="preserve">Knox RD, </w:t>
      </w:r>
      <w:proofErr w:type="spellStart"/>
      <w:r>
        <w:t>Luey</w:t>
      </w:r>
      <w:proofErr w:type="spellEnd"/>
      <w:r>
        <w:t xml:space="preserve"> N, </w:t>
      </w:r>
      <w:proofErr w:type="spellStart"/>
      <w:r>
        <w:t>Sioson</w:t>
      </w:r>
      <w:proofErr w:type="spellEnd"/>
      <w:r>
        <w:t xml:space="preserve"> L, et al. Medullary colorectal carcinoma revisited: a clinical and pathological study of 102 cases. </w:t>
      </w:r>
      <w:r w:rsidRPr="006418D2">
        <w:rPr>
          <w:i/>
        </w:rPr>
        <w:t>Ann Surg Oncol</w:t>
      </w:r>
      <w:r>
        <w:t>. 2015;22(9):2988-96.</w:t>
      </w:r>
    </w:p>
    <w:p w14:paraId="4A959C5D" w14:textId="77777777" w:rsidR="00622455" w:rsidRDefault="00622455" w:rsidP="00622455">
      <w:pPr>
        <w:numPr>
          <w:ilvl w:val="0"/>
          <w:numId w:val="34"/>
        </w:numPr>
      </w:pPr>
      <w:r>
        <w:t xml:space="preserve">Haupt B, Ro JY, Schwartz MR, et al. Colorectal adenocarcinoma with micropapillary pattern and its association with lymph node metastasis. </w:t>
      </w:r>
      <w:r w:rsidRPr="006418D2">
        <w:rPr>
          <w:i/>
        </w:rPr>
        <w:t xml:space="preserve">Mod </w:t>
      </w:r>
      <w:proofErr w:type="spellStart"/>
      <w:r w:rsidRPr="006418D2">
        <w:rPr>
          <w:i/>
        </w:rPr>
        <w:t>Pathol</w:t>
      </w:r>
      <w:proofErr w:type="spellEnd"/>
      <w:r w:rsidR="006418D2">
        <w:t xml:space="preserve">. </w:t>
      </w:r>
      <w:proofErr w:type="gramStart"/>
      <w:r>
        <w:t>2007;20:729</w:t>
      </w:r>
      <w:proofErr w:type="gramEnd"/>
      <w:r>
        <w:t>–733.</w:t>
      </w:r>
    </w:p>
    <w:p w14:paraId="689C6DD4" w14:textId="77777777" w:rsidR="00622455" w:rsidRDefault="00622455" w:rsidP="00622455">
      <w:pPr>
        <w:numPr>
          <w:ilvl w:val="0"/>
          <w:numId w:val="34"/>
        </w:numPr>
      </w:pPr>
      <w:bookmarkStart w:id="9" w:name="_Hlk6404169"/>
      <w:r>
        <w:t xml:space="preserve">García-Solano J, Pérez-Guillermo M, Conesa-Zamora P, et al. Clinicopathologic study of 85 colorectal serrated adenocarcinomas: further insights into the full recognition of a new subset of colorectal carcinoma. </w:t>
      </w:r>
      <w:r w:rsidRPr="006418D2">
        <w:rPr>
          <w:i/>
        </w:rPr>
        <w:t xml:space="preserve">Hum </w:t>
      </w:r>
      <w:proofErr w:type="spellStart"/>
      <w:r w:rsidRPr="006418D2">
        <w:rPr>
          <w:i/>
        </w:rPr>
        <w:t>Pathol</w:t>
      </w:r>
      <w:proofErr w:type="spellEnd"/>
      <w:r>
        <w:t>. 2010;41(10):1359-1368.</w:t>
      </w:r>
    </w:p>
    <w:bookmarkEnd w:id="9"/>
    <w:p w14:paraId="542E5A3F" w14:textId="77777777" w:rsidR="00622455" w:rsidRPr="00980EB3" w:rsidRDefault="00622455" w:rsidP="00980EB3"/>
    <w:p w14:paraId="114902DF" w14:textId="77777777" w:rsidR="00161328" w:rsidRPr="00D9542B" w:rsidRDefault="00C2077B" w:rsidP="00D9542B">
      <w:pPr>
        <w:pStyle w:val="Heading2"/>
        <w:rPr>
          <w:kern w:val="20"/>
        </w:rPr>
      </w:pPr>
      <w:r w:rsidRPr="00D9542B">
        <w:rPr>
          <w:kern w:val="20"/>
        </w:rPr>
        <w:t xml:space="preserve">C.  </w:t>
      </w:r>
      <w:r w:rsidR="00161328" w:rsidRPr="00D9542B">
        <w:rPr>
          <w:kern w:val="20"/>
        </w:rPr>
        <w:t>Histologic Grade</w:t>
      </w:r>
    </w:p>
    <w:p w14:paraId="38FFF2A3" w14:textId="77777777" w:rsidR="00161328" w:rsidRPr="00D9542B" w:rsidRDefault="00161328" w:rsidP="00D9542B">
      <w:pPr>
        <w:rPr>
          <w:kern w:val="20"/>
        </w:rPr>
      </w:pPr>
      <w:proofErr w:type="gramStart"/>
      <w:r w:rsidRPr="00D9542B">
        <w:rPr>
          <w:kern w:val="20"/>
        </w:rPr>
        <w:t>A number of</w:t>
      </w:r>
      <w:proofErr w:type="gramEnd"/>
      <w:r w:rsidRPr="00D9542B">
        <w:rPr>
          <w:kern w:val="20"/>
        </w:rPr>
        <w:t xml:space="preserve"> grading systems for colorectal cancer have been suggested, but a single widely accepted and uniformly used standard for grading is lacking. Most systems stratify tumors into 3 or 4 grades as follows:</w:t>
      </w:r>
    </w:p>
    <w:p w14:paraId="45CB2BDC" w14:textId="77777777" w:rsidR="00161328" w:rsidRPr="00D9542B" w:rsidRDefault="00161328" w:rsidP="00CF40F7">
      <w:pPr>
        <w:ind w:left="720"/>
        <w:rPr>
          <w:kern w:val="20"/>
        </w:rPr>
      </w:pPr>
      <w:r w:rsidRPr="00D9542B">
        <w:rPr>
          <w:kern w:val="20"/>
        </w:rPr>
        <w:lastRenderedPageBreak/>
        <w:t>Grade 1</w:t>
      </w:r>
      <w:r w:rsidRPr="00D9542B">
        <w:rPr>
          <w:kern w:val="20"/>
        </w:rPr>
        <w:tab/>
        <w:t>Well</w:t>
      </w:r>
      <w:r w:rsidR="00D333E2">
        <w:rPr>
          <w:kern w:val="20"/>
        </w:rPr>
        <w:t xml:space="preserve"> </w:t>
      </w:r>
      <w:r w:rsidRPr="00D9542B">
        <w:rPr>
          <w:kern w:val="20"/>
        </w:rPr>
        <w:t>differentiated</w:t>
      </w:r>
      <w:r w:rsidR="00D333E2">
        <w:rPr>
          <w:kern w:val="20"/>
        </w:rPr>
        <w:t xml:space="preserve"> (&gt;95% gland formation)</w:t>
      </w:r>
    </w:p>
    <w:p w14:paraId="1E5E74CF" w14:textId="77777777" w:rsidR="00161328" w:rsidRPr="00D9542B" w:rsidRDefault="00161328" w:rsidP="00CF40F7">
      <w:pPr>
        <w:ind w:left="720"/>
        <w:rPr>
          <w:kern w:val="20"/>
        </w:rPr>
      </w:pPr>
      <w:r w:rsidRPr="00D9542B">
        <w:rPr>
          <w:kern w:val="20"/>
        </w:rPr>
        <w:t>Grade 2</w:t>
      </w:r>
      <w:r w:rsidRPr="00D9542B">
        <w:rPr>
          <w:kern w:val="20"/>
        </w:rPr>
        <w:tab/>
        <w:t>Moderately differentiated</w:t>
      </w:r>
      <w:r w:rsidR="00D333E2">
        <w:rPr>
          <w:kern w:val="20"/>
        </w:rPr>
        <w:t xml:space="preserve"> (50-95% gland formation)</w:t>
      </w:r>
    </w:p>
    <w:p w14:paraId="28B3F388" w14:textId="77777777" w:rsidR="00161328" w:rsidRPr="00D9542B" w:rsidRDefault="00161328" w:rsidP="00CF40F7">
      <w:pPr>
        <w:ind w:left="720"/>
        <w:rPr>
          <w:kern w:val="20"/>
        </w:rPr>
      </w:pPr>
      <w:r w:rsidRPr="00D9542B">
        <w:rPr>
          <w:kern w:val="20"/>
        </w:rPr>
        <w:t>Grade 3</w:t>
      </w:r>
      <w:r w:rsidRPr="00D9542B">
        <w:rPr>
          <w:kern w:val="20"/>
        </w:rPr>
        <w:tab/>
        <w:t>Poorly differentiated</w:t>
      </w:r>
      <w:r w:rsidR="00D333E2">
        <w:rPr>
          <w:kern w:val="20"/>
        </w:rPr>
        <w:t xml:space="preserve"> (&lt;50% gland formation)</w:t>
      </w:r>
    </w:p>
    <w:p w14:paraId="1A926314" w14:textId="77777777" w:rsidR="00161328" w:rsidRPr="00D9542B" w:rsidRDefault="00161328" w:rsidP="00CF40F7">
      <w:pPr>
        <w:ind w:left="720"/>
        <w:rPr>
          <w:kern w:val="20"/>
        </w:rPr>
      </w:pPr>
      <w:r w:rsidRPr="00D9542B">
        <w:rPr>
          <w:kern w:val="20"/>
        </w:rPr>
        <w:t>Grade 4</w:t>
      </w:r>
      <w:r w:rsidRPr="00D9542B">
        <w:rPr>
          <w:kern w:val="20"/>
        </w:rPr>
        <w:tab/>
        <w:t>Undifferentiated</w:t>
      </w:r>
      <w:r w:rsidR="00D333E2">
        <w:rPr>
          <w:kern w:val="20"/>
        </w:rPr>
        <w:t xml:space="preserve"> (no gland formation or mucin; no squamous or neuroendocrine differentiation)</w:t>
      </w:r>
    </w:p>
    <w:p w14:paraId="7CEFB25B" w14:textId="77777777" w:rsidR="00161328" w:rsidRPr="00D9542B" w:rsidRDefault="00161328" w:rsidP="00CF40F7">
      <w:pPr>
        <w:ind w:left="720"/>
        <w:rPr>
          <w:kern w:val="20"/>
        </w:rPr>
      </w:pPr>
    </w:p>
    <w:p w14:paraId="129A40D3" w14:textId="77777777" w:rsidR="00161328" w:rsidRDefault="00161328" w:rsidP="002F71D5">
      <w:pPr>
        <w:rPr>
          <w:kern w:val="20"/>
        </w:rPr>
      </w:pPr>
      <w:r w:rsidRPr="00D9542B">
        <w:rPr>
          <w:kern w:val="20"/>
        </w:rPr>
        <w:t>Despite a significant degree of interobserver variability</w:t>
      </w:r>
      <w:r w:rsidR="00622455">
        <w:rPr>
          <w:kern w:val="20"/>
          <w:vertAlign w:val="superscript"/>
        </w:rPr>
        <w:t>1</w:t>
      </w:r>
      <w:r w:rsidR="00D04CDF">
        <w:rPr>
          <w:kern w:val="20"/>
          <w:vertAlign w:val="superscript"/>
        </w:rPr>
        <w:t xml:space="preserve"> </w:t>
      </w:r>
      <w:r w:rsidRPr="00D9542B">
        <w:rPr>
          <w:kern w:val="20"/>
        </w:rPr>
        <w:t xml:space="preserve">histologic grade has been shown to be </w:t>
      </w:r>
      <w:r w:rsidR="00D96F05">
        <w:rPr>
          <w:kern w:val="20"/>
        </w:rPr>
        <w:t xml:space="preserve">an important </w:t>
      </w:r>
      <w:r w:rsidRPr="00D9542B">
        <w:rPr>
          <w:kern w:val="20"/>
        </w:rPr>
        <w:t>prognostic factor</w:t>
      </w:r>
      <w:r w:rsidR="00D96F05">
        <w:rPr>
          <w:kern w:val="20"/>
        </w:rPr>
        <w:t xml:space="preserve"> in many studies,</w:t>
      </w:r>
      <w:r w:rsidR="00622455">
        <w:rPr>
          <w:kern w:val="20"/>
          <w:vertAlign w:val="superscript"/>
        </w:rPr>
        <w:t>2, 3</w:t>
      </w:r>
      <w:r w:rsidRPr="00D9542B">
        <w:rPr>
          <w:kern w:val="20"/>
        </w:rPr>
        <w:t xml:space="preserve"> </w:t>
      </w:r>
      <w:r w:rsidR="00D96F05">
        <w:rPr>
          <w:kern w:val="20"/>
        </w:rPr>
        <w:t xml:space="preserve">with strong correlation </w:t>
      </w:r>
      <w:r w:rsidR="00DA2F2C">
        <w:rPr>
          <w:kern w:val="20"/>
        </w:rPr>
        <w:t xml:space="preserve">between </w:t>
      </w:r>
      <w:r w:rsidR="002F71D5">
        <w:rPr>
          <w:kern w:val="20"/>
        </w:rPr>
        <w:t>poor differentiation</w:t>
      </w:r>
      <w:r w:rsidRPr="00D9542B">
        <w:rPr>
          <w:kern w:val="20"/>
        </w:rPr>
        <w:t xml:space="preserve"> an</w:t>
      </w:r>
      <w:r w:rsidR="00D96F05">
        <w:rPr>
          <w:kern w:val="20"/>
        </w:rPr>
        <w:t>d</w:t>
      </w:r>
      <w:r w:rsidRPr="00D9542B">
        <w:rPr>
          <w:kern w:val="20"/>
        </w:rPr>
        <w:t xml:space="preserve"> adverse </w:t>
      </w:r>
      <w:r w:rsidR="00D96F05">
        <w:rPr>
          <w:kern w:val="20"/>
        </w:rPr>
        <w:t>outcome</w:t>
      </w:r>
      <w:r w:rsidR="00DA2F2C">
        <w:rPr>
          <w:kern w:val="20"/>
        </w:rPr>
        <w:t>.</w:t>
      </w:r>
      <w:r w:rsidR="00622455">
        <w:rPr>
          <w:kern w:val="20"/>
          <w:vertAlign w:val="superscript"/>
        </w:rPr>
        <w:t>4</w:t>
      </w:r>
      <w:r w:rsidRPr="00D9542B">
        <w:rPr>
          <w:kern w:val="20"/>
        </w:rPr>
        <w:t xml:space="preserve"> </w:t>
      </w:r>
      <w:r w:rsidR="006F7EFC">
        <w:rPr>
          <w:kern w:val="20"/>
        </w:rPr>
        <w:t>While some studies have stratified</w:t>
      </w:r>
      <w:r w:rsidR="004862C0">
        <w:rPr>
          <w:kern w:val="20"/>
        </w:rPr>
        <w:t xml:space="preserve"> grade into a two-tiered low- and high</w:t>
      </w:r>
      <w:r w:rsidR="00D04CDF">
        <w:rPr>
          <w:kern w:val="20"/>
        </w:rPr>
        <w:t>-</w:t>
      </w:r>
      <w:r w:rsidR="004862C0">
        <w:rPr>
          <w:kern w:val="20"/>
        </w:rPr>
        <w:t>grade system, a three- or four-tier system is more commonly used for gastrointestinal carcinomas.  The AJCC has specified use of a four-tiered grading system for colorectal cancer for the 8</w:t>
      </w:r>
      <w:r w:rsidR="004862C0" w:rsidRPr="00F06016">
        <w:rPr>
          <w:kern w:val="20"/>
          <w:vertAlign w:val="superscript"/>
        </w:rPr>
        <w:t>th</w:t>
      </w:r>
      <w:r w:rsidR="004862C0">
        <w:rPr>
          <w:kern w:val="20"/>
        </w:rPr>
        <w:t xml:space="preserve"> edition of the TNM manual.</w:t>
      </w:r>
      <w:r w:rsidR="00622455">
        <w:rPr>
          <w:kern w:val="20"/>
          <w:vertAlign w:val="superscript"/>
        </w:rPr>
        <w:t>5</w:t>
      </w:r>
      <w:r w:rsidR="00651495">
        <w:rPr>
          <w:kern w:val="20"/>
        </w:rPr>
        <w:t xml:space="preserve"> P</w:t>
      </w:r>
      <w:r w:rsidR="004862C0">
        <w:rPr>
          <w:kern w:val="20"/>
        </w:rPr>
        <w:t xml:space="preserve">athologists should </w:t>
      </w:r>
      <w:r w:rsidR="00651495">
        <w:rPr>
          <w:kern w:val="20"/>
        </w:rPr>
        <w:t>use the</w:t>
      </w:r>
      <w:r w:rsidR="004862C0">
        <w:rPr>
          <w:kern w:val="20"/>
        </w:rPr>
        <w:t xml:space="preserve"> </w:t>
      </w:r>
      <w:r w:rsidR="00D04CDF">
        <w:rPr>
          <w:kern w:val="20"/>
        </w:rPr>
        <w:t>four</w:t>
      </w:r>
      <w:r w:rsidR="004862C0">
        <w:rPr>
          <w:kern w:val="20"/>
        </w:rPr>
        <w:t>-tier histologic grading scheme as specified above</w:t>
      </w:r>
      <w:r w:rsidR="00651495">
        <w:rPr>
          <w:kern w:val="20"/>
        </w:rPr>
        <w:t xml:space="preserve"> to prevent errors in data recording</w:t>
      </w:r>
      <w:r w:rsidR="004862C0">
        <w:rPr>
          <w:kern w:val="20"/>
        </w:rPr>
        <w:t xml:space="preserve">. </w:t>
      </w:r>
      <w:r w:rsidR="00EC6F13">
        <w:rPr>
          <w:kern w:val="20"/>
        </w:rPr>
        <w:t>As per WHO, the grading scheme applies to adenocarcinoma, not otherwise specified, and not to histologic variants. For example, m</w:t>
      </w:r>
      <w:r w:rsidR="00D333E2">
        <w:rPr>
          <w:kern w:val="20"/>
        </w:rPr>
        <w:t xml:space="preserve">edullary carcinomas behave as </w:t>
      </w:r>
      <w:proofErr w:type="gramStart"/>
      <w:r w:rsidR="00D333E2">
        <w:rPr>
          <w:kern w:val="20"/>
        </w:rPr>
        <w:t>low grade</w:t>
      </w:r>
      <w:proofErr w:type="gramEnd"/>
      <w:r w:rsidR="00D333E2">
        <w:rPr>
          <w:kern w:val="20"/>
        </w:rPr>
        <w:t xml:space="preserve"> tumors</w:t>
      </w:r>
      <w:r w:rsidR="00C625D3">
        <w:rPr>
          <w:kern w:val="20"/>
        </w:rPr>
        <w:t xml:space="preserve"> </w:t>
      </w:r>
      <w:r w:rsidR="00EC6F13">
        <w:rPr>
          <w:kern w:val="20"/>
        </w:rPr>
        <w:t>even though they may appear poorly differentiated.</w:t>
      </w:r>
      <w:r w:rsidR="00D333E2">
        <w:rPr>
          <w:kern w:val="20"/>
        </w:rPr>
        <w:t xml:space="preserve"> This grading scheme is</w:t>
      </w:r>
      <w:r w:rsidR="00D333E2" w:rsidRPr="00D333E2">
        <w:rPr>
          <w:kern w:val="20"/>
        </w:rPr>
        <w:t xml:space="preserve"> </w:t>
      </w:r>
      <w:r w:rsidR="00EC6F13">
        <w:rPr>
          <w:kern w:val="20"/>
        </w:rPr>
        <w:t xml:space="preserve">also </w:t>
      </w:r>
      <w:r w:rsidR="00D333E2" w:rsidRPr="00D333E2">
        <w:rPr>
          <w:kern w:val="20"/>
        </w:rPr>
        <w:t xml:space="preserve">not applicable to </w:t>
      </w:r>
      <w:r w:rsidR="00EC6F13">
        <w:rPr>
          <w:kern w:val="20"/>
        </w:rPr>
        <w:t>poorly differentiated</w:t>
      </w:r>
      <w:r w:rsidR="00D333E2" w:rsidRPr="00D333E2">
        <w:rPr>
          <w:kern w:val="20"/>
        </w:rPr>
        <w:t xml:space="preserve"> neuroendocrine carcinomas.</w:t>
      </w:r>
    </w:p>
    <w:p w14:paraId="42B5AA8E" w14:textId="77777777" w:rsidR="00622455" w:rsidRDefault="00622455" w:rsidP="002F71D5">
      <w:pPr>
        <w:rPr>
          <w:kern w:val="20"/>
        </w:rPr>
      </w:pPr>
    </w:p>
    <w:p w14:paraId="4E5CE380" w14:textId="77777777" w:rsidR="00CA5F54" w:rsidRDefault="00CA5F54" w:rsidP="002F71D5">
      <w:pPr>
        <w:rPr>
          <w:kern w:val="20"/>
        </w:rPr>
      </w:pPr>
      <w:r>
        <w:rPr>
          <w:rFonts w:cs="Arial"/>
        </w:rPr>
        <w:t>References</w:t>
      </w:r>
    </w:p>
    <w:p w14:paraId="5C907E24" w14:textId="77777777" w:rsidR="00361459" w:rsidRPr="00361459" w:rsidRDefault="00361459" w:rsidP="00361459">
      <w:pPr>
        <w:numPr>
          <w:ilvl w:val="0"/>
          <w:numId w:val="35"/>
        </w:numPr>
        <w:rPr>
          <w:kern w:val="20"/>
        </w:rPr>
      </w:pPr>
      <w:r w:rsidRPr="00361459">
        <w:rPr>
          <w:kern w:val="20"/>
        </w:rPr>
        <w:t xml:space="preserve">Chandler I, </w:t>
      </w:r>
      <w:proofErr w:type="spellStart"/>
      <w:r w:rsidRPr="00361459">
        <w:rPr>
          <w:kern w:val="20"/>
        </w:rPr>
        <w:t>Houlston</w:t>
      </w:r>
      <w:proofErr w:type="spellEnd"/>
      <w:r w:rsidRPr="00361459">
        <w:rPr>
          <w:kern w:val="20"/>
        </w:rPr>
        <w:t xml:space="preserve"> RS. Interobserver agreement in grading of colorectal cancers-findings from a nationwide web-based survey of histopathologists. </w:t>
      </w:r>
      <w:r w:rsidRPr="006418D2">
        <w:rPr>
          <w:i/>
          <w:kern w:val="20"/>
        </w:rPr>
        <w:t>Histopathology.</w:t>
      </w:r>
      <w:r w:rsidRPr="00361459">
        <w:rPr>
          <w:kern w:val="20"/>
        </w:rPr>
        <w:t xml:space="preserve"> 2008;52(4):494-499.</w:t>
      </w:r>
    </w:p>
    <w:p w14:paraId="2E440059" w14:textId="77777777" w:rsidR="00361459" w:rsidRPr="00361459" w:rsidRDefault="00361459" w:rsidP="00361459">
      <w:pPr>
        <w:numPr>
          <w:ilvl w:val="0"/>
          <w:numId w:val="35"/>
        </w:numPr>
        <w:rPr>
          <w:kern w:val="20"/>
        </w:rPr>
      </w:pPr>
      <w:r w:rsidRPr="00361459">
        <w:rPr>
          <w:kern w:val="20"/>
        </w:rPr>
        <w:t xml:space="preserve">Cho YB, Chun HK, Yun HR, Kim HC, Yun SH, Lee WY. Histological grade predicts survival time associated with recurrence after resection for colorectal cancer. </w:t>
      </w:r>
      <w:proofErr w:type="spellStart"/>
      <w:r w:rsidRPr="006418D2">
        <w:rPr>
          <w:i/>
          <w:kern w:val="20"/>
        </w:rPr>
        <w:t>Hepatogastroenterology</w:t>
      </w:r>
      <w:proofErr w:type="spellEnd"/>
      <w:r w:rsidRPr="00361459">
        <w:rPr>
          <w:kern w:val="20"/>
        </w:rPr>
        <w:t>. 2009;56(94-95):1335-1340.</w:t>
      </w:r>
    </w:p>
    <w:p w14:paraId="01CE24F0" w14:textId="77777777" w:rsidR="00361459" w:rsidRPr="00361459" w:rsidRDefault="00361459" w:rsidP="00361459">
      <w:pPr>
        <w:numPr>
          <w:ilvl w:val="0"/>
          <w:numId w:val="35"/>
        </w:numPr>
        <w:rPr>
          <w:kern w:val="20"/>
        </w:rPr>
      </w:pPr>
      <w:proofErr w:type="spellStart"/>
      <w:r w:rsidRPr="00361459">
        <w:rPr>
          <w:kern w:val="20"/>
        </w:rPr>
        <w:t>Derwinger</w:t>
      </w:r>
      <w:proofErr w:type="spellEnd"/>
      <w:r w:rsidRPr="00361459">
        <w:rPr>
          <w:kern w:val="20"/>
        </w:rPr>
        <w:t xml:space="preserve"> K, </w:t>
      </w:r>
      <w:proofErr w:type="spellStart"/>
      <w:r w:rsidRPr="00361459">
        <w:rPr>
          <w:kern w:val="20"/>
        </w:rPr>
        <w:t>Kodeda</w:t>
      </w:r>
      <w:proofErr w:type="spellEnd"/>
      <w:r w:rsidRPr="00361459">
        <w:rPr>
          <w:kern w:val="20"/>
        </w:rPr>
        <w:t xml:space="preserve"> K, </w:t>
      </w:r>
      <w:proofErr w:type="spellStart"/>
      <w:r w:rsidRPr="00361459">
        <w:rPr>
          <w:kern w:val="20"/>
        </w:rPr>
        <w:t>Bexe-Lindskog</w:t>
      </w:r>
      <w:proofErr w:type="spellEnd"/>
      <w:r w:rsidRPr="00361459">
        <w:rPr>
          <w:kern w:val="20"/>
        </w:rPr>
        <w:t xml:space="preserve"> E, </w:t>
      </w:r>
      <w:proofErr w:type="spellStart"/>
      <w:r w:rsidRPr="00361459">
        <w:rPr>
          <w:kern w:val="20"/>
        </w:rPr>
        <w:t>Taflin</w:t>
      </w:r>
      <w:proofErr w:type="spellEnd"/>
      <w:r w:rsidRPr="00361459">
        <w:rPr>
          <w:kern w:val="20"/>
        </w:rPr>
        <w:t xml:space="preserve"> H. </w:t>
      </w:r>
      <w:proofErr w:type="spellStart"/>
      <w:r w:rsidRPr="00361459">
        <w:rPr>
          <w:kern w:val="20"/>
        </w:rPr>
        <w:t>Tumour</w:t>
      </w:r>
      <w:proofErr w:type="spellEnd"/>
      <w:r w:rsidRPr="00361459">
        <w:rPr>
          <w:kern w:val="20"/>
        </w:rPr>
        <w:t xml:space="preserve"> differentiation grade is associated with TNM staging and the risk of node metastasis in colorectal cancer. </w:t>
      </w:r>
      <w:r w:rsidRPr="006418D2">
        <w:rPr>
          <w:i/>
          <w:kern w:val="20"/>
        </w:rPr>
        <w:t>Acta Oncol</w:t>
      </w:r>
      <w:r w:rsidRPr="00361459">
        <w:rPr>
          <w:kern w:val="20"/>
        </w:rPr>
        <w:t>. 2010;49(1):57-62.</w:t>
      </w:r>
    </w:p>
    <w:p w14:paraId="5C6BAD0E" w14:textId="77777777" w:rsidR="00622455" w:rsidRDefault="00361459" w:rsidP="00361459">
      <w:pPr>
        <w:numPr>
          <w:ilvl w:val="0"/>
          <w:numId w:val="35"/>
        </w:numPr>
        <w:rPr>
          <w:kern w:val="20"/>
        </w:rPr>
      </w:pPr>
      <w:r w:rsidRPr="00361459">
        <w:rPr>
          <w:kern w:val="20"/>
        </w:rPr>
        <w:t xml:space="preserve">Barresi V, </w:t>
      </w:r>
      <w:proofErr w:type="spellStart"/>
      <w:r w:rsidRPr="00361459">
        <w:rPr>
          <w:kern w:val="20"/>
        </w:rPr>
        <w:t>Reggiani</w:t>
      </w:r>
      <w:proofErr w:type="spellEnd"/>
      <w:r w:rsidRPr="00361459">
        <w:rPr>
          <w:kern w:val="20"/>
        </w:rPr>
        <w:t xml:space="preserve"> Bonetti L, </w:t>
      </w:r>
      <w:proofErr w:type="spellStart"/>
      <w:r w:rsidRPr="00361459">
        <w:rPr>
          <w:kern w:val="20"/>
        </w:rPr>
        <w:t>Ieni</w:t>
      </w:r>
      <w:proofErr w:type="spellEnd"/>
      <w:r w:rsidRPr="00361459">
        <w:rPr>
          <w:kern w:val="20"/>
        </w:rPr>
        <w:t xml:space="preserve"> A, </w:t>
      </w:r>
      <w:proofErr w:type="spellStart"/>
      <w:r w:rsidRPr="00361459">
        <w:rPr>
          <w:kern w:val="20"/>
        </w:rPr>
        <w:t>Domati</w:t>
      </w:r>
      <w:proofErr w:type="spellEnd"/>
      <w:r w:rsidRPr="00361459">
        <w:rPr>
          <w:kern w:val="20"/>
        </w:rPr>
        <w:t xml:space="preserve"> F, </w:t>
      </w:r>
      <w:proofErr w:type="spellStart"/>
      <w:r w:rsidRPr="00361459">
        <w:rPr>
          <w:kern w:val="20"/>
        </w:rPr>
        <w:t>Tuccari</w:t>
      </w:r>
      <w:proofErr w:type="spellEnd"/>
      <w:r w:rsidRPr="00361459">
        <w:rPr>
          <w:kern w:val="20"/>
        </w:rPr>
        <w:t xml:space="preserve"> G. Prognostic significance of grading based on the counting of poorly differentiated clusters in colorectal mucinous adenocarcinoma. </w:t>
      </w:r>
      <w:r w:rsidRPr="006418D2">
        <w:rPr>
          <w:i/>
          <w:kern w:val="20"/>
        </w:rPr>
        <w:t xml:space="preserve">Hum </w:t>
      </w:r>
      <w:proofErr w:type="spellStart"/>
      <w:r w:rsidRPr="006418D2">
        <w:rPr>
          <w:i/>
          <w:kern w:val="20"/>
        </w:rPr>
        <w:t>Pathol</w:t>
      </w:r>
      <w:proofErr w:type="spellEnd"/>
      <w:r w:rsidRPr="00361459">
        <w:rPr>
          <w:kern w:val="20"/>
        </w:rPr>
        <w:t>. 2015;46(11):1722-1729.</w:t>
      </w:r>
    </w:p>
    <w:p w14:paraId="29DACFD3" w14:textId="77777777" w:rsidR="00361459" w:rsidRPr="00D9542B" w:rsidRDefault="00361459" w:rsidP="00980EB3">
      <w:pPr>
        <w:numPr>
          <w:ilvl w:val="0"/>
          <w:numId w:val="35"/>
        </w:numPr>
        <w:rPr>
          <w:kern w:val="20"/>
        </w:rPr>
      </w:pPr>
      <w:r w:rsidRPr="00361459">
        <w:rPr>
          <w:kern w:val="20"/>
        </w:rPr>
        <w:t xml:space="preserve">Amin MB, Edge SB, Greene FL, et al, eds. </w:t>
      </w:r>
      <w:r w:rsidRPr="006418D2">
        <w:rPr>
          <w:i/>
          <w:kern w:val="20"/>
        </w:rPr>
        <w:t>AJCC Cancer Staging Manual. 8th ed</w:t>
      </w:r>
      <w:r w:rsidRPr="00361459">
        <w:rPr>
          <w:kern w:val="20"/>
        </w:rPr>
        <w:t>. New York, NY: Springer; 2017.</w:t>
      </w:r>
    </w:p>
    <w:p w14:paraId="4A63A50C" w14:textId="77777777" w:rsidR="00161328" w:rsidRPr="00D9542B" w:rsidRDefault="00161328" w:rsidP="00814320">
      <w:pPr>
        <w:rPr>
          <w:kern w:val="20"/>
        </w:rPr>
      </w:pPr>
    </w:p>
    <w:p w14:paraId="6BBF9D91" w14:textId="77777777" w:rsidR="00161328" w:rsidRPr="00D9542B" w:rsidRDefault="00C2077B" w:rsidP="00D9542B">
      <w:pPr>
        <w:pStyle w:val="Heading2"/>
        <w:rPr>
          <w:kern w:val="20"/>
        </w:rPr>
      </w:pPr>
      <w:r w:rsidRPr="00D9542B">
        <w:rPr>
          <w:kern w:val="20"/>
        </w:rPr>
        <w:t xml:space="preserve">D.  </w:t>
      </w:r>
      <w:r w:rsidR="00161328" w:rsidRPr="00D9542B">
        <w:rPr>
          <w:kern w:val="20"/>
        </w:rPr>
        <w:t>Carcinoma in an Adenomatous Polyp: Micros</w:t>
      </w:r>
      <w:r w:rsidR="005D7EBD" w:rsidRPr="00D9542B">
        <w:rPr>
          <w:kern w:val="20"/>
        </w:rPr>
        <w:t>copic Tumor Extension and High-R</w:t>
      </w:r>
      <w:r w:rsidR="00161328" w:rsidRPr="00D9542B">
        <w:rPr>
          <w:kern w:val="20"/>
        </w:rPr>
        <w:t xml:space="preserve">isk Features </w:t>
      </w:r>
    </w:p>
    <w:p w14:paraId="310CA635" w14:textId="77777777" w:rsidR="00161328" w:rsidRPr="00D9542B" w:rsidRDefault="00161328" w:rsidP="00D9542B">
      <w:pPr>
        <w:rPr>
          <w:kern w:val="20"/>
        </w:rPr>
      </w:pPr>
      <w:r w:rsidRPr="00D9542B">
        <w:rPr>
          <w:kern w:val="20"/>
        </w:rPr>
        <w:t xml:space="preserve">Colorectal adenomas containing invasive adenocarcinoma that extends through the muscularis mucosa into the submucosa have been defined as </w:t>
      </w:r>
      <w:r w:rsidRPr="00D9542B">
        <w:rPr>
          <w:i/>
          <w:kern w:val="20"/>
        </w:rPr>
        <w:t>malignant polyps.</w:t>
      </w:r>
      <w:r w:rsidR="00622455">
        <w:rPr>
          <w:kern w:val="20"/>
          <w:vertAlign w:val="superscript"/>
        </w:rPr>
        <w:t>1</w:t>
      </w:r>
      <w:r w:rsidR="006B1992">
        <w:rPr>
          <w:kern w:val="20"/>
        </w:rPr>
        <w:t xml:space="preserve"> </w:t>
      </w:r>
      <w:r w:rsidRPr="00D9542B">
        <w:rPr>
          <w:kern w:val="20"/>
        </w:rPr>
        <w:t>This term encompasses cases in which the entire polyp head is replaced by carcinoma and adenomas with focal malignancy, but the definition excludes aden</w:t>
      </w:r>
      <w:r w:rsidR="00C1250C">
        <w:rPr>
          <w:kern w:val="20"/>
        </w:rPr>
        <w:t xml:space="preserve">omas with high-grade dysplasia </w:t>
      </w:r>
      <w:r w:rsidRPr="00D9542B">
        <w:rPr>
          <w:kern w:val="20"/>
        </w:rPr>
        <w:t>or intramucosal carcinoma (invasive carcinoma limited to the lamina propria or invading no deeper than the muscularis mucosa), because these polyps possess negligible biological potential for metastasis.</w:t>
      </w:r>
    </w:p>
    <w:p w14:paraId="4D5113B3" w14:textId="77777777" w:rsidR="00161328" w:rsidRPr="00D9542B" w:rsidRDefault="00161328" w:rsidP="00D9542B">
      <w:pPr>
        <w:rPr>
          <w:kern w:val="20"/>
        </w:rPr>
      </w:pPr>
    </w:p>
    <w:p w14:paraId="3A6D88B4" w14:textId="77777777" w:rsidR="00161328" w:rsidRPr="00D9542B" w:rsidRDefault="00161328" w:rsidP="00D9542B">
      <w:pPr>
        <w:rPr>
          <w:kern w:val="20"/>
        </w:rPr>
      </w:pPr>
      <w:r w:rsidRPr="00D9542B">
        <w:rPr>
          <w:kern w:val="20"/>
        </w:rPr>
        <w:t>Malignant polyps removed by endoscopic polypectomy require evaluation of histologic factors related to the risk of adverse outcome (</w:t>
      </w:r>
      <w:proofErr w:type="spellStart"/>
      <w:r w:rsidRPr="00D9542B">
        <w:rPr>
          <w:kern w:val="20"/>
        </w:rPr>
        <w:t>ie</w:t>
      </w:r>
      <w:proofErr w:type="spellEnd"/>
      <w:r w:rsidRPr="00D9542B">
        <w:rPr>
          <w:kern w:val="20"/>
        </w:rPr>
        <w:t>, lymph node metastasis or local recurrence from residual malignancy) following polypectomy.</w:t>
      </w:r>
      <w:r w:rsidR="00361459">
        <w:rPr>
          <w:kern w:val="20"/>
          <w:vertAlign w:val="superscript"/>
        </w:rPr>
        <w:t>2-4</w:t>
      </w:r>
      <w:r w:rsidR="00FD64F8">
        <w:rPr>
          <w:kern w:val="20"/>
        </w:rPr>
        <w:t xml:space="preserve"> </w:t>
      </w:r>
      <w:r w:rsidRPr="00D9542B">
        <w:rPr>
          <w:kern w:val="20"/>
        </w:rPr>
        <w:t>Factors shown to have independent prognostic significance and are important in determining the need for further surgical treatment include:</w:t>
      </w:r>
    </w:p>
    <w:p w14:paraId="17223098" w14:textId="77777777" w:rsidR="00161328" w:rsidRPr="004B45D0" w:rsidRDefault="00161328" w:rsidP="00E8149E">
      <w:pPr>
        <w:pStyle w:val="MediumGrid1-Accent21"/>
        <w:numPr>
          <w:ilvl w:val="0"/>
          <w:numId w:val="5"/>
        </w:numPr>
        <w:spacing w:after="0" w:line="240" w:lineRule="auto"/>
        <w:rPr>
          <w:kern w:val="20"/>
        </w:rPr>
      </w:pPr>
      <w:r w:rsidRPr="004B45D0">
        <w:rPr>
          <w:kern w:val="20"/>
        </w:rPr>
        <w:t>Histologic grade</w:t>
      </w:r>
    </w:p>
    <w:p w14:paraId="15AEEA79" w14:textId="77777777" w:rsidR="00161328" w:rsidRPr="004B45D0" w:rsidRDefault="00161328" w:rsidP="00E8149E">
      <w:pPr>
        <w:pStyle w:val="MediumGrid1-Accent21"/>
        <w:numPr>
          <w:ilvl w:val="0"/>
          <w:numId w:val="5"/>
        </w:numPr>
        <w:spacing w:after="0" w:line="240" w:lineRule="auto"/>
        <w:rPr>
          <w:kern w:val="20"/>
        </w:rPr>
      </w:pPr>
      <w:r w:rsidRPr="004B45D0">
        <w:rPr>
          <w:kern w:val="20"/>
        </w:rPr>
        <w:t>Status of the resection margin</w:t>
      </w:r>
    </w:p>
    <w:p w14:paraId="7265E0B9" w14:textId="77777777" w:rsidR="00161328" w:rsidRPr="004B45D0" w:rsidRDefault="00161328" w:rsidP="00E8149E">
      <w:pPr>
        <w:pStyle w:val="MediumGrid1-Accent21"/>
        <w:numPr>
          <w:ilvl w:val="0"/>
          <w:numId w:val="5"/>
        </w:numPr>
        <w:spacing w:after="0" w:line="240" w:lineRule="auto"/>
        <w:rPr>
          <w:kern w:val="20"/>
        </w:rPr>
      </w:pPr>
      <w:r w:rsidRPr="004B45D0">
        <w:rPr>
          <w:kern w:val="20"/>
        </w:rPr>
        <w:t>Lymphatic/venous vessel involvement</w:t>
      </w:r>
    </w:p>
    <w:p w14:paraId="496AFEF6" w14:textId="77777777" w:rsidR="00161328" w:rsidRPr="00D9542B" w:rsidRDefault="00161328" w:rsidP="00E8149E">
      <w:pPr>
        <w:rPr>
          <w:kern w:val="20"/>
        </w:rPr>
      </w:pPr>
    </w:p>
    <w:p w14:paraId="28C3F09F" w14:textId="77777777" w:rsidR="00161328" w:rsidRPr="00D9542B" w:rsidRDefault="00161328" w:rsidP="00E8149E">
      <w:pPr>
        <w:rPr>
          <w:kern w:val="20"/>
        </w:rPr>
      </w:pPr>
      <w:r w:rsidRPr="00D9542B">
        <w:rPr>
          <w:kern w:val="20"/>
        </w:rPr>
        <w:t>An increased risk of adverse outcome has been shown to be associated with:</w:t>
      </w:r>
    </w:p>
    <w:p w14:paraId="7FF2C1A6" w14:textId="77777777" w:rsidR="00161328" w:rsidRPr="004B45D0" w:rsidRDefault="00161328" w:rsidP="00E8149E">
      <w:pPr>
        <w:pStyle w:val="MediumGrid1-Accent21"/>
        <w:numPr>
          <w:ilvl w:val="0"/>
          <w:numId w:val="6"/>
        </w:numPr>
        <w:spacing w:after="0" w:line="240" w:lineRule="auto"/>
        <w:rPr>
          <w:kern w:val="20"/>
        </w:rPr>
      </w:pPr>
      <w:r w:rsidRPr="004B45D0">
        <w:rPr>
          <w:kern w:val="20"/>
        </w:rPr>
        <w:t>High-grade carcinoma</w:t>
      </w:r>
    </w:p>
    <w:p w14:paraId="1EFBFEDC" w14:textId="77777777" w:rsidR="00161328" w:rsidRPr="004B45D0" w:rsidRDefault="00161328" w:rsidP="00E8149E">
      <w:pPr>
        <w:pStyle w:val="MediumGrid1-Accent21"/>
        <w:numPr>
          <w:ilvl w:val="0"/>
          <w:numId w:val="6"/>
        </w:numPr>
        <w:spacing w:after="0" w:line="240" w:lineRule="auto"/>
        <w:rPr>
          <w:kern w:val="20"/>
        </w:rPr>
      </w:pPr>
      <w:r w:rsidRPr="004B45D0">
        <w:rPr>
          <w:kern w:val="20"/>
        </w:rPr>
        <w:t>Tumor at or less than 1 mm from the resection margin</w:t>
      </w:r>
    </w:p>
    <w:p w14:paraId="446CF3A5" w14:textId="673F8AD6" w:rsidR="00161328" w:rsidRPr="004B45D0" w:rsidRDefault="00161328" w:rsidP="00E8149E">
      <w:pPr>
        <w:pStyle w:val="MediumGrid1-Accent21"/>
        <w:numPr>
          <w:ilvl w:val="0"/>
          <w:numId w:val="6"/>
        </w:numPr>
        <w:spacing w:after="0" w:line="240" w:lineRule="auto"/>
        <w:rPr>
          <w:kern w:val="20"/>
          <w:lang w:val="fr-FR"/>
        </w:rPr>
      </w:pPr>
      <w:proofErr w:type="spellStart"/>
      <w:r w:rsidRPr="004B45D0">
        <w:rPr>
          <w:kern w:val="20"/>
          <w:lang w:val="fr-FR"/>
        </w:rPr>
        <w:t>Lymphatic</w:t>
      </w:r>
      <w:proofErr w:type="spellEnd"/>
      <w:r w:rsidRPr="004B45D0">
        <w:rPr>
          <w:kern w:val="20"/>
          <w:lang w:val="fr-FR"/>
        </w:rPr>
        <w:t>/</w:t>
      </w:r>
      <w:proofErr w:type="spellStart"/>
      <w:r w:rsidRPr="004B45D0">
        <w:rPr>
          <w:kern w:val="20"/>
          <w:lang w:val="fr-FR"/>
        </w:rPr>
        <w:t>venous</w:t>
      </w:r>
      <w:proofErr w:type="spellEnd"/>
      <w:r w:rsidRPr="004B45D0">
        <w:rPr>
          <w:kern w:val="20"/>
          <w:lang w:val="fr-FR"/>
        </w:rPr>
        <w:t xml:space="preserve"> </w:t>
      </w:r>
      <w:proofErr w:type="spellStart"/>
      <w:r w:rsidRPr="004B45D0">
        <w:rPr>
          <w:kern w:val="20"/>
          <w:lang w:val="fr-FR"/>
        </w:rPr>
        <w:t>involvement</w:t>
      </w:r>
      <w:proofErr w:type="spellEnd"/>
    </w:p>
    <w:p w14:paraId="22CBE3D9" w14:textId="77777777" w:rsidR="00814320" w:rsidRDefault="00814320" w:rsidP="00D9542B">
      <w:pPr>
        <w:rPr>
          <w:kern w:val="20"/>
          <w:lang w:val="fr-FR"/>
        </w:rPr>
      </w:pPr>
    </w:p>
    <w:p w14:paraId="02F0CCAF" w14:textId="180CFCEC" w:rsidR="00814320" w:rsidRDefault="00814320" w:rsidP="00D9542B">
      <w:pPr>
        <w:pStyle w:val="Heading2"/>
        <w:rPr>
          <w:b w:val="0"/>
          <w:kern w:val="20"/>
        </w:rPr>
      </w:pPr>
      <w:r w:rsidRPr="004F49B1">
        <w:rPr>
          <w:b w:val="0"/>
          <w:kern w:val="20"/>
        </w:rPr>
        <w:lastRenderedPageBreak/>
        <w:t>Reporting of additional histologic factors that have been advocated for assessing risk include</w:t>
      </w:r>
      <w:r w:rsidR="00651495" w:rsidRPr="004F49B1">
        <w:rPr>
          <w:b w:val="0"/>
          <w:kern w:val="20"/>
        </w:rPr>
        <w:t xml:space="preserve"> tumor budding (note F</w:t>
      </w:r>
      <w:r w:rsidR="00D004A9" w:rsidRPr="004F49B1">
        <w:rPr>
          <w:b w:val="0"/>
          <w:kern w:val="20"/>
        </w:rPr>
        <w:t>),</w:t>
      </w:r>
      <w:r w:rsidRPr="004F49B1">
        <w:rPr>
          <w:b w:val="0"/>
          <w:kern w:val="20"/>
        </w:rPr>
        <w:t xml:space="preserve"> depth </w:t>
      </w:r>
      <w:r w:rsidR="00D004A9" w:rsidRPr="004F49B1">
        <w:rPr>
          <w:b w:val="0"/>
          <w:kern w:val="20"/>
        </w:rPr>
        <w:t xml:space="preserve">or area </w:t>
      </w:r>
      <w:r w:rsidRPr="004F49B1">
        <w:rPr>
          <w:b w:val="0"/>
          <w:kern w:val="20"/>
        </w:rPr>
        <w:t xml:space="preserve">of submucosal invasion. Submucosal involvement </w:t>
      </w:r>
      <w:r w:rsidR="00D004A9" w:rsidRPr="004F49B1">
        <w:rPr>
          <w:b w:val="0"/>
          <w:kern w:val="20"/>
        </w:rPr>
        <w:t xml:space="preserve">has been divided into </w:t>
      </w:r>
      <w:r w:rsidRPr="004F49B1">
        <w:rPr>
          <w:b w:val="0"/>
          <w:kern w:val="20"/>
        </w:rPr>
        <w:t xml:space="preserve">superficial, mid and deep levels </w:t>
      </w:r>
      <w:r w:rsidR="00DD01BD" w:rsidRPr="004F49B1">
        <w:rPr>
          <w:b w:val="0"/>
          <w:kern w:val="20"/>
        </w:rPr>
        <w:t xml:space="preserve">for sessile polyps </w:t>
      </w:r>
      <w:r w:rsidRPr="004F49B1">
        <w:rPr>
          <w:b w:val="0"/>
          <w:kern w:val="20"/>
        </w:rPr>
        <w:t>(Kikuchi levels</w:t>
      </w:r>
      <w:r w:rsidR="006F7EFC" w:rsidRPr="004F49B1">
        <w:rPr>
          <w:b w:val="0"/>
          <w:kern w:val="20"/>
        </w:rPr>
        <w:t xml:space="preserve"> sm1, sm2 and sm3</w:t>
      </w:r>
      <w:r w:rsidRPr="004F49B1">
        <w:rPr>
          <w:b w:val="0"/>
          <w:kern w:val="20"/>
        </w:rPr>
        <w:t>)</w:t>
      </w:r>
      <w:r w:rsidR="00E558F8" w:rsidRPr="004F49B1">
        <w:rPr>
          <w:b w:val="0"/>
          <w:kern w:val="20"/>
        </w:rPr>
        <w:t>,</w:t>
      </w:r>
      <w:r w:rsidR="00361459">
        <w:rPr>
          <w:b w:val="0"/>
          <w:kern w:val="20"/>
          <w:vertAlign w:val="superscript"/>
        </w:rPr>
        <w:t>5</w:t>
      </w:r>
      <w:r w:rsidR="00E558F8" w:rsidRPr="004F49B1">
        <w:rPr>
          <w:b w:val="0"/>
          <w:kern w:val="20"/>
        </w:rPr>
        <w:t xml:space="preserve"> </w:t>
      </w:r>
      <w:r w:rsidR="00DD01BD" w:rsidRPr="004F49B1">
        <w:rPr>
          <w:b w:val="0"/>
          <w:kern w:val="20"/>
        </w:rPr>
        <w:t xml:space="preserve">and </w:t>
      </w:r>
      <w:r w:rsidR="00E4722D" w:rsidRPr="004F49B1">
        <w:rPr>
          <w:b w:val="0"/>
          <w:kern w:val="20"/>
        </w:rPr>
        <w:t>into four</w:t>
      </w:r>
      <w:r w:rsidR="00E558F8" w:rsidRPr="004F49B1">
        <w:rPr>
          <w:b w:val="0"/>
          <w:kern w:val="20"/>
        </w:rPr>
        <w:t xml:space="preserve"> levels (</w:t>
      </w:r>
      <w:r w:rsidR="00DD01BD" w:rsidRPr="004F49B1">
        <w:rPr>
          <w:b w:val="0"/>
          <w:kern w:val="20"/>
        </w:rPr>
        <w:t>head,</w:t>
      </w:r>
      <w:r w:rsidR="00E558F8" w:rsidRPr="004F49B1">
        <w:rPr>
          <w:b w:val="0"/>
          <w:kern w:val="20"/>
        </w:rPr>
        <w:t xml:space="preserve"> neck, stalk and beyond stalk)</w:t>
      </w:r>
      <w:r w:rsidR="00DD01BD" w:rsidRPr="004F49B1">
        <w:rPr>
          <w:b w:val="0"/>
          <w:kern w:val="20"/>
        </w:rPr>
        <w:t xml:space="preserve"> in pedunculated polyps (</w:t>
      </w:r>
      <w:proofErr w:type="spellStart"/>
      <w:r w:rsidR="00DD01BD" w:rsidRPr="004F49B1">
        <w:rPr>
          <w:b w:val="0"/>
          <w:kern w:val="20"/>
        </w:rPr>
        <w:t>Haggitt</w:t>
      </w:r>
      <w:proofErr w:type="spellEnd"/>
      <w:r w:rsidR="00DD01BD" w:rsidRPr="004F49B1">
        <w:rPr>
          <w:b w:val="0"/>
          <w:kern w:val="20"/>
        </w:rPr>
        <w:t xml:space="preserve"> levels)</w:t>
      </w:r>
      <w:r w:rsidR="002C4647" w:rsidRPr="004F49B1">
        <w:rPr>
          <w:b w:val="0"/>
          <w:kern w:val="20"/>
        </w:rPr>
        <w:t>.</w:t>
      </w:r>
      <w:r w:rsidR="00361459">
        <w:rPr>
          <w:b w:val="0"/>
          <w:kern w:val="20"/>
          <w:vertAlign w:val="superscript"/>
        </w:rPr>
        <w:t>6</w:t>
      </w:r>
      <w:r w:rsidRPr="004F49B1">
        <w:rPr>
          <w:b w:val="0"/>
          <w:kern w:val="20"/>
        </w:rPr>
        <w:t xml:space="preserve"> </w:t>
      </w:r>
      <w:r w:rsidR="00D004A9" w:rsidRPr="004F49B1">
        <w:rPr>
          <w:b w:val="0"/>
          <w:kern w:val="20"/>
        </w:rPr>
        <w:t>Based on measurement, submucosal invasion more than 1mm has been recognized as an adverse prognostic factor.</w:t>
      </w:r>
      <w:r w:rsidR="00361459">
        <w:rPr>
          <w:b w:val="0"/>
          <w:kern w:val="20"/>
          <w:vertAlign w:val="superscript"/>
        </w:rPr>
        <w:t>4</w:t>
      </w:r>
      <w:r w:rsidR="00D004A9" w:rsidRPr="004F49B1">
        <w:rPr>
          <w:b w:val="0"/>
          <w:kern w:val="20"/>
        </w:rPr>
        <w:t xml:space="preserve"> </w:t>
      </w:r>
      <w:r w:rsidRPr="004F49B1">
        <w:rPr>
          <w:b w:val="0"/>
          <w:kern w:val="20"/>
        </w:rPr>
        <w:t xml:space="preserve">However, it can be difficult to </w:t>
      </w:r>
      <w:r w:rsidR="00DD01BD" w:rsidRPr="004F49B1">
        <w:rPr>
          <w:b w:val="0"/>
          <w:kern w:val="20"/>
        </w:rPr>
        <w:t xml:space="preserve">accurately </w:t>
      </w:r>
      <w:r w:rsidRPr="004F49B1">
        <w:rPr>
          <w:b w:val="0"/>
          <w:kern w:val="20"/>
        </w:rPr>
        <w:t>assess the depth</w:t>
      </w:r>
      <w:r w:rsidR="00DD01BD" w:rsidRPr="004F49B1">
        <w:rPr>
          <w:b w:val="0"/>
          <w:kern w:val="20"/>
        </w:rPr>
        <w:t xml:space="preserve"> or extent</w:t>
      </w:r>
      <w:r w:rsidRPr="004F49B1">
        <w:rPr>
          <w:b w:val="0"/>
          <w:kern w:val="20"/>
        </w:rPr>
        <w:t xml:space="preserve"> of submucosal involvement </w:t>
      </w:r>
      <w:r w:rsidR="00E558F8" w:rsidRPr="004F49B1">
        <w:rPr>
          <w:b w:val="0"/>
          <w:kern w:val="20"/>
        </w:rPr>
        <w:t xml:space="preserve">due to </w:t>
      </w:r>
      <w:r w:rsidR="00D333E2" w:rsidRPr="004F49B1">
        <w:rPr>
          <w:b w:val="0"/>
          <w:kern w:val="20"/>
        </w:rPr>
        <w:t>im</w:t>
      </w:r>
      <w:r w:rsidR="00E558F8" w:rsidRPr="004F49B1">
        <w:rPr>
          <w:b w:val="0"/>
          <w:kern w:val="20"/>
        </w:rPr>
        <w:t>proper orientation</w:t>
      </w:r>
      <w:r w:rsidR="00D333E2" w:rsidRPr="004F49B1">
        <w:rPr>
          <w:b w:val="0"/>
          <w:kern w:val="20"/>
        </w:rPr>
        <w:t xml:space="preserve"> and absence of muscularis propria in these specimens</w:t>
      </w:r>
      <w:r w:rsidR="00E558F8" w:rsidRPr="004F49B1">
        <w:rPr>
          <w:b w:val="0"/>
          <w:kern w:val="20"/>
        </w:rPr>
        <w:t xml:space="preserve">. </w:t>
      </w:r>
    </w:p>
    <w:p w14:paraId="6AE908AC" w14:textId="77777777" w:rsidR="00361459" w:rsidRDefault="00361459" w:rsidP="00361459"/>
    <w:p w14:paraId="08FEAA0C" w14:textId="77777777" w:rsidR="00CA5F54" w:rsidRDefault="00CA5F54" w:rsidP="00361459">
      <w:r>
        <w:rPr>
          <w:rFonts w:cs="Arial"/>
        </w:rPr>
        <w:t>References</w:t>
      </w:r>
    </w:p>
    <w:p w14:paraId="2CCE46A2" w14:textId="77777777" w:rsidR="00361459" w:rsidRDefault="00361459" w:rsidP="00361459">
      <w:pPr>
        <w:numPr>
          <w:ilvl w:val="0"/>
          <w:numId w:val="36"/>
        </w:numPr>
      </w:pPr>
      <w:r w:rsidRPr="00361459">
        <w:t xml:space="preserve">Chandler I, </w:t>
      </w:r>
      <w:proofErr w:type="spellStart"/>
      <w:r w:rsidRPr="00361459">
        <w:t>Houlston</w:t>
      </w:r>
      <w:proofErr w:type="spellEnd"/>
      <w:r w:rsidRPr="00361459">
        <w:t xml:space="preserve"> RS. Interobserver agreement in grading of colorectal cancers-findings from a nationwide web-based survey of histopathologists. </w:t>
      </w:r>
      <w:r w:rsidRPr="006418D2">
        <w:rPr>
          <w:i/>
        </w:rPr>
        <w:t>Histopathology.</w:t>
      </w:r>
      <w:r w:rsidRPr="00361459">
        <w:t xml:space="preserve"> 2008;52(4):494-499.</w:t>
      </w:r>
    </w:p>
    <w:p w14:paraId="00787824" w14:textId="77777777" w:rsidR="00361459" w:rsidRDefault="00361459" w:rsidP="00361459">
      <w:pPr>
        <w:numPr>
          <w:ilvl w:val="0"/>
          <w:numId w:val="36"/>
        </w:numPr>
      </w:pPr>
      <w:r>
        <w:t xml:space="preserve">Cooper HS. Pathology of endoscopically removed malignant colorectal polyp. </w:t>
      </w:r>
      <w:proofErr w:type="spellStart"/>
      <w:r w:rsidRPr="006418D2">
        <w:rPr>
          <w:i/>
        </w:rPr>
        <w:t>Curr</w:t>
      </w:r>
      <w:proofErr w:type="spellEnd"/>
      <w:r w:rsidRPr="006418D2">
        <w:rPr>
          <w:i/>
        </w:rPr>
        <w:t xml:space="preserve"> Diagn </w:t>
      </w:r>
      <w:proofErr w:type="spellStart"/>
      <w:r w:rsidRPr="006418D2">
        <w:rPr>
          <w:i/>
        </w:rPr>
        <w:t>Pathol</w:t>
      </w:r>
      <w:proofErr w:type="spellEnd"/>
      <w:r>
        <w:t>. 2007;13(6):423-437.</w:t>
      </w:r>
    </w:p>
    <w:p w14:paraId="28A5B4E7" w14:textId="77777777" w:rsidR="00361459" w:rsidRDefault="00361459" w:rsidP="00361459">
      <w:pPr>
        <w:numPr>
          <w:ilvl w:val="0"/>
          <w:numId w:val="36"/>
        </w:numPr>
      </w:pPr>
      <w:r>
        <w:t xml:space="preserve">Ueno H, Mochizuki H, Hashiguchi Y, et al. Risk factors for an adverse outcome in early invasive colorectal carcinoma. </w:t>
      </w:r>
      <w:r w:rsidRPr="006418D2">
        <w:rPr>
          <w:i/>
        </w:rPr>
        <w:t>Gastroenterology</w:t>
      </w:r>
      <w:r>
        <w:t>. 2004;127(2):385-394.</w:t>
      </w:r>
    </w:p>
    <w:p w14:paraId="7819C1C1" w14:textId="77777777" w:rsidR="00361459" w:rsidRPr="00980EB3" w:rsidRDefault="00361459" w:rsidP="00980EB3">
      <w:pPr>
        <w:numPr>
          <w:ilvl w:val="0"/>
          <w:numId w:val="36"/>
        </w:numPr>
      </w:pPr>
      <w:r>
        <w:t xml:space="preserve">Bosch SL, </w:t>
      </w:r>
      <w:proofErr w:type="spellStart"/>
      <w:r>
        <w:t>Teerenstra</w:t>
      </w:r>
      <w:proofErr w:type="spellEnd"/>
      <w:r>
        <w:t xml:space="preserve"> S, de Wilt JH, Cunningham C, </w:t>
      </w:r>
      <w:proofErr w:type="spellStart"/>
      <w:r>
        <w:t>Nagtegaal</w:t>
      </w:r>
      <w:proofErr w:type="spellEnd"/>
      <w:r>
        <w:t xml:space="preserve"> ID. Predicting lymph node metastasis in pT1 colorectal cancer: a systematic review of risk factors providing rationale for therapy decisions. </w:t>
      </w:r>
      <w:r w:rsidRPr="006418D2">
        <w:rPr>
          <w:i/>
        </w:rPr>
        <w:t>Endoscopy</w:t>
      </w:r>
      <w:r>
        <w:t>. 2013;45(10):827-834.</w:t>
      </w:r>
    </w:p>
    <w:p w14:paraId="0F2B0B87" w14:textId="77777777" w:rsidR="00C625D3" w:rsidRDefault="00C625D3" w:rsidP="00D9542B">
      <w:pPr>
        <w:pStyle w:val="Heading2"/>
      </w:pPr>
    </w:p>
    <w:p w14:paraId="01660666" w14:textId="77777777" w:rsidR="00161328" w:rsidRPr="00D9542B" w:rsidRDefault="00C2077B" w:rsidP="00D9542B">
      <w:pPr>
        <w:pStyle w:val="Heading2"/>
        <w:rPr>
          <w:kern w:val="20"/>
          <w:lang w:val="fr-FR"/>
        </w:rPr>
      </w:pPr>
      <w:r w:rsidRPr="00C625D3">
        <w:rPr>
          <w:kern w:val="20"/>
          <w:lang w:val="fr-FR"/>
        </w:rPr>
        <w:t xml:space="preserve">E.  </w:t>
      </w:r>
      <w:proofErr w:type="spellStart"/>
      <w:r w:rsidR="00161328" w:rsidRPr="00C625D3">
        <w:rPr>
          <w:kern w:val="20"/>
          <w:lang w:val="fr-FR"/>
        </w:rPr>
        <w:t>Lymph</w:t>
      </w:r>
      <w:r w:rsidR="008058CF">
        <w:rPr>
          <w:kern w:val="20"/>
          <w:lang w:val="fr-FR"/>
        </w:rPr>
        <w:t>ov</w:t>
      </w:r>
      <w:r w:rsidR="00161328" w:rsidRPr="00C625D3">
        <w:rPr>
          <w:kern w:val="20"/>
          <w:lang w:val="fr-FR"/>
        </w:rPr>
        <w:t>ascular</w:t>
      </w:r>
      <w:proofErr w:type="spellEnd"/>
      <w:r w:rsidR="00161328" w:rsidRPr="00C625D3">
        <w:rPr>
          <w:kern w:val="20"/>
          <w:lang w:val="fr-FR"/>
        </w:rPr>
        <w:t xml:space="preserve"> and</w:t>
      </w:r>
      <w:r w:rsidR="00161328" w:rsidRPr="00D9542B">
        <w:rPr>
          <w:kern w:val="20"/>
          <w:lang w:val="fr-FR"/>
        </w:rPr>
        <w:t xml:space="preserve"> </w:t>
      </w:r>
      <w:proofErr w:type="spellStart"/>
      <w:r w:rsidR="00161328" w:rsidRPr="00D9542B">
        <w:rPr>
          <w:kern w:val="20"/>
          <w:lang w:val="fr-FR"/>
        </w:rPr>
        <w:t>Perineural</w:t>
      </w:r>
      <w:proofErr w:type="spellEnd"/>
      <w:r w:rsidR="00161328" w:rsidRPr="00D9542B">
        <w:rPr>
          <w:kern w:val="20"/>
          <w:lang w:val="fr-FR"/>
        </w:rPr>
        <w:t xml:space="preserve"> Invasion</w:t>
      </w:r>
    </w:p>
    <w:p w14:paraId="42102E0D" w14:textId="77777777" w:rsidR="00DF4281" w:rsidRPr="00D9542B" w:rsidRDefault="00DF4281" w:rsidP="00D9542B">
      <w:pPr>
        <w:rPr>
          <w:kern w:val="20"/>
        </w:rPr>
      </w:pPr>
      <w:r w:rsidRPr="00D9542B">
        <w:rPr>
          <w:kern w:val="20"/>
        </w:rPr>
        <w:t>It is recommended that small vessel vascular invasion should be reported separately from venous (large vessel) invasion. Small vessel invasion indicates tumor involvement of thin-walled structures lined by endothelium, without an identifiable smooth muscle layer or elastic lamina. Small vessels include lymphatics, capillaries</w:t>
      </w:r>
      <w:r w:rsidR="005D7EBD" w:rsidRPr="00D9542B">
        <w:rPr>
          <w:kern w:val="20"/>
        </w:rPr>
        <w:t>,</w:t>
      </w:r>
      <w:r w:rsidRPr="00D9542B">
        <w:rPr>
          <w:kern w:val="20"/>
        </w:rPr>
        <w:t xml:space="preserve"> and postcapillary venules. Small vessel invasion</w:t>
      </w:r>
      <w:r w:rsidRPr="00D9542B">
        <w:rPr>
          <w:kern w:val="20"/>
          <w:vertAlign w:val="superscript"/>
        </w:rPr>
        <w:t xml:space="preserve"> </w:t>
      </w:r>
      <w:r w:rsidRPr="00D9542B">
        <w:rPr>
          <w:kern w:val="20"/>
        </w:rPr>
        <w:t>is associated with lymph node metastasis and has been shown to be independent indicator of adverse outcome in several studies.</w:t>
      </w:r>
      <w:r w:rsidR="00361459">
        <w:rPr>
          <w:kern w:val="20"/>
          <w:vertAlign w:val="superscript"/>
        </w:rPr>
        <w:t>1, 2</w:t>
      </w:r>
      <w:r w:rsidRPr="00D9542B">
        <w:rPr>
          <w:kern w:val="20"/>
        </w:rPr>
        <w:t xml:space="preserve"> The higher prognostic significance of extramural small vessel invasion has been suggested,</w:t>
      </w:r>
      <w:r w:rsidR="00F25746">
        <w:rPr>
          <w:kern w:val="20"/>
          <w:vertAlign w:val="superscript"/>
        </w:rPr>
        <w:t>3</w:t>
      </w:r>
      <w:r w:rsidRPr="00D9542B">
        <w:rPr>
          <w:kern w:val="20"/>
        </w:rPr>
        <w:t xml:space="preserve"> but the importance of anatomic location in small vessel invasion (extramural or intramural) is not well defined.  </w:t>
      </w:r>
    </w:p>
    <w:p w14:paraId="01C38F01" w14:textId="77777777" w:rsidR="00DF4281" w:rsidRPr="00D9542B" w:rsidRDefault="00DF4281" w:rsidP="00D9542B">
      <w:pPr>
        <w:rPr>
          <w:kern w:val="20"/>
        </w:rPr>
      </w:pPr>
    </w:p>
    <w:p w14:paraId="4651D5FB" w14:textId="77777777" w:rsidR="00DF4281" w:rsidRPr="00D9542B" w:rsidRDefault="00DF4281" w:rsidP="00D9542B">
      <w:pPr>
        <w:rPr>
          <w:kern w:val="20"/>
        </w:rPr>
      </w:pPr>
      <w:r w:rsidRPr="00D9542B">
        <w:rPr>
          <w:kern w:val="20"/>
        </w:rPr>
        <w:t xml:space="preserve">Tumor involving endothelium-lined spaces with an identifiable smooth muscle layer or elastic lamina is considered venous (large vessel) invasion. Circumscribed tumor nodules surrounded by an elastic lamina on </w:t>
      </w:r>
      <w:r w:rsidR="005D7EBD" w:rsidRPr="00D9542B">
        <w:rPr>
          <w:kern w:val="20"/>
        </w:rPr>
        <w:t>hematoxylin-eosin (</w:t>
      </w:r>
      <w:r w:rsidRPr="00D9542B">
        <w:rPr>
          <w:kern w:val="20"/>
        </w:rPr>
        <w:t>H&amp;E</w:t>
      </w:r>
      <w:r w:rsidR="005D7EBD" w:rsidRPr="00D9542B">
        <w:rPr>
          <w:kern w:val="20"/>
        </w:rPr>
        <w:t>)</w:t>
      </w:r>
      <w:r w:rsidRPr="00D9542B">
        <w:rPr>
          <w:kern w:val="20"/>
        </w:rPr>
        <w:t xml:space="preserve"> or elastic stain are also considered venous invasion. Venous invasion can be extramural (beyond muscularis propria) or intramural (submucosa or muscularis propria). Extramural venous invasion has been demonstrated by multivariate analysis to be an independent adverse prognostic factor in multiple studies and is a risk factor for liver metastasis.</w:t>
      </w:r>
      <w:r w:rsidR="00F25746">
        <w:rPr>
          <w:kern w:val="20"/>
          <w:vertAlign w:val="superscript"/>
        </w:rPr>
        <w:t>3</w:t>
      </w:r>
      <w:r w:rsidRPr="00D9542B">
        <w:rPr>
          <w:kern w:val="20"/>
        </w:rPr>
        <w:t xml:space="preserve"> The significance of intramural venous invasion is less clear. </w:t>
      </w:r>
    </w:p>
    <w:p w14:paraId="4C8AD600" w14:textId="77777777" w:rsidR="00DF4281" w:rsidRDefault="00DF4281" w:rsidP="00D9542B">
      <w:pPr>
        <w:rPr>
          <w:kern w:val="20"/>
        </w:rPr>
      </w:pPr>
      <w:r w:rsidRPr="00D9542B">
        <w:rPr>
          <w:kern w:val="20"/>
        </w:rPr>
        <w:t>Perineural invasion has been shown to be independent indicator of poor prognosis.</w:t>
      </w:r>
      <w:r w:rsidR="008B60CD" w:rsidRPr="008B60CD">
        <w:rPr>
          <w:kern w:val="20"/>
          <w:vertAlign w:val="superscript"/>
        </w:rPr>
        <w:t>4-6</w:t>
      </w:r>
      <w:r w:rsidRPr="00D9542B">
        <w:rPr>
          <w:kern w:val="20"/>
        </w:rPr>
        <w:t xml:space="preserve"> While some series did not find perineural invasion to be a significant predic</w:t>
      </w:r>
      <w:r w:rsidR="00D9542B" w:rsidRPr="00D9542B">
        <w:rPr>
          <w:kern w:val="20"/>
        </w:rPr>
        <w:t>tive factor in stage II disease</w:t>
      </w:r>
      <w:r w:rsidRPr="00D9542B">
        <w:rPr>
          <w:kern w:val="20"/>
        </w:rPr>
        <w:t>,</w:t>
      </w:r>
      <w:r w:rsidR="008B60CD" w:rsidRPr="008B60CD">
        <w:rPr>
          <w:kern w:val="20"/>
          <w:vertAlign w:val="superscript"/>
        </w:rPr>
        <w:t>7</w:t>
      </w:r>
      <w:r w:rsidR="00F25746">
        <w:rPr>
          <w:kern w:val="20"/>
          <w:vertAlign w:val="superscript"/>
        </w:rPr>
        <w:t>,</w:t>
      </w:r>
      <w:r w:rsidR="008B60CD">
        <w:rPr>
          <w:kern w:val="20"/>
          <w:vertAlign w:val="superscript"/>
        </w:rPr>
        <w:t>8</w:t>
      </w:r>
      <w:r w:rsidRPr="00D9542B">
        <w:rPr>
          <w:kern w:val="20"/>
        </w:rPr>
        <w:t xml:space="preserve"> many studies have confirmed its adverse effect </w:t>
      </w:r>
      <w:r w:rsidR="00B01938">
        <w:rPr>
          <w:kern w:val="20"/>
        </w:rPr>
        <w:t>on survival in stage II disease</w:t>
      </w:r>
      <w:r w:rsidRPr="00D9542B">
        <w:rPr>
          <w:kern w:val="20"/>
        </w:rPr>
        <w:t>.</w:t>
      </w:r>
      <w:r w:rsidR="00F25746">
        <w:rPr>
          <w:kern w:val="20"/>
          <w:vertAlign w:val="superscript"/>
        </w:rPr>
        <w:t xml:space="preserve">2, </w:t>
      </w:r>
      <w:r w:rsidR="008B60CD">
        <w:rPr>
          <w:kern w:val="20"/>
          <w:vertAlign w:val="superscript"/>
        </w:rPr>
        <w:t>9</w:t>
      </w:r>
      <w:r w:rsidRPr="00D9542B">
        <w:rPr>
          <w:kern w:val="20"/>
        </w:rPr>
        <w:t xml:space="preserve"> Extramural perineural invasion may have a greater adverse prognostic effect,</w:t>
      </w:r>
      <w:r w:rsidR="008B60CD" w:rsidRPr="008B60CD">
        <w:rPr>
          <w:kern w:val="20"/>
          <w:vertAlign w:val="superscript"/>
        </w:rPr>
        <w:t>5</w:t>
      </w:r>
      <w:r w:rsidRPr="00D9542B">
        <w:rPr>
          <w:kern w:val="20"/>
        </w:rPr>
        <w:t xml:space="preserve"> but the distinction between intra</w:t>
      </w:r>
      <w:r w:rsidR="005D7EBD" w:rsidRPr="00D9542B">
        <w:rPr>
          <w:kern w:val="20"/>
        </w:rPr>
        <w:t>mural</w:t>
      </w:r>
      <w:r w:rsidRPr="00D9542B">
        <w:rPr>
          <w:kern w:val="20"/>
        </w:rPr>
        <w:t xml:space="preserve"> and extramural perineural invasion has not been well studied.</w:t>
      </w:r>
    </w:p>
    <w:p w14:paraId="0540AA5A" w14:textId="77777777" w:rsidR="00F25746" w:rsidRDefault="00F25746" w:rsidP="00D9542B">
      <w:pPr>
        <w:rPr>
          <w:kern w:val="20"/>
        </w:rPr>
      </w:pPr>
    </w:p>
    <w:p w14:paraId="1CD3E4D6" w14:textId="77777777" w:rsidR="00CA5F54" w:rsidRDefault="00CA5F54" w:rsidP="00D9542B">
      <w:pPr>
        <w:rPr>
          <w:kern w:val="20"/>
        </w:rPr>
      </w:pPr>
      <w:r>
        <w:rPr>
          <w:rFonts w:cs="Arial"/>
        </w:rPr>
        <w:t>References</w:t>
      </w:r>
    </w:p>
    <w:p w14:paraId="07FEAAAE" w14:textId="77777777" w:rsidR="00F25746" w:rsidRPr="00F25746" w:rsidRDefault="00F25746" w:rsidP="00F25746">
      <w:pPr>
        <w:numPr>
          <w:ilvl w:val="0"/>
          <w:numId w:val="37"/>
        </w:numPr>
        <w:rPr>
          <w:kern w:val="20"/>
        </w:rPr>
      </w:pPr>
      <w:r w:rsidRPr="00F25746">
        <w:rPr>
          <w:kern w:val="20"/>
        </w:rPr>
        <w:t xml:space="preserve">Lim SB, Yu CS, Jang SJ, Kim TW, Kim JH, Kim JC. Prognostic significance of </w:t>
      </w:r>
      <w:proofErr w:type="spellStart"/>
      <w:r w:rsidRPr="00F25746">
        <w:rPr>
          <w:kern w:val="20"/>
        </w:rPr>
        <w:t>lymphovascular</w:t>
      </w:r>
      <w:proofErr w:type="spellEnd"/>
      <w:r w:rsidRPr="00F25746">
        <w:rPr>
          <w:kern w:val="20"/>
        </w:rPr>
        <w:t xml:space="preserve"> invasion in sporadic colorectal cancer. </w:t>
      </w:r>
      <w:r w:rsidRPr="00397F4E">
        <w:rPr>
          <w:i/>
          <w:kern w:val="20"/>
        </w:rPr>
        <w:t>Dis Colon Rectum</w:t>
      </w:r>
      <w:r w:rsidRPr="00F25746">
        <w:rPr>
          <w:kern w:val="20"/>
        </w:rPr>
        <w:t xml:space="preserve">. 2010;53(4):377-384. </w:t>
      </w:r>
    </w:p>
    <w:p w14:paraId="4FE68CE2" w14:textId="77777777" w:rsidR="00F25746" w:rsidRDefault="00F25746" w:rsidP="00F25746">
      <w:pPr>
        <w:numPr>
          <w:ilvl w:val="0"/>
          <w:numId w:val="37"/>
        </w:numPr>
        <w:rPr>
          <w:kern w:val="20"/>
        </w:rPr>
      </w:pPr>
      <w:r w:rsidRPr="00F25746">
        <w:rPr>
          <w:kern w:val="20"/>
        </w:rPr>
        <w:t>Santos C, López-</w:t>
      </w:r>
      <w:proofErr w:type="spellStart"/>
      <w:r w:rsidRPr="00F25746">
        <w:rPr>
          <w:kern w:val="20"/>
        </w:rPr>
        <w:t>Doriga</w:t>
      </w:r>
      <w:proofErr w:type="spellEnd"/>
      <w:r w:rsidRPr="00F25746">
        <w:rPr>
          <w:kern w:val="20"/>
        </w:rPr>
        <w:t xml:space="preserve"> A, Navarro M, et al. Clinicopathological risk factors of Stage II colon cancer: results of a prospective study. </w:t>
      </w:r>
      <w:r w:rsidRPr="00397F4E">
        <w:rPr>
          <w:i/>
          <w:kern w:val="20"/>
        </w:rPr>
        <w:t>Colorectal Dis</w:t>
      </w:r>
      <w:r w:rsidRPr="00F25746">
        <w:rPr>
          <w:kern w:val="20"/>
        </w:rPr>
        <w:t>. 2013;15(4):414-422.</w:t>
      </w:r>
    </w:p>
    <w:p w14:paraId="5AB7925E" w14:textId="77777777" w:rsidR="00F25746" w:rsidRDefault="00F25746" w:rsidP="00F25746">
      <w:pPr>
        <w:numPr>
          <w:ilvl w:val="0"/>
          <w:numId w:val="37"/>
        </w:numPr>
        <w:rPr>
          <w:kern w:val="20"/>
        </w:rPr>
      </w:pPr>
      <w:proofErr w:type="spellStart"/>
      <w:r w:rsidRPr="00F25746">
        <w:rPr>
          <w:kern w:val="20"/>
        </w:rPr>
        <w:t>Betge</w:t>
      </w:r>
      <w:proofErr w:type="spellEnd"/>
      <w:r w:rsidRPr="00F25746">
        <w:rPr>
          <w:kern w:val="20"/>
        </w:rPr>
        <w:t xml:space="preserve"> J, </w:t>
      </w:r>
      <w:proofErr w:type="spellStart"/>
      <w:r w:rsidRPr="00F25746">
        <w:rPr>
          <w:kern w:val="20"/>
        </w:rPr>
        <w:t>Pollheimer</w:t>
      </w:r>
      <w:proofErr w:type="spellEnd"/>
      <w:r w:rsidRPr="00F25746">
        <w:rPr>
          <w:kern w:val="20"/>
        </w:rPr>
        <w:t xml:space="preserve"> MJ, </w:t>
      </w:r>
      <w:proofErr w:type="spellStart"/>
      <w:r w:rsidRPr="00F25746">
        <w:rPr>
          <w:kern w:val="20"/>
        </w:rPr>
        <w:t>Lindtner</w:t>
      </w:r>
      <w:proofErr w:type="spellEnd"/>
      <w:r w:rsidRPr="00F25746">
        <w:rPr>
          <w:kern w:val="20"/>
        </w:rPr>
        <w:t xml:space="preserve"> RA, et al. Intramural and extramural vascular invasion in colorectal cancer: prognostic significance and quality of pathology reporting. </w:t>
      </w:r>
      <w:r w:rsidRPr="00397F4E">
        <w:rPr>
          <w:i/>
          <w:kern w:val="20"/>
        </w:rPr>
        <w:t>Cancer</w:t>
      </w:r>
      <w:r w:rsidRPr="00F25746">
        <w:rPr>
          <w:kern w:val="20"/>
        </w:rPr>
        <w:t>. 2012;118(3):628-638.</w:t>
      </w:r>
    </w:p>
    <w:p w14:paraId="4F76F8F0" w14:textId="77777777" w:rsidR="00F25746" w:rsidRPr="00F25746" w:rsidRDefault="00F25746" w:rsidP="00F25746">
      <w:pPr>
        <w:numPr>
          <w:ilvl w:val="0"/>
          <w:numId w:val="37"/>
        </w:numPr>
        <w:rPr>
          <w:kern w:val="20"/>
        </w:rPr>
      </w:pPr>
      <w:r w:rsidRPr="00F25746">
        <w:rPr>
          <w:kern w:val="20"/>
        </w:rPr>
        <w:t xml:space="preserve">Liebig C, Ayala G, Wilks J, et al. Perineural invasion is an independent predictor of outcome in colorectal cancer. </w:t>
      </w:r>
      <w:r w:rsidRPr="00397F4E">
        <w:rPr>
          <w:i/>
          <w:kern w:val="20"/>
        </w:rPr>
        <w:t>J Clin Oncol.</w:t>
      </w:r>
      <w:r w:rsidRPr="00F25746">
        <w:rPr>
          <w:kern w:val="20"/>
        </w:rPr>
        <w:t xml:space="preserve"> 2009;27(31):5131-5137.</w:t>
      </w:r>
    </w:p>
    <w:p w14:paraId="2238F265" w14:textId="77777777" w:rsidR="00F25746" w:rsidRPr="00F25746" w:rsidRDefault="00F25746" w:rsidP="00F25746">
      <w:pPr>
        <w:numPr>
          <w:ilvl w:val="0"/>
          <w:numId w:val="37"/>
        </w:numPr>
        <w:rPr>
          <w:kern w:val="20"/>
        </w:rPr>
      </w:pPr>
      <w:r w:rsidRPr="00F25746">
        <w:rPr>
          <w:kern w:val="20"/>
        </w:rPr>
        <w:t xml:space="preserve">Ueno H, Shirouzu K, </w:t>
      </w:r>
      <w:proofErr w:type="spellStart"/>
      <w:r w:rsidRPr="00F25746">
        <w:rPr>
          <w:kern w:val="20"/>
        </w:rPr>
        <w:t>Eishi</w:t>
      </w:r>
      <w:proofErr w:type="spellEnd"/>
      <w:r w:rsidRPr="00F25746">
        <w:rPr>
          <w:kern w:val="20"/>
        </w:rPr>
        <w:t xml:space="preserve"> Y, et al; Study Group for Perineural Invasion projected by the Japanese Society for Cancer of the Colon and Rectum (JSCCR). Characterization of perineural invasion as a component of colorectal cancer staging. </w:t>
      </w:r>
      <w:r w:rsidRPr="00397F4E">
        <w:rPr>
          <w:i/>
          <w:kern w:val="20"/>
        </w:rPr>
        <w:t xml:space="preserve">Am J Surg </w:t>
      </w:r>
      <w:proofErr w:type="spellStart"/>
      <w:r w:rsidRPr="00397F4E">
        <w:rPr>
          <w:i/>
          <w:kern w:val="20"/>
        </w:rPr>
        <w:t>Pathol</w:t>
      </w:r>
      <w:proofErr w:type="spellEnd"/>
      <w:r w:rsidRPr="00F25746">
        <w:rPr>
          <w:kern w:val="20"/>
        </w:rPr>
        <w:t>. 2013;37(10):1542-1549.</w:t>
      </w:r>
    </w:p>
    <w:p w14:paraId="7DB7D30C" w14:textId="77777777" w:rsidR="00F25746" w:rsidRPr="00F25746" w:rsidRDefault="00F25746" w:rsidP="00F25746">
      <w:pPr>
        <w:numPr>
          <w:ilvl w:val="0"/>
          <w:numId w:val="37"/>
        </w:numPr>
        <w:rPr>
          <w:kern w:val="20"/>
        </w:rPr>
      </w:pPr>
      <w:r w:rsidRPr="00F25746">
        <w:rPr>
          <w:kern w:val="20"/>
        </w:rPr>
        <w:t xml:space="preserve">Gomez D, </w:t>
      </w:r>
      <w:proofErr w:type="spellStart"/>
      <w:r w:rsidRPr="00F25746">
        <w:rPr>
          <w:kern w:val="20"/>
        </w:rPr>
        <w:t>Zaitoun</w:t>
      </w:r>
      <w:proofErr w:type="spellEnd"/>
      <w:r w:rsidRPr="00F25746">
        <w:rPr>
          <w:kern w:val="20"/>
        </w:rPr>
        <w:t xml:space="preserve"> AM, De Rosa A, et al. Critical review of the prognostic significance of pathological variables in patients undergoing resection for colorectal liver metastases. </w:t>
      </w:r>
      <w:r w:rsidRPr="00397F4E">
        <w:rPr>
          <w:i/>
          <w:kern w:val="20"/>
        </w:rPr>
        <w:t>HPB</w:t>
      </w:r>
      <w:r w:rsidRPr="00F25746">
        <w:rPr>
          <w:kern w:val="20"/>
        </w:rPr>
        <w:t xml:space="preserve"> (Oxford). 2014;16(9):836-844. </w:t>
      </w:r>
    </w:p>
    <w:p w14:paraId="102862B5" w14:textId="77777777" w:rsidR="00F25746" w:rsidRPr="00F25746" w:rsidRDefault="00F25746" w:rsidP="00F25746">
      <w:pPr>
        <w:numPr>
          <w:ilvl w:val="0"/>
          <w:numId w:val="37"/>
        </w:numPr>
        <w:rPr>
          <w:kern w:val="20"/>
        </w:rPr>
      </w:pPr>
      <w:r w:rsidRPr="00F25746">
        <w:rPr>
          <w:kern w:val="20"/>
        </w:rPr>
        <w:t xml:space="preserve">Peng SL, Thomas M, </w:t>
      </w:r>
      <w:proofErr w:type="spellStart"/>
      <w:r w:rsidRPr="00F25746">
        <w:rPr>
          <w:kern w:val="20"/>
        </w:rPr>
        <w:t>Ruszkiewicz</w:t>
      </w:r>
      <w:proofErr w:type="spellEnd"/>
      <w:r w:rsidRPr="00F25746">
        <w:rPr>
          <w:kern w:val="20"/>
        </w:rPr>
        <w:t xml:space="preserve"> A, Hunter A, Lawrence M, Moore J. Conventional adverse features do not predict response to adjuvant chemotherapy in stage II colon cancer. </w:t>
      </w:r>
      <w:r w:rsidRPr="00397F4E">
        <w:rPr>
          <w:i/>
          <w:kern w:val="20"/>
        </w:rPr>
        <w:t>ANZ J Surg</w:t>
      </w:r>
      <w:r w:rsidRPr="00F25746">
        <w:rPr>
          <w:kern w:val="20"/>
        </w:rPr>
        <w:t>. 2014;84(11):837-841.</w:t>
      </w:r>
    </w:p>
    <w:p w14:paraId="785F6A3B" w14:textId="77777777" w:rsidR="00F25746" w:rsidRPr="00F25746" w:rsidRDefault="00F25746" w:rsidP="00F25746">
      <w:pPr>
        <w:numPr>
          <w:ilvl w:val="0"/>
          <w:numId w:val="37"/>
        </w:numPr>
        <w:rPr>
          <w:kern w:val="20"/>
        </w:rPr>
      </w:pPr>
      <w:r w:rsidRPr="00F25746">
        <w:rPr>
          <w:kern w:val="20"/>
        </w:rPr>
        <w:lastRenderedPageBreak/>
        <w:t xml:space="preserve">Ozturk MA, Dane F, </w:t>
      </w:r>
      <w:proofErr w:type="spellStart"/>
      <w:r w:rsidRPr="00F25746">
        <w:rPr>
          <w:kern w:val="20"/>
        </w:rPr>
        <w:t>Karagoz</w:t>
      </w:r>
      <w:proofErr w:type="spellEnd"/>
      <w:r w:rsidRPr="00F25746">
        <w:rPr>
          <w:kern w:val="20"/>
        </w:rPr>
        <w:t xml:space="preserve"> S, et al. Is perineural invasion (PN) a determinant of </w:t>
      </w:r>
      <w:proofErr w:type="gramStart"/>
      <w:r w:rsidRPr="00F25746">
        <w:rPr>
          <w:kern w:val="20"/>
        </w:rPr>
        <w:t>disease free</w:t>
      </w:r>
      <w:proofErr w:type="gramEnd"/>
      <w:r w:rsidRPr="00F25746">
        <w:rPr>
          <w:kern w:val="20"/>
        </w:rPr>
        <w:t xml:space="preserve"> survival in early stage colorectal cancer? </w:t>
      </w:r>
      <w:proofErr w:type="spellStart"/>
      <w:r w:rsidRPr="00397F4E">
        <w:rPr>
          <w:i/>
          <w:kern w:val="20"/>
        </w:rPr>
        <w:t>Hepatogastroenterology</w:t>
      </w:r>
      <w:proofErr w:type="spellEnd"/>
      <w:r w:rsidRPr="00F25746">
        <w:rPr>
          <w:kern w:val="20"/>
        </w:rPr>
        <w:t xml:space="preserve">. 2015;62(137):59-64. </w:t>
      </w:r>
    </w:p>
    <w:p w14:paraId="7F7B4746" w14:textId="77777777" w:rsidR="00F25746" w:rsidRDefault="00F25746" w:rsidP="00980EB3">
      <w:pPr>
        <w:numPr>
          <w:ilvl w:val="0"/>
          <w:numId w:val="37"/>
        </w:numPr>
        <w:rPr>
          <w:kern w:val="20"/>
        </w:rPr>
      </w:pPr>
      <w:r w:rsidRPr="00F25746">
        <w:rPr>
          <w:kern w:val="20"/>
        </w:rPr>
        <w:t xml:space="preserve">Huh JW, Kim HR, Kim YJ. Prognostic value of perineural invasion in patients with stage II colorectal cancer. </w:t>
      </w:r>
      <w:r w:rsidRPr="00397F4E">
        <w:rPr>
          <w:i/>
          <w:kern w:val="20"/>
        </w:rPr>
        <w:t>Ann Surg Oncol</w:t>
      </w:r>
      <w:r w:rsidRPr="00F25746">
        <w:rPr>
          <w:kern w:val="20"/>
        </w:rPr>
        <w:t>. 2010;17(8):2066-2072.</w:t>
      </w:r>
    </w:p>
    <w:p w14:paraId="376A53B9" w14:textId="77777777" w:rsidR="009117F0" w:rsidRDefault="009117F0" w:rsidP="00D9542B">
      <w:pPr>
        <w:ind w:left="360" w:hanging="360"/>
        <w:rPr>
          <w:rFonts w:cs="Arial"/>
        </w:rPr>
      </w:pPr>
    </w:p>
    <w:p w14:paraId="051AAD76" w14:textId="77777777" w:rsidR="00F571DE" w:rsidRPr="00904C3E" w:rsidRDefault="004A0920" w:rsidP="00D9542B">
      <w:pPr>
        <w:ind w:left="360" w:hanging="360"/>
        <w:rPr>
          <w:rFonts w:cs="Arial"/>
          <w:b/>
        </w:rPr>
      </w:pPr>
      <w:r>
        <w:rPr>
          <w:rFonts w:cs="Arial"/>
          <w:b/>
        </w:rPr>
        <w:t>F.</w:t>
      </w:r>
      <w:r w:rsidR="008058CF">
        <w:rPr>
          <w:rFonts w:cs="Arial"/>
          <w:b/>
        </w:rPr>
        <w:t xml:space="preserve"> </w:t>
      </w:r>
      <w:r>
        <w:rPr>
          <w:rFonts w:cs="Arial"/>
          <w:b/>
        </w:rPr>
        <w:t xml:space="preserve"> </w:t>
      </w:r>
      <w:r w:rsidR="00F04BEC">
        <w:rPr>
          <w:rFonts w:cs="Arial"/>
          <w:b/>
        </w:rPr>
        <w:t xml:space="preserve">Tumor </w:t>
      </w:r>
      <w:r w:rsidR="00C625D3" w:rsidRPr="00C625D3">
        <w:rPr>
          <w:rFonts w:cs="Arial"/>
          <w:b/>
        </w:rPr>
        <w:t>B</w:t>
      </w:r>
      <w:r w:rsidR="00F571DE" w:rsidRPr="00904C3E">
        <w:rPr>
          <w:rFonts w:cs="Arial"/>
          <w:b/>
        </w:rPr>
        <w:t>udding</w:t>
      </w:r>
    </w:p>
    <w:p w14:paraId="6B7D45C1" w14:textId="77777777" w:rsidR="00F571DE" w:rsidRPr="00144B21" w:rsidRDefault="00F571DE" w:rsidP="00F571DE">
      <w:pPr>
        <w:pStyle w:val="MediumGrid21"/>
        <w:rPr>
          <w:rFonts w:ascii="Arial" w:hAnsi="Arial" w:cs="Arial"/>
          <w:sz w:val="20"/>
          <w:szCs w:val="20"/>
        </w:rPr>
      </w:pPr>
      <w:r w:rsidRPr="00144B21">
        <w:rPr>
          <w:rFonts w:ascii="Arial" w:hAnsi="Arial" w:cs="Arial"/>
          <w:sz w:val="20"/>
          <w:szCs w:val="20"/>
        </w:rPr>
        <w:t xml:space="preserve">The presence </w:t>
      </w:r>
      <w:r w:rsidR="00CD2810">
        <w:rPr>
          <w:rFonts w:ascii="Arial" w:hAnsi="Arial" w:cs="Arial"/>
          <w:sz w:val="20"/>
          <w:szCs w:val="20"/>
        </w:rPr>
        <w:t xml:space="preserve">of </w:t>
      </w:r>
      <w:r w:rsidRPr="00144B21">
        <w:rPr>
          <w:rFonts w:ascii="Arial" w:hAnsi="Arial" w:cs="Arial"/>
          <w:sz w:val="20"/>
          <w:szCs w:val="20"/>
        </w:rPr>
        <w:t xml:space="preserve">single cells or small clusters of </w:t>
      </w:r>
      <w:r w:rsidR="009A594D">
        <w:rPr>
          <w:rFonts w:ascii="Arial" w:hAnsi="Arial" w:cs="Arial"/>
          <w:sz w:val="20"/>
          <w:szCs w:val="20"/>
        </w:rPr>
        <w:t>less than</w:t>
      </w:r>
      <w:r w:rsidRPr="00144B21">
        <w:rPr>
          <w:rFonts w:ascii="Arial" w:hAnsi="Arial" w:cs="Arial"/>
          <w:sz w:val="20"/>
          <w:szCs w:val="20"/>
        </w:rPr>
        <w:t xml:space="preserve"> </w:t>
      </w:r>
      <w:r w:rsidR="00CD2810">
        <w:rPr>
          <w:rFonts w:ascii="Arial" w:hAnsi="Arial" w:cs="Arial"/>
          <w:sz w:val="20"/>
          <w:szCs w:val="20"/>
        </w:rPr>
        <w:t>five</w:t>
      </w:r>
      <w:r w:rsidRPr="00144B21">
        <w:rPr>
          <w:rFonts w:ascii="Arial" w:hAnsi="Arial" w:cs="Arial"/>
          <w:sz w:val="20"/>
          <w:szCs w:val="20"/>
        </w:rPr>
        <w:t xml:space="preserve"> cells at the advancing front of the tumor is considered as </w:t>
      </w:r>
      <w:r w:rsidR="00F04BEC">
        <w:rPr>
          <w:rFonts w:ascii="Arial" w:hAnsi="Arial" w:cs="Arial"/>
          <w:sz w:val="20"/>
          <w:szCs w:val="20"/>
        </w:rPr>
        <w:t xml:space="preserve">peritumoral </w:t>
      </w:r>
      <w:r w:rsidRPr="00144B21">
        <w:rPr>
          <w:rFonts w:ascii="Arial" w:hAnsi="Arial" w:cs="Arial"/>
          <w:sz w:val="20"/>
          <w:szCs w:val="20"/>
        </w:rPr>
        <w:t>tumor budding. Numerous studies have shown that high tumor budding in adenocarcinoma arising in polyp is a significant risk factor for nodal involvement</w:t>
      </w:r>
      <w:r w:rsidR="00FD06D9">
        <w:rPr>
          <w:rFonts w:ascii="Arial" w:hAnsi="Arial" w:cs="Arial"/>
          <w:sz w:val="20"/>
          <w:szCs w:val="20"/>
        </w:rPr>
        <w:t>,</w:t>
      </w:r>
      <w:r w:rsidR="00283F5B">
        <w:rPr>
          <w:kern w:val="20"/>
          <w:vertAlign w:val="superscript"/>
        </w:rPr>
        <w:t>1, 2-6</w:t>
      </w:r>
      <w:r w:rsidR="00FD06D9">
        <w:rPr>
          <w:rFonts w:ascii="Arial" w:hAnsi="Arial" w:cs="Arial"/>
          <w:sz w:val="20"/>
          <w:szCs w:val="20"/>
        </w:rPr>
        <w:t xml:space="preserve"> with tumor budding being the most significant factor in some studies.</w:t>
      </w:r>
      <w:r w:rsidR="00283F5B">
        <w:rPr>
          <w:kern w:val="20"/>
          <w:vertAlign w:val="superscript"/>
        </w:rPr>
        <w:t>3</w:t>
      </w:r>
      <w:r w:rsidR="00FD06D9">
        <w:rPr>
          <w:rFonts w:ascii="Arial" w:hAnsi="Arial" w:cs="Arial"/>
          <w:sz w:val="20"/>
          <w:szCs w:val="20"/>
        </w:rPr>
        <w:t xml:space="preserve"> </w:t>
      </w:r>
      <w:r w:rsidRPr="00144B21">
        <w:rPr>
          <w:rFonts w:ascii="Arial" w:hAnsi="Arial" w:cs="Arial"/>
          <w:sz w:val="20"/>
          <w:szCs w:val="20"/>
        </w:rPr>
        <w:t xml:space="preserve">Different criteria for evaluating and reporting tumor budding have been followed in literature. An international </w:t>
      </w:r>
      <w:r w:rsidR="00A22BAA">
        <w:rPr>
          <w:rFonts w:ascii="Arial" w:hAnsi="Arial" w:cs="Arial"/>
          <w:sz w:val="20"/>
          <w:szCs w:val="20"/>
        </w:rPr>
        <w:t xml:space="preserve">tumor budding </w:t>
      </w:r>
      <w:r w:rsidRPr="00144B21">
        <w:rPr>
          <w:rFonts w:ascii="Arial" w:hAnsi="Arial" w:cs="Arial"/>
          <w:sz w:val="20"/>
          <w:szCs w:val="20"/>
        </w:rPr>
        <w:t xml:space="preserve">consensus conference </w:t>
      </w:r>
      <w:r w:rsidR="00A22BAA">
        <w:rPr>
          <w:rFonts w:ascii="Arial" w:hAnsi="Arial" w:cs="Arial"/>
          <w:sz w:val="20"/>
          <w:szCs w:val="20"/>
        </w:rPr>
        <w:t xml:space="preserve">(ITBCC) </w:t>
      </w:r>
      <w:r w:rsidRPr="00144B21">
        <w:rPr>
          <w:rFonts w:ascii="Arial" w:hAnsi="Arial" w:cs="Arial"/>
          <w:sz w:val="20"/>
          <w:szCs w:val="20"/>
        </w:rPr>
        <w:t>in 2016 recommended the following criteria for evaluating tumor budding</w:t>
      </w:r>
      <w:r w:rsidR="009B7C0F">
        <w:rPr>
          <w:kern w:val="20"/>
          <w:vertAlign w:val="superscript"/>
        </w:rPr>
        <w:t>7</w:t>
      </w:r>
      <w:r w:rsidRPr="00144B21">
        <w:rPr>
          <w:rFonts w:ascii="Arial" w:hAnsi="Arial" w:cs="Arial"/>
          <w:sz w:val="20"/>
          <w:szCs w:val="20"/>
        </w:rPr>
        <w:t>:</w:t>
      </w:r>
    </w:p>
    <w:p w14:paraId="3FE9FEAA" w14:textId="77777777" w:rsidR="00F571DE" w:rsidRPr="00144B21" w:rsidRDefault="00F571DE" w:rsidP="00904C3E">
      <w:pPr>
        <w:pStyle w:val="MediumGrid21"/>
        <w:ind w:left="360" w:hanging="360"/>
        <w:rPr>
          <w:rFonts w:ascii="Arial" w:hAnsi="Arial" w:cs="Arial"/>
          <w:sz w:val="20"/>
          <w:szCs w:val="20"/>
        </w:rPr>
      </w:pPr>
      <w:r w:rsidRPr="00144B21">
        <w:rPr>
          <w:rFonts w:ascii="Arial" w:hAnsi="Arial" w:cs="Arial"/>
          <w:sz w:val="20"/>
          <w:szCs w:val="20"/>
        </w:rPr>
        <w:t>(1) Tumor budding counts should be done on</w:t>
      </w:r>
      <w:r w:rsidR="00CB2D81">
        <w:rPr>
          <w:rFonts w:ascii="Arial" w:hAnsi="Arial" w:cs="Arial"/>
          <w:sz w:val="20"/>
          <w:szCs w:val="20"/>
        </w:rPr>
        <w:t xml:space="preserve"> </w:t>
      </w:r>
      <w:r w:rsidR="009552EB">
        <w:rPr>
          <w:rFonts w:ascii="Arial" w:hAnsi="Arial" w:cs="Arial"/>
          <w:sz w:val="20"/>
          <w:szCs w:val="20"/>
        </w:rPr>
        <w:t>H&amp;E</w:t>
      </w:r>
      <w:r w:rsidRPr="00144B21">
        <w:rPr>
          <w:rFonts w:ascii="Arial" w:hAnsi="Arial" w:cs="Arial"/>
          <w:sz w:val="20"/>
          <w:szCs w:val="20"/>
        </w:rPr>
        <w:t xml:space="preserve"> sections. In cases of obscuring factors like inflammation, immunohistochemistry for keratin can be obtained to assess the advancing edge for tumor buds, but the scoring should be done on H&amp;E sections.</w:t>
      </w:r>
    </w:p>
    <w:p w14:paraId="0EDB9BD9" w14:textId="77777777" w:rsidR="00F571DE" w:rsidRPr="00144B21" w:rsidRDefault="00F571DE" w:rsidP="00904C3E">
      <w:pPr>
        <w:pStyle w:val="MediumGrid21"/>
        <w:ind w:left="360" w:hanging="360"/>
        <w:rPr>
          <w:rFonts w:ascii="Arial" w:hAnsi="Arial" w:cs="Arial"/>
          <w:sz w:val="20"/>
          <w:szCs w:val="20"/>
        </w:rPr>
      </w:pPr>
      <w:r w:rsidRPr="00144B21">
        <w:rPr>
          <w:rFonts w:ascii="Arial" w:hAnsi="Arial" w:cs="Arial"/>
          <w:sz w:val="20"/>
          <w:szCs w:val="20"/>
        </w:rPr>
        <w:t>(2) Tumor budding sho</w:t>
      </w:r>
      <w:r w:rsidR="00E8149E">
        <w:rPr>
          <w:rFonts w:ascii="Arial" w:hAnsi="Arial" w:cs="Arial"/>
          <w:sz w:val="20"/>
          <w:szCs w:val="20"/>
        </w:rPr>
        <w:t>uld be reported by selecting a “</w:t>
      </w:r>
      <w:r w:rsidRPr="00144B21">
        <w:rPr>
          <w:rFonts w:ascii="Arial" w:hAnsi="Arial" w:cs="Arial"/>
          <w:sz w:val="20"/>
          <w:szCs w:val="20"/>
        </w:rPr>
        <w:t>hotspot</w:t>
      </w:r>
      <w:r w:rsidR="00E8149E">
        <w:rPr>
          <w:rFonts w:ascii="Arial" w:hAnsi="Arial" w:cs="Arial"/>
          <w:sz w:val="20"/>
          <w:szCs w:val="20"/>
        </w:rPr>
        <w:t>”</w:t>
      </w:r>
      <w:r w:rsidRPr="00144B21">
        <w:rPr>
          <w:rFonts w:ascii="Arial" w:hAnsi="Arial" w:cs="Arial"/>
          <w:sz w:val="20"/>
          <w:szCs w:val="20"/>
        </w:rPr>
        <w:t xml:space="preserve"> chosen after review of all available slides with invasive tumor. The total number of buds should be </w:t>
      </w:r>
      <w:r w:rsidR="00651495">
        <w:rPr>
          <w:rFonts w:ascii="Arial" w:hAnsi="Arial" w:cs="Arial"/>
          <w:sz w:val="20"/>
          <w:szCs w:val="20"/>
        </w:rPr>
        <w:t>reported</w:t>
      </w:r>
      <w:r w:rsidR="0085237D">
        <w:rPr>
          <w:rFonts w:ascii="Arial" w:hAnsi="Arial" w:cs="Arial"/>
          <w:sz w:val="20"/>
          <w:szCs w:val="20"/>
        </w:rPr>
        <w:t xml:space="preserve"> in an area measuring </w:t>
      </w:r>
      <w:r w:rsidRPr="00144B21">
        <w:rPr>
          <w:rFonts w:ascii="Arial" w:hAnsi="Arial" w:cs="Arial"/>
          <w:sz w:val="20"/>
          <w:szCs w:val="20"/>
        </w:rPr>
        <w:t>0.785 mm</w:t>
      </w:r>
      <w:r w:rsidRPr="00144B21">
        <w:rPr>
          <w:rFonts w:ascii="Arial" w:hAnsi="Arial" w:cs="Arial"/>
          <w:sz w:val="20"/>
          <w:szCs w:val="20"/>
          <w:vertAlign w:val="superscript"/>
        </w:rPr>
        <w:t>2</w:t>
      </w:r>
      <w:r w:rsidR="0085237D">
        <w:rPr>
          <w:rFonts w:ascii="Arial" w:hAnsi="Arial" w:cs="Arial"/>
          <w:sz w:val="20"/>
          <w:szCs w:val="20"/>
        </w:rPr>
        <w:t xml:space="preserve">, which corresponds to 20x field in some microscopes </w:t>
      </w:r>
      <w:r w:rsidRPr="00144B21">
        <w:rPr>
          <w:rFonts w:ascii="Arial" w:hAnsi="Arial" w:cs="Arial"/>
          <w:sz w:val="20"/>
          <w:szCs w:val="20"/>
        </w:rPr>
        <w:t xml:space="preserve">(use appropriate conversion for other </w:t>
      </w:r>
      <w:r w:rsidR="0085237D">
        <w:rPr>
          <w:rFonts w:ascii="Arial" w:hAnsi="Arial" w:cs="Arial"/>
          <w:sz w:val="20"/>
          <w:szCs w:val="20"/>
        </w:rPr>
        <w:t>microscopes</w:t>
      </w:r>
      <w:r w:rsidRPr="00144B21">
        <w:rPr>
          <w:rFonts w:ascii="Arial" w:hAnsi="Arial" w:cs="Arial"/>
          <w:sz w:val="20"/>
          <w:szCs w:val="20"/>
        </w:rPr>
        <w:t>, see table below).</w:t>
      </w:r>
    </w:p>
    <w:p w14:paraId="19F69060" w14:textId="77777777" w:rsidR="00F571DE" w:rsidRDefault="00F571DE" w:rsidP="00904C3E">
      <w:pPr>
        <w:pStyle w:val="MediumGrid21"/>
        <w:ind w:left="360" w:hanging="360"/>
        <w:rPr>
          <w:rFonts w:ascii="Arial" w:hAnsi="Arial" w:cs="Arial"/>
          <w:sz w:val="20"/>
          <w:szCs w:val="20"/>
        </w:rPr>
      </w:pPr>
      <w:r w:rsidRPr="00144B21">
        <w:rPr>
          <w:rFonts w:ascii="Arial" w:hAnsi="Arial" w:cs="Arial"/>
          <w:sz w:val="20"/>
          <w:szCs w:val="20"/>
        </w:rPr>
        <w:t>(3) B</w:t>
      </w:r>
      <w:r w:rsidR="00DC778C">
        <w:rPr>
          <w:rFonts w:ascii="Arial" w:hAnsi="Arial" w:cs="Arial"/>
          <w:sz w:val="20"/>
          <w:szCs w:val="20"/>
        </w:rPr>
        <w:t>oth total number of buds and a three</w:t>
      </w:r>
      <w:r w:rsidRPr="00144B21">
        <w:rPr>
          <w:rFonts w:ascii="Arial" w:hAnsi="Arial" w:cs="Arial"/>
          <w:sz w:val="20"/>
          <w:szCs w:val="20"/>
        </w:rPr>
        <w:t xml:space="preserve">-tier score </w:t>
      </w:r>
      <w:r w:rsidR="0085237D">
        <w:rPr>
          <w:rFonts w:ascii="Arial" w:hAnsi="Arial" w:cs="Arial"/>
          <w:sz w:val="20"/>
          <w:szCs w:val="20"/>
        </w:rPr>
        <w:t xml:space="preserve">(based on </w:t>
      </w:r>
      <w:r w:rsidR="0085237D" w:rsidRPr="00144B21">
        <w:rPr>
          <w:rFonts w:ascii="Arial" w:hAnsi="Arial" w:cs="Arial"/>
          <w:sz w:val="20"/>
          <w:szCs w:val="20"/>
        </w:rPr>
        <w:t>0.785 mm</w:t>
      </w:r>
      <w:r w:rsidR="0085237D" w:rsidRPr="00144B21">
        <w:rPr>
          <w:rFonts w:ascii="Arial" w:hAnsi="Arial" w:cs="Arial"/>
          <w:sz w:val="20"/>
          <w:szCs w:val="20"/>
          <w:vertAlign w:val="superscript"/>
        </w:rPr>
        <w:t>2</w:t>
      </w:r>
      <w:r w:rsidR="0085237D">
        <w:rPr>
          <w:rFonts w:ascii="Arial" w:hAnsi="Arial" w:cs="Arial"/>
          <w:sz w:val="20"/>
          <w:szCs w:val="20"/>
          <w:vertAlign w:val="superscript"/>
        </w:rPr>
        <w:t xml:space="preserve"> </w:t>
      </w:r>
      <w:r w:rsidR="0085237D">
        <w:rPr>
          <w:rFonts w:ascii="Arial" w:hAnsi="Arial" w:cs="Arial"/>
          <w:sz w:val="20"/>
          <w:szCs w:val="20"/>
        </w:rPr>
        <w:t xml:space="preserve">field area) </w:t>
      </w:r>
      <w:r w:rsidRPr="00144B21">
        <w:rPr>
          <w:rFonts w:ascii="Arial" w:hAnsi="Arial" w:cs="Arial"/>
          <w:sz w:val="20"/>
          <w:szCs w:val="20"/>
        </w:rPr>
        <w:t>should be reported: low (</w:t>
      </w:r>
      <w:r w:rsidR="008F4028">
        <w:rPr>
          <w:rFonts w:ascii="Arial" w:hAnsi="Arial" w:cs="Arial"/>
          <w:sz w:val="20"/>
          <w:szCs w:val="20"/>
        </w:rPr>
        <w:t>0-</w:t>
      </w:r>
      <w:proofErr w:type="gramStart"/>
      <w:r w:rsidR="008F4028">
        <w:rPr>
          <w:rFonts w:ascii="Arial" w:hAnsi="Arial" w:cs="Arial"/>
          <w:sz w:val="20"/>
          <w:szCs w:val="20"/>
        </w:rPr>
        <w:t xml:space="preserve">4 </w:t>
      </w:r>
      <w:r w:rsidRPr="00144B21">
        <w:rPr>
          <w:rFonts w:ascii="Arial" w:hAnsi="Arial" w:cs="Arial"/>
          <w:sz w:val="20"/>
          <w:szCs w:val="20"/>
        </w:rPr>
        <w:t xml:space="preserve"> buds</w:t>
      </w:r>
      <w:proofErr w:type="gramEnd"/>
      <w:r w:rsidRPr="00144B21">
        <w:rPr>
          <w:rFonts w:ascii="Arial" w:hAnsi="Arial" w:cs="Arial"/>
          <w:sz w:val="20"/>
          <w:szCs w:val="20"/>
        </w:rPr>
        <w:t>), intermediate (</w:t>
      </w:r>
      <w:r w:rsidR="008F4028">
        <w:rPr>
          <w:rFonts w:ascii="Arial" w:hAnsi="Arial" w:cs="Arial"/>
          <w:sz w:val="20"/>
          <w:szCs w:val="20"/>
        </w:rPr>
        <w:t>5</w:t>
      </w:r>
      <w:r w:rsidRPr="00144B21">
        <w:rPr>
          <w:rFonts w:ascii="Arial" w:hAnsi="Arial" w:cs="Arial"/>
          <w:sz w:val="20"/>
          <w:szCs w:val="20"/>
        </w:rPr>
        <w:t>-9 buds) and high (10 or more buds).</w:t>
      </w:r>
    </w:p>
    <w:p w14:paraId="230D83BA" w14:textId="77777777" w:rsidR="00D333E2" w:rsidRPr="00144B21" w:rsidRDefault="00D333E2" w:rsidP="00904C3E">
      <w:pPr>
        <w:pStyle w:val="MediumGrid21"/>
        <w:rPr>
          <w:rFonts w:ascii="Arial" w:hAnsi="Arial" w:cs="Arial"/>
          <w:sz w:val="20"/>
          <w:szCs w:val="20"/>
        </w:rPr>
      </w:pPr>
      <w:r>
        <w:rPr>
          <w:rFonts w:ascii="Arial" w:hAnsi="Arial" w:cs="Arial"/>
          <w:sz w:val="20"/>
          <w:szCs w:val="20"/>
        </w:rPr>
        <w:t xml:space="preserve">This is not a required element, but it is recommended that </w:t>
      </w:r>
      <w:r w:rsidR="00651495">
        <w:rPr>
          <w:rFonts w:ascii="Arial" w:hAnsi="Arial" w:cs="Arial"/>
          <w:sz w:val="20"/>
          <w:szCs w:val="20"/>
        </w:rPr>
        <w:t>t</w:t>
      </w:r>
      <w:r>
        <w:rPr>
          <w:rFonts w:ascii="Arial" w:hAnsi="Arial" w:cs="Arial"/>
          <w:sz w:val="20"/>
          <w:szCs w:val="20"/>
        </w:rPr>
        <w:t>his feature be reported for cancers arising in polyps a</w:t>
      </w:r>
      <w:r w:rsidR="00FD06D9">
        <w:rPr>
          <w:rFonts w:ascii="Arial" w:hAnsi="Arial" w:cs="Arial"/>
          <w:sz w:val="20"/>
          <w:szCs w:val="20"/>
        </w:rPr>
        <w:t>s well as</w:t>
      </w:r>
      <w:r>
        <w:rPr>
          <w:rFonts w:ascii="Arial" w:hAnsi="Arial" w:cs="Arial"/>
          <w:sz w:val="20"/>
          <w:szCs w:val="20"/>
        </w:rPr>
        <w:t xml:space="preserve"> for stage</w:t>
      </w:r>
      <w:r w:rsidR="009B258A">
        <w:rPr>
          <w:rFonts w:ascii="Arial" w:hAnsi="Arial" w:cs="Arial"/>
          <w:sz w:val="20"/>
          <w:szCs w:val="20"/>
        </w:rPr>
        <w:t xml:space="preserve"> I and</w:t>
      </w:r>
      <w:r>
        <w:rPr>
          <w:rFonts w:ascii="Arial" w:hAnsi="Arial" w:cs="Arial"/>
          <w:sz w:val="20"/>
          <w:szCs w:val="20"/>
        </w:rPr>
        <w:t xml:space="preserve"> II cases.</w:t>
      </w:r>
    </w:p>
    <w:p w14:paraId="588329AC" w14:textId="77777777" w:rsidR="00E6551A" w:rsidRDefault="00E6551A" w:rsidP="00F571DE">
      <w:pPr>
        <w:pStyle w:val="MediumGrid21"/>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1350"/>
        <w:gridCol w:w="1260"/>
        <w:gridCol w:w="1067"/>
        <w:gridCol w:w="1407"/>
      </w:tblGrid>
      <w:tr w:rsidR="000E2AE7" w14:paraId="30FCDCD2" w14:textId="77777777" w:rsidTr="004109BB">
        <w:trPr>
          <w:gridAfter w:val="2"/>
          <w:wAfter w:w="2474" w:type="dxa"/>
        </w:trPr>
        <w:tc>
          <w:tcPr>
            <w:tcW w:w="2695" w:type="dxa"/>
            <w:gridSpan w:val="2"/>
            <w:tcBorders>
              <w:top w:val="single" w:sz="18" w:space="0" w:color="auto"/>
              <w:left w:val="single" w:sz="18" w:space="0" w:color="auto"/>
              <w:bottom w:val="single" w:sz="18" w:space="0" w:color="auto"/>
              <w:right w:val="single" w:sz="18" w:space="0" w:color="auto"/>
            </w:tcBorders>
            <w:shd w:val="clear" w:color="auto" w:fill="F8F6CC"/>
          </w:tcPr>
          <w:p w14:paraId="3AE280AE" w14:textId="77777777" w:rsidR="000E2AE7" w:rsidRPr="004109BB" w:rsidRDefault="000E2AE7" w:rsidP="004109BB">
            <w:pPr>
              <w:spacing w:line="300" w:lineRule="auto"/>
              <w:jc w:val="right"/>
              <w:rPr>
                <w:rFonts w:eastAsia="Calibri"/>
                <w:b/>
                <w:sz w:val="22"/>
                <w:szCs w:val="22"/>
                <w:u w:val="single"/>
              </w:rPr>
            </w:pPr>
            <w:r w:rsidRPr="004109BB">
              <w:rPr>
                <w:rFonts w:eastAsia="Calibri"/>
                <w:b/>
                <w:sz w:val="18"/>
                <w:szCs w:val="22"/>
                <w:u w:val="single"/>
              </w:rPr>
              <w:t>Objective Magnification:</w:t>
            </w:r>
          </w:p>
        </w:tc>
        <w:tc>
          <w:tcPr>
            <w:tcW w:w="1260" w:type="dxa"/>
            <w:tcBorders>
              <w:top w:val="single" w:sz="18" w:space="0" w:color="auto"/>
              <w:left w:val="single" w:sz="18" w:space="0" w:color="auto"/>
              <w:bottom w:val="single" w:sz="18" w:space="0" w:color="auto"/>
              <w:right w:val="single" w:sz="18" w:space="0" w:color="auto"/>
            </w:tcBorders>
            <w:shd w:val="clear" w:color="auto" w:fill="F8F6CC"/>
          </w:tcPr>
          <w:p w14:paraId="1E6F5AD8" w14:textId="77777777" w:rsidR="000E2AE7" w:rsidRPr="004109BB" w:rsidRDefault="000E2AE7" w:rsidP="004109BB">
            <w:pPr>
              <w:spacing w:line="300" w:lineRule="auto"/>
              <w:jc w:val="right"/>
              <w:rPr>
                <w:rFonts w:eastAsia="Calibri"/>
                <w:b/>
                <w:sz w:val="22"/>
                <w:szCs w:val="22"/>
              </w:rPr>
            </w:pPr>
            <w:r w:rsidRPr="004109BB">
              <w:rPr>
                <w:rFonts w:eastAsia="Calibri"/>
                <w:b/>
                <w:sz w:val="22"/>
                <w:szCs w:val="22"/>
              </w:rPr>
              <w:t>20</w:t>
            </w:r>
          </w:p>
        </w:tc>
      </w:tr>
      <w:tr w:rsidR="000E2AE7" w14:paraId="59A57A0E" w14:textId="77777777" w:rsidTr="004109BB">
        <w:tc>
          <w:tcPr>
            <w:tcW w:w="1345" w:type="dxa"/>
            <w:tcBorders>
              <w:top w:val="single" w:sz="18" w:space="0" w:color="auto"/>
              <w:left w:val="single" w:sz="18" w:space="0" w:color="auto"/>
            </w:tcBorders>
            <w:shd w:val="clear" w:color="auto" w:fill="D9E2F3"/>
          </w:tcPr>
          <w:p w14:paraId="6FB041A6" w14:textId="77777777" w:rsidR="000E2AE7" w:rsidRPr="004109BB" w:rsidRDefault="000E2AE7" w:rsidP="004109BB">
            <w:pPr>
              <w:spacing w:line="300" w:lineRule="auto"/>
              <w:jc w:val="center"/>
              <w:rPr>
                <w:rFonts w:eastAsia="Calibri"/>
                <w:b/>
                <w:sz w:val="18"/>
                <w:szCs w:val="22"/>
              </w:rPr>
            </w:pPr>
            <w:r w:rsidRPr="004109BB">
              <w:rPr>
                <w:rFonts w:eastAsia="Calibri"/>
                <w:b/>
                <w:sz w:val="18"/>
                <w:szCs w:val="22"/>
              </w:rPr>
              <w:t>Eyepiece FN Diameter</w:t>
            </w:r>
          </w:p>
        </w:tc>
        <w:tc>
          <w:tcPr>
            <w:tcW w:w="1350" w:type="dxa"/>
            <w:tcBorders>
              <w:top w:val="single" w:sz="18" w:space="0" w:color="auto"/>
            </w:tcBorders>
            <w:shd w:val="clear" w:color="auto" w:fill="auto"/>
          </w:tcPr>
          <w:p w14:paraId="57D36395" w14:textId="77777777" w:rsidR="000E2AE7" w:rsidRPr="004109BB" w:rsidRDefault="000E2AE7" w:rsidP="004109BB">
            <w:pPr>
              <w:spacing w:line="300" w:lineRule="auto"/>
              <w:jc w:val="center"/>
              <w:rPr>
                <w:rFonts w:eastAsia="Calibri"/>
                <w:b/>
                <w:sz w:val="18"/>
                <w:szCs w:val="22"/>
              </w:rPr>
            </w:pPr>
            <w:r w:rsidRPr="004109BB">
              <w:rPr>
                <w:rFonts w:eastAsia="Calibri"/>
                <w:b/>
                <w:sz w:val="18"/>
                <w:szCs w:val="22"/>
              </w:rPr>
              <w:t>Eyepiece FN</w:t>
            </w:r>
          </w:p>
          <w:p w14:paraId="63A022B8" w14:textId="77777777" w:rsidR="000E2AE7" w:rsidRPr="004109BB" w:rsidRDefault="000E2AE7" w:rsidP="004109BB">
            <w:pPr>
              <w:spacing w:line="300" w:lineRule="auto"/>
              <w:jc w:val="center"/>
              <w:rPr>
                <w:rFonts w:eastAsia="Calibri"/>
                <w:b/>
                <w:sz w:val="18"/>
                <w:szCs w:val="22"/>
              </w:rPr>
            </w:pPr>
            <w:r w:rsidRPr="004109BB">
              <w:rPr>
                <w:rFonts w:eastAsia="Calibri"/>
                <w:b/>
                <w:sz w:val="18"/>
                <w:szCs w:val="22"/>
              </w:rPr>
              <w:t>Radius</w:t>
            </w:r>
          </w:p>
        </w:tc>
        <w:tc>
          <w:tcPr>
            <w:tcW w:w="1260" w:type="dxa"/>
            <w:tcBorders>
              <w:top w:val="single" w:sz="18" w:space="0" w:color="auto"/>
            </w:tcBorders>
            <w:shd w:val="clear" w:color="auto" w:fill="auto"/>
          </w:tcPr>
          <w:p w14:paraId="1160D3A6" w14:textId="77777777" w:rsidR="000E2AE7" w:rsidRPr="004109BB" w:rsidRDefault="000E2AE7" w:rsidP="004109BB">
            <w:pPr>
              <w:spacing w:line="300" w:lineRule="auto"/>
              <w:jc w:val="center"/>
              <w:rPr>
                <w:rFonts w:eastAsia="Calibri"/>
                <w:b/>
                <w:sz w:val="18"/>
                <w:szCs w:val="22"/>
              </w:rPr>
            </w:pPr>
            <w:r w:rsidRPr="004109BB">
              <w:rPr>
                <w:rFonts w:eastAsia="Calibri"/>
                <w:b/>
                <w:sz w:val="18"/>
                <w:szCs w:val="22"/>
              </w:rPr>
              <w:t>Specimen</w:t>
            </w:r>
          </w:p>
          <w:p w14:paraId="4AA442DF" w14:textId="77777777" w:rsidR="000E2AE7" w:rsidRPr="004109BB" w:rsidRDefault="000E2AE7" w:rsidP="004109BB">
            <w:pPr>
              <w:spacing w:line="300" w:lineRule="auto"/>
              <w:jc w:val="center"/>
              <w:rPr>
                <w:rFonts w:eastAsia="Calibri"/>
                <w:b/>
                <w:sz w:val="18"/>
                <w:szCs w:val="22"/>
              </w:rPr>
            </w:pPr>
            <w:r w:rsidRPr="004109BB">
              <w:rPr>
                <w:rFonts w:eastAsia="Calibri"/>
                <w:b/>
                <w:sz w:val="18"/>
                <w:szCs w:val="22"/>
              </w:rPr>
              <w:t>FN Radius</w:t>
            </w:r>
          </w:p>
        </w:tc>
        <w:tc>
          <w:tcPr>
            <w:tcW w:w="1067" w:type="dxa"/>
            <w:tcBorders>
              <w:top w:val="single" w:sz="18" w:space="0" w:color="auto"/>
            </w:tcBorders>
            <w:shd w:val="clear" w:color="auto" w:fill="auto"/>
          </w:tcPr>
          <w:p w14:paraId="1AA64E5D" w14:textId="77777777" w:rsidR="000E2AE7" w:rsidRPr="004109BB" w:rsidRDefault="000E2AE7" w:rsidP="004109BB">
            <w:pPr>
              <w:spacing w:line="300" w:lineRule="auto"/>
              <w:jc w:val="center"/>
              <w:rPr>
                <w:rFonts w:eastAsia="Calibri"/>
                <w:b/>
                <w:sz w:val="18"/>
                <w:szCs w:val="22"/>
              </w:rPr>
            </w:pPr>
            <w:r w:rsidRPr="004109BB">
              <w:rPr>
                <w:rFonts w:eastAsia="Calibri"/>
                <w:b/>
                <w:sz w:val="18"/>
                <w:szCs w:val="22"/>
              </w:rPr>
              <w:t>Specimen</w:t>
            </w:r>
          </w:p>
          <w:p w14:paraId="79190818" w14:textId="77777777" w:rsidR="000E2AE7" w:rsidRPr="004109BB" w:rsidRDefault="000E2AE7" w:rsidP="004109BB">
            <w:pPr>
              <w:spacing w:line="300" w:lineRule="auto"/>
              <w:jc w:val="center"/>
              <w:rPr>
                <w:rFonts w:eastAsia="Calibri"/>
                <w:b/>
                <w:sz w:val="18"/>
                <w:szCs w:val="22"/>
              </w:rPr>
            </w:pPr>
            <w:r w:rsidRPr="004109BB">
              <w:rPr>
                <w:rFonts w:eastAsia="Calibri"/>
                <w:b/>
                <w:sz w:val="18"/>
                <w:szCs w:val="22"/>
              </w:rPr>
              <w:t>Area</w:t>
            </w:r>
          </w:p>
        </w:tc>
        <w:tc>
          <w:tcPr>
            <w:tcW w:w="1407" w:type="dxa"/>
            <w:tcBorders>
              <w:top w:val="single" w:sz="18" w:space="0" w:color="auto"/>
              <w:right w:val="single" w:sz="18" w:space="0" w:color="auto"/>
            </w:tcBorders>
            <w:shd w:val="clear" w:color="auto" w:fill="EDEDED"/>
          </w:tcPr>
          <w:p w14:paraId="50587768" w14:textId="77777777" w:rsidR="000E2AE7" w:rsidRPr="004109BB" w:rsidRDefault="000E2AE7" w:rsidP="004109BB">
            <w:pPr>
              <w:spacing w:line="300" w:lineRule="auto"/>
              <w:jc w:val="center"/>
              <w:rPr>
                <w:rFonts w:eastAsia="Calibri"/>
                <w:b/>
                <w:sz w:val="18"/>
                <w:szCs w:val="22"/>
              </w:rPr>
            </w:pPr>
            <w:r w:rsidRPr="004109BB">
              <w:rPr>
                <w:rFonts w:eastAsia="Calibri"/>
                <w:b/>
                <w:sz w:val="18"/>
                <w:szCs w:val="22"/>
              </w:rPr>
              <w:t>Normalization</w:t>
            </w:r>
          </w:p>
          <w:p w14:paraId="6CE99FD4" w14:textId="77777777" w:rsidR="000E2AE7" w:rsidRPr="004109BB" w:rsidRDefault="000E2AE7" w:rsidP="004109BB">
            <w:pPr>
              <w:spacing w:line="300" w:lineRule="auto"/>
              <w:jc w:val="center"/>
              <w:rPr>
                <w:rFonts w:eastAsia="Calibri"/>
                <w:b/>
                <w:sz w:val="18"/>
                <w:szCs w:val="22"/>
              </w:rPr>
            </w:pPr>
            <w:r w:rsidRPr="004109BB">
              <w:rPr>
                <w:rFonts w:eastAsia="Calibri"/>
                <w:b/>
                <w:sz w:val="18"/>
                <w:szCs w:val="22"/>
              </w:rPr>
              <w:t>Factor</w:t>
            </w:r>
          </w:p>
        </w:tc>
      </w:tr>
      <w:tr w:rsidR="000E2AE7" w14:paraId="033D7E6A" w14:textId="77777777" w:rsidTr="004109BB">
        <w:tc>
          <w:tcPr>
            <w:tcW w:w="1345" w:type="dxa"/>
            <w:tcBorders>
              <w:left w:val="single" w:sz="18" w:space="0" w:color="auto"/>
              <w:bottom w:val="single" w:sz="18" w:space="0" w:color="auto"/>
            </w:tcBorders>
            <w:shd w:val="clear" w:color="auto" w:fill="D9E2F3"/>
          </w:tcPr>
          <w:p w14:paraId="3C48569C" w14:textId="77777777" w:rsidR="000E2AE7" w:rsidRPr="004109BB" w:rsidRDefault="000E2AE7" w:rsidP="004109BB">
            <w:pPr>
              <w:spacing w:line="300" w:lineRule="auto"/>
              <w:jc w:val="center"/>
              <w:rPr>
                <w:rFonts w:eastAsia="Calibri"/>
                <w:sz w:val="22"/>
                <w:szCs w:val="22"/>
              </w:rPr>
            </w:pPr>
            <w:r w:rsidRPr="004109BB">
              <w:rPr>
                <w:rFonts w:eastAsia="Calibri"/>
                <w:sz w:val="22"/>
                <w:szCs w:val="22"/>
              </w:rPr>
              <w:t>(mm)</w:t>
            </w:r>
          </w:p>
        </w:tc>
        <w:tc>
          <w:tcPr>
            <w:tcW w:w="1350" w:type="dxa"/>
            <w:tcBorders>
              <w:bottom w:val="single" w:sz="18" w:space="0" w:color="auto"/>
            </w:tcBorders>
            <w:shd w:val="clear" w:color="auto" w:fill="auto"/>
          </w:tcPr>
          <w:p w14:paraId="3E2F6B40" w14:textId="77777777" w:rsidR="000E2AE7" w:rsidRPr="004109BB" w:rsidRDefault="000E2AE7" w:rsidP="004109BB">
            <w:pPr>
              <w:spacing w:line="300" w:lineRule="auto"/>
              <w:jc w:val="center"/>
              <w:rPr>
                <w:rFonts w:eastAsia="Calibri"/>
                <w:sz w:val="22"/>
                <w:szCs w:val="22"/>
              </w:rPr>
            </w:pPr>
            <w:r w:rsidRPr="004109BB">
              <w:rPr>
                <w:rFonts w:eastAsia="Calibri"/>
                <w:sz w:val="22"/>
                <w:szCs w:val="22"/>
              </w:rPr>
              <w:t>(mm)</w:t>
            </w:r>
          </w:p>
        </w:tc>
        <w:tc>
          <w:tcPr>
            <w:tcW w:w="1260" w:type="dxa"/>
            <w:tcBorders>
              <w:bottom w:val="single" w:sz="18" w:space="0" w:color="auto"/>
            </w:tcBorders>
            <w:shd w:val="clear" w:color="auto" w:fill="auto"/>
          </w:tcPr>
          <w:p w14:paraId="3C324227" w14:textId="77777777" w:rsidR="000E2AE7" w:rsidRPr="004109BB" w:rsidRDefault="000E2AE7" w:rsidP="004109BB">
            <w:pPr>
              <w:spacing w:line="300" w:lineRule="auto"/>
              <w:jc w:val="center"/>
              <w:rPr>
                <w:rFonts w:eastAsia="Calibri"/>
                <w:sz w:val="22"/>
                <w:szCs w:val="22"/>
              </w:rPr>
            </w:pPr>
            <w:r w:rsidRPr="004109BB">
              <w:rPr>
                <w:rFonts w:eastAsia="Calibri"/>
                <w:sz w:val="22"/>
                <w:szCs w:val="22"/>
              </w:rPr>
              <w:t>(mm)</w:t>
            </w:r>
          </w:p>
        </w:tc>
        <w:tc>
          <w:tcPr>
            <w:tcW w:w="1067" w:type="dxa"/>
            <w:tcBorders>
              <w:bottom w:val="single" w:sz="18" w:space="0" w:color="auto"/>
            </w:tcBorders>
            <w:shd w:val="clear" w:color="auto" w:fill="auto"/>
          </w:tcPr>
          <w:p w14:paraId="6F20AC14" w14:textId="77777777" w:rsidR="000E2AE7" w:rsidRPr="004109BB" w:rsidRDefault="000E2AE7" w:rsidP="004109BB">
            <w:pPr>
              <w:spacing w:line="300" w:lineRule="auto"/>
              <w:jc w:val="center"/>
              <w:rPr>
                <w:rFonts w:eastAsia="Calibri"/>
                <w:sz w:val="22"/>
                <w:szCs w:val="22"/>
              </w:rPr>
            </w:pPr>
            <w:r w:rsidRPr="004109BB">
              <w:rPr>
                <w:rFonts w:eastAsia="Calibri"/>
                <w:sz w:val="22"/>
                <w:szCs w:val="22"/>
              </w:rPr>
              <w:t>(mm</w:t>
            </w:r>
            <w:r w:rsidRPr="004109BB">
              <w:rPr>
                <w:rFonts w:eastAsia="Calibri"/>
                <w:sz w:val="22"/>
                <w:szCs w:val="22"/>
                <w:vertAlign w:val="superscript"/>
              </w:rPr>
              <w:t>2)</w:t>
            </w:r>
          </w:p>
        </w:tc>
        <w:tc>
          <w:tcPr>
            <w:tcW w:w="1407" w:type="dxa"/>
            <w:tcBorders>
              <w:bottom w:val="single" w:sz="18" w:space="0" w:color="auto"/>
              <w:right w:val="single" w:sz="18" w:space="0" w:color="auto"/>
            </w:tcBorders>
            <w:shd w:val="clear" w:color="auto" w:fill="EDEDED"/>
          </w:tcPr>
          <w:p w14:paraId="53767A45" w14:textId="77777777" w:rsidR="000E2AE7" w:rsidRPr="004109BB" w:rsidRDefault="000E2AE7" w:rsidP="004109BB">
            <w:pPr>
              <w:spacing w:line="300" w:lineRule="auto"/>
              <w:jc w:val="center"/>
              <w:rPr>
                <w:rFonts w:eastAsia="Calibri"/>
                <w:sz w:val="22"/>
                <w:szCs w:val="22"/>
              </w:rPr>
            </w:pPr>
          </w:p>
        </w:tc>
      </w:tr>
      <w:tr w:rsidR="000E2AE7" w14:paraId="7566359F" w14:textId="77777777" w:rsidTr="004109BB">
        <w:tc>
          <w:tcPr>
            <w:tcW w:w="1345" w:type="dxa"/>
            <w:tcBorders>
              <w:top w:val="single" w:sz="18" w:space="0" w:color="auto"/>
              <w:left w:val="single" w:sz="18" w:space="0" w:color="auto"/>
            </w:tcBorders>
            <w:shd w:val="clear" w:color="auto" w:fill="D9E2F3"/>
          </w:tcPr>
          <w:p w14:paraId="692757B6" w14:textId="77777777" w:rsidR="000E2AE7" w:rsidRPr="004109BB" w:rsidRDefault="000E2AE7" w:rsidP="004109BB">
            <w:pPr>
              <w:spacing w:line="300" w:lineRule="auto"/>
              <w:jc w:val="center"/>
              <w:rPr>
                <w:rFonts w:eastAsia="Calibri"/>
                <w:sz w:val="22"/>
                <w:szCs w:val="22"/>
              </w:rPr>
            </w:pPr>
            <w:r w:rsidRPr="004109BB">
              <w:rPr>
                <w:rFonts w:eastAsia="Calibri"/>
                <w:sz w:val="22"/>
                <w:szCs w:val="22"/>
              </w:rPr>
              <w:t>18</w:t>
            </w:r>
          </w:p>
        </w:tc>
        <w:tc>
          <w:tcPr>
            <w:tcW w:w="1350" w:type="dxa"/>
            <w:tcBorders>
              <w:top w:val="single" w:sz="18" w:space="0" w:color="auto"/>
            </w:tcBorders>
            <w:shd w:val="clear" w:color="auto" w:fill="auto"/>
          </w:tcPr>
          <w:p w14:paraId="255CCB98" w14:textId="454F9737" w:rsidR="000E2AE7" w:rsidRPr="004109BB" w:rsidRDefault="000E2AE7" w:rsidP="004109BB">
            <w:pPr>
              <w:spacing w:line="300" w:lineRule="auto"/>
              <w:jc w:val="center"/>
              <w:rPr>
                <w:rFonts w:eastAsia="Calibri"/>
                <w:sz w:val="22"/>
                <w:szCs w:val="22"/>
              </w:rPr>
            </w:pPr>
            <w:r w:rsidRPr="004109BB">
              <w:rPr>
                <w:rFonts w:eastAsia="Calibri"/>
                <w:sz w:val="22"/>
                <w:szCs w:val="22"/>
              </w:rPr>
              <w:t>9</w:t>
            </w:r>
            <w:r w:rsidR="00A069C2">
              <w:rPr>
                <w:rFonts w:eastAsia="Calibri"/>
                <w:sz w:val="22"/>
                <w:szCs w:val="22"/>
              </w:rPr>
              <w:t>.</w:t>
            </w:r>
            <w:r w:rsidRPr="004109BB">
              <w:rPr>
                <w:rFonts w:eastAsia="Calibri"/>
                <w:sz w:val="22"/>
                <w:szCs w:val="22"/>
              </w:rPr>
              <w:t>0</w:t>
            </w:r>
          </w:p>
        </w:tc>
        <w:tc>
          <w:tcPr>
            <w:tcW w:w="1260" w:type="dxa"/>
            <w:tcBorders>
              <w:top w:val="single" w:sz="18" w:space="0" w:color="auto"/>
            </w:tcBorders>
            <w:shd w:val="clear" w:color="auto" w:fill="auto"/>
          </w:tcPr>
          <w:p w14:paraId="73FB54F7" w14:textId="1968FCA3" w:rsidR="000E2AE7" w:rsidRPr="004109BB" w:rsidRDefault="000E2AE7" w:rsidP="004109BB">
            <w:pPr>
              <w:spacing w:line="300" w:lineRule="auto"/>
              <w:jc w:val="center"/>
              <w:rPr>
                <w:rFonts w:eastAsia="Calibri"/>
                <w:sz w:val="22"/>
                <w:szCs w:val="22"/>
              </w:rPr>
            </w:pPr>
            <w:r w:rsidRPr="004109BB">
              <w:rPr>
                <w:rFonts w:eastAsia="Calibri"/>
                <w:sz w:val="22"/>
                <w:szCs w:val="22"/>
              </w:rPr>
              <w:t>0</w:t>
            </w:r>
            <w:r w:rsidR="00A069C2">
              <w:rPr>
                <w:rFonts w:eastAsia="Calibri"/>
                <w:sz w:val="22"/>
                <w:szCs w:val="22"/>
              </w:rPr>
              <w:t>.</w:t>
            </w:r>
            <w:r w:rsidRPr="004109BB">
              <w:rPr>
                <w:rFonts w:eastAsia="Calibri"/>
                <w:sz w:val="22"/>
                <w:szCs w:val="22"/>
              </w:rPr>
              <w:t>450</w:t>
            </w:r>
          </w:p>
        </w:tc>
        <w:tc>
          <w:tcPr>
            <w:tcW w:w="1067" w:type="dxa"/>
            <w:tcBorders>
              <w:top w:val="single" w:sz="18" w:space="0" w:color="auto"/>
            </w:tcBorders>
            <w:shd w:val="clear" w:color="auto" w:fill="auto"/>
          </w:tcPr>
          <w:p w14:paraId="0BF78444" w14:textId="6BB0C304" w:rsidR="000E2AE7" w:rsidRPr="004109BB" w:rsidRDefault="000E2AE7" w:rsidP="004109BB">
            <w:pPr>
              <w:spacing w:line="300" w:lineRule="auto"/>
              <w:jc w:val="center"/>
              <w:rPr>
                <w:rFonts w:eastAsia="Calibri"/>
                <w:sz w:val="22"/>
                <w:szCs w:val="22"/>
              </w:rPr>
            </w:pPr>
            <w:r w:rsidRPr="004109BB">
              <w:rPr>
                <w:rFonts w:eastAsia="Calibri"/>
                <w:sz w:val="22"/>
                <w:szCs w:val="22"/>
              </w:rPr>
              <w:t>0</w:t>
            </w:r>
            <w:r w:rsidR="00A069C2">
              <w:rPr>
                <w:rFonts w:eastAsia="Calibri"/>
                <w:sz w:val="22"/>
                <w:szCs w:val="22"/>
              </w:rPr>
              <w:t>.</w:t>
            </w:r>
            <w:r w:rsidRPr="004109BB">
              <w:rPr>
                <w:rFonts w:eastAsia="Calibri"/>
                <w:sz w:val="22"/>
                <w:szCs w:val="22"/>
              </w:rPr>
              <w:t>636</w:t>
            </w:r>
          </w:p>
        </w:tc>
        <w:tc>
          <w:tcPr>
            <w:tcW w:w="1407" w:type="dxa"/>
            <w:tcBorders>
              <w:top w:val="single" w:sz="18" w:space="0" w:color="auto"/>
              <w:right w:val="single" w:sz="18" w:space="0" w:color="auto"/>
            </w:tcBorders>
            <w:shd w:val="clear" w:color="auto" w:fill="EDEDED"/>
          </w:tcPr>
          <w:p w14:paraId="3199D3FC" w14:textId="77366D6E" w:rsidR="000E2AE7" w:rsidRPr="004109BB" w:rsidRDefault="000E2AE7" w:rsidP="004109BB">
            <w:pPr>
              <w:spacing w:line="300" w:lineRule="auto"/>
              <w:jc w:val="center"/>
              <w:rPr>
                <w:rFonts w:eastAsia="Calibri"/>
                <w:sz w:val="22"/>
                <w:szCs w:val="22"/>
              </w:rPr>
            </w:pPr>
            <w:r w:rsidRPr="004109BB">
              <w:rPr>
                <w:rFonts w:eastAsia="Calibri"/>
                <w:sz w:val="22"/>
                <w:szCs w:val="22"/>
              </w:rPr>
              <w:t>0</w:t>
            </w:r>
            <w:r w:rsidR="00A069C2">
              <w:rPr>
                <w:rFonts w:eastAsia="Calibri"/>
                <w:sz w:val="22"/>
                <w:szCs w:val="22"/>
              </w:rPr>
              <w:t>.</w:t>
            </w:r>
            <w:r w:rsidRPr="004109BB">
              <w:rPr>
                <w:rFonts w:eastAsia="Calibri"/>
                <w:sz w:val="22"/>
                <w:szCs w:val="22"/>
              </w:rPr>
              <w:t>810</w:t>
            </w:r>
          </w:p>
        </w:tc>
      </w:tr>
      <w:tr w:rsidR="000E2AE7" w14:paraId="78C46F21" w14:textId="77777777" w:rsidTr="004109BB">
        <w:tc>
          <w:tcPr>
            <w:tcW w:w="1345" w:type="dxa"/>
            <w:tcBorders>
              <w:left w:val="single" w:sz="18" w:space="0" w:color="auto"/>
            </w:tcBorders>
            <w:shd w:val="clear" w:color="auto" w:fill="D9E2F3"/>
          </w:tcPr>
          <w:p w14:paraId="6D24151D" w14:textId="77777777" w:rsidR="000E2AE7" w:rsidRPr="004109BB" w:rsidRDefault="000E2AE7" w:rsidP="004109BB">
            <w:pPr>
              <w:spacing w:line="300" w:lineRule="auto"/>
              <w:jc w:val="center"/>
              <w:rPr>
                <w:rFonts w:eastAsia="Calibri"/>
                <w:sz w:val="22"/>
                <w:szCs w:val="22"/>
              </w:rPr>
            </w:pPr>
            <w:r w:rsidRPr="004109BB">
              <w:rPr>
                <w:rFonts w:eastAsia="Calibri"/>
                <w:sz w:val="22"/>
                <w:szCs w:val="22"/>
              </w:rPr>
              <w:t>19</w:t>
            </w:r>
          </w:p>
        </w:tc>
        <w:tc>
          <w:tcPr>
            <w:tcW w:w="1350" w:type="dxa"/>
            <w:shd w:val="clear" w:color="auto" w:fill="auto"/>
          </w:tcPr>
          <w:p w14:paraId="1C4AD939" w14:textId="7E111443" w:rsidR="000E2AE7" w:rsidRPr="004109BB" w:rsidRDefault="000E2AE7" w:rsidP="004109BB">
            <w:pPr>
              <w:spacing w:line="300" w:lineRule="auto"/>
              <w:jc w:val="center"/>
              <w:rPr>
                <w:rFonts w:eastAsia="Calibri"/>
                <w:sz w:val="22"/>
                <w:szCs w:val="22"/>
              </w:rPr>
            </w:pPr>
            <w:r w:rsidRPr="004109BB">
              <w:rPr>
                <w:rFonts w:eastAsia="Calibri"/>
                <w:sz w:val="22"/>
                <w:szCs w:val="22"/>
              </w:rPr>
              <w:t>9</w:t>
            </w:r>
            <w:r w:rsidR="00A069C2">
              <w:rPr>
                <w:rFonts w:eastAsia="Calibri"/>
                <w:sz w:val="22"/>
                <w:szCs w:val="22"/>
              </w:rPr>
              <w:t>.</w:t>
            </w:r>
            <w:r w:rsidRPr="004109BB">
              <w:rPr>
                <w:rFonts w:eastAsia="Calibri"/>
                <w:sz w:val="22"/>
                <w:szCs w:val="22"/>
              </w:rPr>
              <w:t>5</w:t>
            </w:r>
          </w:p>
        </w:tc>
        <w:tc>
          <w:tcPr>
            <w:tcW w:w="1260" w:type="dxa"/>
            <w:shd w:val="clear" w:color="auto" w:fill="auto"/>
          </w:tcPr>
          <w:p w14:paraId="7E7C1188" w14:textId="70433F8E" w:rsidR="000E2AE7" w:rsidRPr="004109BB" w:rsidRDefault="000E2AE7" w:rsidP="004109BB">
            <w:pPr>
              <w:spacing w:line="300" w:lineRule="auto"/>
              <w:jc w:val="center"/>
              <w:rPr>
                <w:rFonts w:eastAsia="Calibri"/>
                <w:sz w:val="22"/>
                <w:szCs w:val="22"/>
              </w:rPr>
            </w:pPr>
            <w:r w:rsidRPr="004109BB">
              <w:rPr>
                <w:rFonts w:eastAsia="Calibri"/>
                <w:sz w:val="22"/>
                <w:szCs w:val="22"/>
              </w:rPr>
              <w:t>0</w:t>
            </w:r>
            <w:r w:rsidR="00A069C2">
              <w:rPr>
                <w:rFonts w:eastAsia="Calibri"/>
                <w:sz w:val="22"/>
                <w:szCs w:val="22"/>
              </w:rPr>
              <w:t>.</w:t>
            </w:r>
            <w:r w:rsidRPr="004109BB">
              <w:rPr>
                <w:rFonts w:eastAsia="Calibri"/>
                <w:sz w:val="22"/>
                <w:szCs w:val="22"/>
              </w:rPr>
              <w:t>475</w:t>
            </w:r>
          </w:p>
        </w:tc>
        <w:tc>
          <w:tcPr>
            <w:tcW w:w="1067" w:type="dxa"/>
            <w:shd w:val="clear" w:color="auto" w:fill="auto"/>
          </w:tcPr>
          <w:p w14:paraId="78B98697" w14:textId="5EEA161B" w:rsidR="000E2AE7" w:rsidRPr="004109BB" w:rsidRDefault="000E2AE7" w:rsidP="004109BB">
            <w:pPr>
              <w:spacing w:line="300" w:lineRule="auto"/>
              <w:jc w:val="center"/>
              <w:rPr>
                <w:rFonts w:eastAsia="Calibri"/>
                <w:sz w:val="22"/>
                <w:szCs w:val="22"/>
              </w:rPr>
            </w:pPr>
            <w:r w:rsidRPr="004109BB">
              <w:rPr>
                <w:rFonts w:eastAsia="Calibri"/>
                <w:sz w:val="22"/>
                <w:szCs w:val="22"/>
              </w:rPr>
              <w:t>0</w:t>
            </w:r>
            <w:r w:rsidR="00A069C2">
              <w:rPr>
                <w:rFonts w:eastAsia="Calibri"/>
                <w:sz w:val="22"/>
                <w:szCs w:val="22"/>
              </w:rPr>
              <w:t>.</w:t>
            </w:r>
            <w:r w:rsidRPr="004109BB">
              <w:rPr>
                <w:rFonts w:eastAsia="Calibri"/>
                <w:sz w:val="22"/>
                <w:szCs w:val="22"/>
              </w:rPr>
              <w:t>709</w:t>
            </w:r>
          </w:p>
        </w:tc>
        <w:tc>
          <w:tcPr>
            <w:tcW w:w="1407" w:type="dxa"/>
            <w:tcBorders>
              <w:right w:val="single" w:sz="18" w:space="0" w:color="auto"/>
            </w:tcBorders>
            <w:shd w:val="clear" w:color="auto" w:fill="EDEDED"/>
          </w:tcPr>
          <w:p w14:paraId="006D3630" w14:textId="555EFCD3" w:rsidR="000E2AE7" w:rsidRPr="004109BB" w:rsidRDefault="000E2AE7" w:rsidP="004109BB">
            <w:pPr>
              <w:spacing w:line="300" w:lineRule="auto"/>
              <w:jc w:val="center"/>
              <w:rPr>
                <w:rFonts w:eastAsia="Calibri"/>
                <w:sz w:val="22"/>
                <w:szCs w:val="22"/>
              </w:rPr>
            </w:pPr>
            <w:r w:rsidRPr="004109BB">
              <w:rPr>
                <w:rFonts w:eastAsia="Calibri"/>
                <w:sz w:val="22"/>
                <w:szCs w:val="22"/>
              </w:rPr>
              <w:t>0</w:t>
            </w:r>
            <w:r w:rsidR="00A069C2">
              <w:rPr>
                <w:rFonts w:eastAsia="Calibri"/>
                <w:sz w:val="22"/>
                <w:szCs w:val="22"/>
              </w:rPr>
              <w:t>.</w:t>
            </w:r>
            <w:r w:rsidRPr="004109BB">
              <w:rPr>
                <w:rFonts w:eastAsia="Calibri"/>
                <w:sz w:val="22"/>
                <w:szCs w:val="22"/>
              </w:rPr>
              <w:t>903</w:t>
            </w:r>
          </w:p>
        </w:tc>
      </w:tr>
      <w:tr w:rsidR="000E2AE7" w14:paraId="2C4F5726" w14:textId="77777777" w:rsidTr="004109BB">
        <w:tc>
          <w:tcPr>
            <w:tcW w:w="1345" w:type="dxa"/>
            <w:tcBorders>
              <w:left w:val="single" w:sz="18" w:space="0" w:color="auto"/>
            </w:tcBorders>
            <w:shd w:val="clear" w:color="auto" w:fill="D9E2F3"/>
          </w:tcPr>
          <w:p w14:paraId="22E83ED3" w14:textId="77777777" w:rsidR="000E2AE7" w:rsidRPr="004109BB" w:rsidRDefault="000E2AE7" w:rsidP="004109BB">
            <w:pPr>
              <w:spacing w:line="300" w:lineRule="auto"/>
              <w:jc w:val="center"/>
              <w:rPr>
                <w:rFonts w:eastAsia="Calibri"/>
                <w:sz w:val="22"/>
                <w:szCs w:val="22"/>
              </w:rPr>
            </w:pPr>
            <w:r w:rsidRPr="004109BB">
              <w:rPr>
                <w:rFonts w:eastAsia="Calibri"/>
                <w:sz w:val="22"/>
                <w:szCs w:val="22"/>
              </w:rPr>
              <w:t>20</w:t>
            </w:r>
          </w:p>
        </w:tc>
        <w:tc>
          <w:tcPr>
            <w:tcW w:w="1350" w:type="dxa"/>
            <w:shd w:val="clear" w:color="auto" w:fill="auto"/>
          </w:tcPr>
          <w:p w14:paraId="42BEF101" w14:textId="3815FD86" w:rsidR="000E2AE7" w:rsidRPr="004109BB" w:rsidRDefault="000E2AE7" w:rsidP="004109BB">
            <w:pPr>
              <w:spacing w:line="300" w:lineRule="auto"/>
              <w:jc w:val="center"/>
              <w:rPr>
                <w:rFonts w:eastAsia="Calibri"/>
                <w:sz w:val="22"/>
                <w:szCs w:val="22"/>
              </w:rPr>
            </w:pPr>
            <w:r w:rsidRPr="004109BB">
              <w:rPr>
                <w:rFonts w:eastAsia="Calibri"/>
                <w:sz w:val="22"/>
                <w:szCs w:val="22"/>
              </w:rPr>
              <w:t>10</w:t>
            </w:r>
            <w:r w:rsidR="00A069C2">
              <w:rPr>
                <w:rFonts w:eastAsia="Calibri"/>
                <w:sz w:val="22"/>
                <w:szCs w:val="22"/>
              </w:rPr>
              <w:t>.</w:t>
            </w:r>
            <w:r w:rsidRPr="004109BB">
              <w:rPr>
                <w:rFonts w:eastAsia="Calibri"/>
                <w:sz w:val="22"/>
                <w:szCs w:val="22"/>
              </w:rPr>
              <w:t>0</w:t>
            </w:r>
          </w:p>
        </w:tc>
        <w:tc>
          <w:tcPr>
            <w:tcW w:w="1260" w:type="dxa"/>
            <w:shd w:val="clear" w:color="auto" w:fill="auto"/>
          </w:tcPr>
          <w:p w14:paraId="323090BA" w14:textId="3EABD379" w:rsidR="000E2AE7" w:rsidRPr="004109BB" w:rsidRDefault="000E2AE7" w:rsidP="004109BB">
            <w:pPr>
              <w:spacing w:line="300" w:lineRule="auto"/>
              <w:jc w:val="center"/>
              <w:rPr>
                <w:rFonts w:eastAsia="Calibri"/>
                <w:sz w:val="22"/>
                <w:szCs w:val="22"/>
              </w:rPr>
            </w:pPr>
            <w:r w:rsidRPr="004109BB">
              <w:rPr>
                <w:rFonts w:eastAsia="Calibri"/>
                <w:sz w:val="22"/>
                <w:szCs w:val="22"/>
              </w:rPr>
              <w:t>0</w:t>
            </w:r>
            <w:r w:rsidR="00A069C2">
              <w:rPr>
                <w:rFonts w:eastAsia="Calibri"/>
                <w:sz w:val="22"/>
                <w:szCs w:val="22"/>
              </w:rPr>
              <w:t>.</w:t>
            </w:r>
            <w:r w:rsidRPr="004109BB">
              <w:rPr>
                <w:rFonts w:eastAsia="Calibri"/>
                <w:sz w:val="22"/>
                <w:szCs w:val="22"/>
              </w:rPr>
              <w:t>500</w:t>
            </w:r>
          </w:p>
        </w:tc>
        <w:tc>
          <w:tcPr>
            <w:tcW w:w="1067" w:type="dxa"/>
            <w:shd w:val="clear" w:color="auto" w:fill="auto"/>
          </w:tcPr>
          <w:p w14:paraId="0C2CEF7D" w14:textId="60DCA1F8" w:rsidR="000E2AE7" w:rsidRPr="004109BB" w:rsidRDefault="000E2AE7" w:rsidP="004109BB">
            <w:pPr>
              <w:spacing w:line="300" w:lineRule="auto"/>
              <w:jc w:val="center"/>
              <w:rPr>
                <w:rFonts w:eastAsia="Calibri"/>
                <w:sz w:val="22"/>
                <w:szCs w:val="22"/>
              </w:rPr>
            </w:pPr>
            <w:r w:rsidRPr="004109BB">
              <w:rPr>
                <w:rFonts w:eastAsia="Calibri"/>
                <w:sz w:val="22"/>
                <w:szCs w:val="22"/>
              </w:rPr>
              <w:t>0</w:t>
            </w:r>
            <w:r w:rsidR="00A069C2">
              <w:rPr>
                <w:rFonts w:eastAsia="Calibri"/>
                <w:sz w:val="22"/>
                <w:szCs w:val="22"/>
              </w:rPr>
              <w:t>.</w:t>
            </w:r>
            <w:r w:rsidRPr="004109BB">
              <w:rPr>
                <w:rFonts w:eastAsia="Calibri"/>
                <w:sz w:val="22"/>
                <w:szCs w:val="22"/>
              </w:rPr>
              <w:t>785</w:t>
            </w:r>
          </w:p>
        </w:tc>
        <w:tc>
          <w:tcPr>
            <w:tcW w:w="1407" w:type="dxa"/>
            <w:tcBorders>
              <w:right w:val="single" w:sz="18" w:space="0" w:color="auto"/>
            </w:tcBorders>
            <w:shd w:val="clear" w:color="auto" w:fill="EDEDED"/>
          </w:tcPr>
          <w:p w14:paraId="32EC3F90" w14:textId="0B3E9F35" w:rsidR="000E2AE7" w:rsidRPr="004109BB" w:rsidRDefault="000E2AE7" w:rsidP="004109BB">
            <w:pPr>
              <w:spacing w:line="300" w:lineRule="auto"/>
              <w:jc w:val="center"/>
              <w:rPr>
                <w:rFonts w:eastAsia="Calibri"/>
                <w:sz w:val="22"/>
                <w:szCs w:val="22"/>
              </w:rPr>
            </w:pPr>
            <w:r w:rsidRPr="004109BB">
              <w:rPr>
                <w:rFonts w:eastAsia="Calibri"/>
                <w:sz w:val="22"/>
                <w:szCs w:val="22"/>
              </w:rPr>
              <w:t>1</w:t>
            </w:r>
            <w:r w:rsidR="00A069C2">
              <w:rPr>
                <w:rFonts w:eastAsia="Calibri"/>
                <w:sz w:val="22"/>
                <w:szCs w:val="22"/>
              </w:rPr>
              <w:t>.</w:t>
            </w:r>
            <w:r w:rsidRPr="004109BB">
              <w:rPr>
                <w:rFonts w:eastAsia="Calibri"/>
                <w:sz w:val="22"/>
                <w:szCs w:val="22"/>
              </w:rPr>
              <w:t>000</w:t>
            </w:r>
          </w:p>
        </w:tc>
      </w:tr>
      <w:tr w:rsidR="000E2AE7" w14:paraId="16D36B82" w14:textId="77777777" w:rsidTr="004109BB">
        <w:tc>
          <w:tcPr>
            <w:tcW w:w="1345" w:type="dxa"/>
            <w:tcBorders>
              <w:left w:val="single" w:sz="18" w:space="0" w:color="auto"/>
            </w:tcBorders>
            <w:shd w:val="clear" w:color="auto" w:fill="D9E2F3"/>
          </w:tcPr>
          <w:p w14:paraId="7ACF0C7E" w14:textId="77777777" w:rsidR="000E2AE7" w:rsidRPr="004109BB" w:rsidRDefault="000E2AE7" w:rsidP="004109BB">
            <w:pPr>
              <w:spacing w:line="300" w:lineRule="auto"/>
              <w:jc w:val="center"/>
              <w:rPr>
                <w:rFonts w:eastAsia="Calibri"/>
                <w:sz w:val="22"/>
                <w:szCs w:val="22"/>
              </w:rPr>
            </w:pPr>
            <w:r w:rsidRPr="004109BB">
              <w:rPr>
                <w:rFonts w:eastAsia="Calibri"/>
                <w:sz w:val="22"/>
                <w:szCs w:val="22"/>
              </w:rPr>
              <w:t>21</w:t>
            </w:r>
          </w:p>
        </w:tc>
        <w:tc>
          <w:tcPr>
            <w:tcW w:w="1350" w:type="dxa"/>
            <w:shd w:val="clear" w:color="auto" w:fill="auto"/>
          </w:tcPr>
          <w:p w14:paraId="741F26BF" w14:textId="7C6E6E3F" w:rsidR="000E2AE7" w:rsidRPr="004109BB" w:rsidRDefault="000E2AE7" w:rsidP="004109BB">
            <w:pPr>
              <w:spacing w:line="300" w:lineRule="auto"/>
              <w:jc w:val="center"/>
              <w:rPr>
                <w:rFonts w:eastAsia="Calibri"/>
                <w:sz w:val="22"/>
                <w:szCs w:val="22"/>
              </w:rPr>
            </w:pPr>
            <w:r w:rsidRPr="004109BB">
              <w:rPr>
                <w:rFonts w:eastAsia="Calibri"/>
                <w:sz w:val="22"/>
                <w:szCs w:val="22"/>
              </w:rPr>
              <w:t>10</w:t>
            </w:r>
            <w:r w:rsidR="00A069C2">
              <w:rPr>
                <w:rFonts w:eastAsia="Calibri"/>
                <w:sz w:val="22"/>
                <w:szCs w:val="22"/>
              </w:rPr>
              <w:t>.</w:t>
            </w:r>
            <w:r w:rsidRPr="004109BB">
              <w:rPr>
                <w:rFonts w:eastAsia="Calibri"/>
                <w:sz w:val="22"/>
                <w:szCs w:val="22"/>
              </w:rPr>
              <w:t>5</w:t>
            </w:r>
          </w:p>
        </w:tc>
        <w:tc>
          <w:tcPr>
            <w:tcW w:w="1260" w:type="dxa"/>
            <w:shd w:val="clear" w:color="auto" w:fill="auto"/>
          </w:tcPr>
          <w:p w14:paraId="6A1E59A8" w14:textId="3388575B" w:rsidR="000E2AE7" w:rsidRPr="004109BB" w:rsidRDefault="000E2AE7" w:rsidP="004109BB">
            <w:pPr>
              <w:spacing w:line="300" w:lineRule="auto"/>
              <w:jc w:val="center"/>
              <w:rPr>
                <w:rFonts w:eastAsia="Calibri"/>
                <w:sz w:val="22"/>
                <w:szCs w:val="22"/>
              </w:rPr>
            </w:pPr>
            <w:r w:rsidRPr="004109BB">
              <w:rPr>
                <w:rFonts w:eastAsia="Calibri"/>
                <w:sz w:val="22"/>
                <w:szCs w:val="22"/>
              </w:rPr>
              <w:t>0</w:t>
            </w:r>
            <w:r w:rsidR="00A069C2">
              <w:rPr>
                <w:rFonts w:eastAsia="Calibri"/>
                <w:sz w:val="22"/>
                <w:szCs w:val="22"/>
              </w:rPr>
              <w:t>.</w:t>
            </w:r>
            <w:r w:rsidRPr="004109BB">
              <w:rPr>
                <w:rFonts w:eastAsia="Calibri"/>
                <w:sz w:val="22"/>
                <w:szCs w:val="22"/>
              </w:rPr>
              <w:t>525</w:t>
            </w:r>
          </w:p>
        </w:tc>
        <w:tc>
          <w:tcPr>
            <w:tcW w:w="1067" w:type="dxa"/>
            <w:shd w:val="clear" w:color="auto" w:fill="auto"/>
          </w:tcPr>
          <w:p w14:paraId="29626E01" w14:textId="108C0A44" w:rsidR="000E2AE7" w:rsidRPr="004109BB" w:rsidRDefault="000E2AE7" w:rsidP="004109BB">
            <w:pPr>
              <w:spacing w:line="300" w:lineRule="auto"/>
              <w:jc w:val="center"/>
              <w:rPr>
                <w:rFonts w:eastAsia="Calibri"/>
                <w:sz w:val="22"/>
                <w:szCs w:val="22"/>
              </w:rPr>
            </w:pPr>
            <w:r w:rsidRPr="004109BB">
              <w:rPr>
                <w:rFonts w:eastAsia="Calibri"/>
                <w:sz w:val="22"/>
                <w:szCs w:val="22"/>
              </w:rPr>
              <w:t>0</w:t>
            </w:r>
            <w:r w:rsidR="00A069C2">
              <w:rPr>
                <w:rFonts w:eastAsia="Calibri"/>
                <w:sz w:val="22"/>
                <w:szCs w:val="22"/>
              </w:rPr>
              <w:t>.</w:t>
            </w:r>
            <w:r w:rsidRPr="004109BB">
              <w:rPr>
                <w:rFonts w:eastAsia="Calibri"/>
                <w:sz w:val="22"/>
                <w:szCs w:val="22"/>
              </w:rPr>
              <w:t>866</w:t>
            </w:r>
          </w:p>
        </w:tc>
        <w:tc>
          <w:tcPr>
            <w:tcW w:w="1407" w:type="dxa"/>
            <w:tcBorders>
              <w:right w:val="single" w:sz="18" w:space="0" w:color="auto"/>
            </w:tcBorders>
            <w:shd w:val="clear" w:color="auto" w:fill="EDEDED"/>
          </w:tcPr>
          <w:p w14:paraId="4022EC63" w14:textId="67727BC3" w:rsidR="000E2AE7" w:rsidRPr="004109BB" w:rsidRDefault="000E2AE7" w:rsidP="004109BB">
            <w:pPr>
              <w:spacing w:line="300" w:lineRule="auto"/>
              <w:jc w:val="center"/>
              <w:rPr>
                <w:rFonts w:eastAsia="Calibri"/>
                <w:sz w:val="22"/>
                <w:szCs w:val="22"/>
              </w:rPr>
            </w:pPr>
            <w:r w:rsidRPr="004109BB">
              <w:rPr>
                <w:rFonts w:eastAsia="Calibri"/>
                <w:sz w:val="22"/>
                <w:szCs w:val="22"/>
              </w:rPr>
              <w:t>1</w:t>
            </w:r>
            <w:r w:rsidR="00A069C2">
              <w:rPr>
                <w:rFonts w:eastAsia="Calibri"/>
                <w:sz w:val="22"/>
                <w:szCs w:val="22"/>
              </w:rPr>
              <w:t>.</w:t>
            </w:r>
            <w:r w:rsidRPr="004109BB">
              <w:rPr>
                <w:rFonts w:eastAsia="Calibri"/>
                <w:sz w:val="22"/>
                <w:szCs w:val="22"/>
              </w:rPr>
              <w:t>103</w:t>
            </w:r>
          </w:p>
        </w:tc>
      </w:tr>
      <w:tr w:rsidR="000E2AE7" w14:paraId="6BC2EEBE" w14:textId="77777777" w:rsidTr="004109BB">
        <w:tc>
          <w:tcPr>
            <w:tcW w:w="1345" w:type="dxa"/>
            <w:tcBorders>
              <w:left w:val="single" w:sz="18" w:space="0" w:color="auto"/>
            </w:tcBorders>
            <w:shd w:val="clear" w:color="auto" w:fill="D9E2F3"/>
          </w:tcPr>
          <w:p w14:paraId="47D01006" w14:textId="77777777" w:rsidR="000E2AE7" w:rsidRPr="004109BB" w:rsidRDefault="000E2AE7" w:rsidP="004109BB">
            <w:pPr>
              <w:spacing w:line="300" w:lineRule="auto"/>
              <w:jc w:val="center"/>
              <w:rPr>
                <w:rFonts w:eastAsia="Calibri"/>
                <w:sz w:val="22"/>
                <w:szCs w:val="22"/>
              </w:rPr>
            </w:pPr>
            <w:r w:rsidRPr="004109BB">
              <w:rPr>
                <w:rFonts w:eastAsia="Calibri"/>
                <w:sz w:val="22"/>
                <w:szCs w:val="22"/>
              </w:rPr>
              <w:t>22</w:t>
            </w:r>
          </w:p>
        </w:tc>
        <w:tc>
          <w:tcPr>
            <w:tcW w:w="1350" w:type="dxa"/>
            <w:shd w:val="clear" w:color="auto" w:fill="auto"/>
          </w:tcPr>
          <w:p w14:paraId="1403A00E" w14:textId="2E02D65C" w:rsidR="000E2AE7" w:rsidRPr="004109BB" w:rsidRDefault="000E2AE7" w:rsidP="004109BB">
            <w:pPr>
              <w:spacing w:line="300" w:lineRule="auto"/>
              <w:jc w:val="center"/>
              <w:rPr>
                <w:rFonts w:eastAsia="Calibri"/>
                <w:sz w:val="22"/>
                <w:szCs w:val="22"/>
              </w:rPr>
            </w:pPr>
            <w:r w:rsidRPr="004109BB">
              <w:rPr>
                <w:rFonts w:eastAsia="Calibri"/>
                <w:sz w:val="22"/>
                <w:szCs w:val="22"/>
              </w:rPr>
              <w:t>11</w:t>
            </w:r>
            <w:r w:rsidR="00A069C2">
              <w:rPr>
                <w:rFonts w:eastAsia="Calibri"/>
                <w:sz w:val="22"/>
                <w:szCs w:val="22"/>
              </w:rPr>
              <w:t>.</w:t>
            </w:r>
            <w:r w:rsidRPr="004109BB">
              <w:rPr>
                <w:rFonts w:eastAsia="Calibri"/>
                <w:sz w:val="22"/>
                <w:szCs w:val="22"/>
              </w:rPr>
              <w:t>0</w:t>
            </w:r>
          </w:p>
        </w:tc>
        <w:tc>
          <w:tcPr>
            <w:tcW w:w="1260" w:type="dxa"/>
            <w:shd w:val="clear" w:color="auto" w:fill="auto"/>
          </w:tcPr>
          <w:p w14:paraId="6A2005CF" w14:textId="3DE65E30" w:rsidR="000E2AE7" w:rsidRPr="004109BB" w:rsidRDefault="000E2AE7" w:rsidP="004109BB">
            <w:pPr>
              <w:spacing w:line="300" w:lineRule="auto"/>
              <w:jc w:val="center"/>
              <w:rPr>
                <w:rFonts w:eastAsia="Calibri"/>
                <w:sz w:val="22"/>
                <w:szCs w:val="22"/>
              </w:rPr>
            </w:pPr>
            <w:r w:rsidRPr="004109BB">
              <w:rPr>
                <w:rFonts w:eastAsia="Calibri"/>
                <w:sz w:val="22"/>
                <w:szCs w:val="22"/>
              </w:rPr>
              <w:t>0</w:t>
            </w:r>
            <w:r w:rsidR="00A069C2">
              <w:rPr>
                <w:rFonts w:eastAsia="Calibri"/>
                <w:sz w:val="22"/>
                <w:szCs w:val="22"/>
              </w:rPr>
              <w:t>.</w:t>
            </w:r>
            <w:r w:rsidRPr="004109BB">
              <w:rPr>
                <w:rFonts w:eastAsia="Calibri"/>
                <w:sz w:val="22"/>
                <w:szCs w:val="22"/>
              </w:rPr>
              <w:t>550</w:t>
            </w:r>
          </w:p>
        </w:tc>
        <w:tc>
          <w:tcPr>
            <w:tcW w:w="1067" w:type="dxa"/>
            <w:shd w:val="clear" w:color="auto" w:fill="auto"/>
          </w:tcPr>
          <w:p w14:paraId="698BD666" w14:textId="49B83E50" w:rsidR="000E2AE7" w:rsidRPr="004109BB" w:rsidRDefault="000E2AE7" w:rsidP="004109BB">
            <w:pPr>
              <w:spacing w:line="300" w:lineRule="auto"/>
              <w:jc w:val="center"/>
              <w:rPr>
                <w:rFonts w:eastAsia="Calibri"/>
                <w:sz w:val="22"/>
                <w:szCs w:val="22"/>
              </w:rPr>
            </w:pPr>
            <w:r w:rsidRPr="004109BB">
              <w:rPr>
                <w:rFonts w:eastAsia="Calibri"/>
                <w:sz w:val="22"/>
                <w:szCs w:val="22"/>
              </w:rPr>
              <w:t>0</w:t>
            </w:r>
            <w:r w:rsidR="00A069C2">
              <w:rPr>
                <w:rFonts w:eastAsia="Calibri"/>
                <w:sz w:val="22"/>
                <w:szCs w:val="22"/>
              </w:rPr>
              <w:t>.</w:t>
            </w:r>
            <w:r w:rsidRPr="004109BB">
              <w:rPr>
                <w:rFonts w:eastAsia="Calibri"/>
                <w:sz w:val="22"/>
                <w:szCs w:val="22"/>
              </w:rPr>
              <w:t>950</w:t>
            </w:r>
          </w:p>
        </w:tc>
        <w:tc>
          <w:tcPr>
            <w:tcW w:w="1407" w:type="dxa"/>
            <w:tcBorders>
              <w:right w:val="single" w:sz="18" w:space="0" w:color="auto"/>
            </w:tcBorders>
            <w:shd w:val="clear" w:color="auto" w:fill="EDEDED"/>
          </w:tcPr>
          <w:p w14:paraId="34ACFF17" w14:textId="3C3B6BF6" w:rsidR="000E2AE7" w:rsidRPr="004109BB" w:rsidRDefault="000E2AE7" w:rsidP="004109BB">
            <w:pPr>
              <w:spacing w:line="300" w:lineRule="auto"/>
              <w:jc w:val="center"/>
              <w:rPr>
                <w:rFonts w:eastAsia="Calibri"/>
                <w:sz w:val="22"/>
                <w:szCs w:val="22"/>
              </w:rPr>
            </w:pPr>
            <w:r w:rsidRPr="004109BB">
              <w:rPr>
                <w:rFonts w:eastAsia="Calibri"/>
                <w:sz w:val="22"/>
                <w:szCs w:val="22"/>
              </w:rPr>
              <w:t>1</w:t>
            </w:r>
            <w:r w:rsidR="00A069C2">
              <w:rPr>
                <w:rFonts w:eastAsia="Calibri"/>
                <w:sz w:val="22"/>
                <w:szCs w:val="22"/>
              </w:rPr>
              <w:t>.</w:t>
            </w:r>
            <w:r w:rsidRPr="004109BB">
              <w:rPr>
                <w:rFonts w:eastAsia="Calibri"/>
                <w:sz w:val="22"/>
                <w:szCs w:val="22"/>
              </w:rPr>
              <w:t>210</w:t>
            </w:r>
          </w:p>
        </w:tc>
      </w:tr>
      <w:tr w:rsidR="000E2AE7" w14:paraId="4EB28333" w14:textId="77777777" w:rsidTr="004109BB">
        <w:tc>
          <w:tcPr>
            <w:tcW w:w="1345" w:type="dxa"/>
            <w:tcBorders>
              <w:left w:val="single" w:sz="18" w:space="0" w:color="auto"/>
            </w:tcBorders>
            <w:shd w:val="clear" w:color="auto" w:fill="D9E2F3"/>
          </w:tcPr>
          <w:p w14:paraId="304DE39D" w14:textId="77777777" w:rsidR="000E2AE7" w:rsidRPr="004109BB" w:rsidRDefault="000E2AE7" w:rsidP="004109BB">
            <w:pPr>
              <w:spacing w:line="300" w:lineRule="auto"/>
              <w:jc w:val="center"/>
              <w:rPr>
                <w:rFonts w:eastAsia="Calibri"/>
                <w:sz w:val="22"/>
                <w:szCs w:val="22"/>
              </w:rPr>
            </w:pPr>
            <w:r w:rsidRPr="004109BB">
              <w:rPr>
                <w:rFonts w:eastAsia="Calibri"/>
                <w:sz w:val="22"/>
                <w:szCs w:val="22"/>
              </w:rPr>
              <w:t>23</w:t>
            </w:r>
          </w:p>
        </w:tc>
        <w:tc>
          <w:tcPr>
            <w:tcW w:w="1350" w:type="dxa"/>
            <w:shd w:val="clear" w:color="auto" w:fill="auto"/>
          </w:tcPr>
          <w:p w14:paraId="3721C9CA" w14:textId="4EA9A198" w:rsidR="000E2AE7" w:rsidRPr="004109BB" w:rsidRDefault="000E2AE7" w:rsidP="004109BB">
            <w:pPr>
              <w:spacing w:line="300" w:lineRule="auto"/>
              <w:jc w:val="center"/>
              <w:rPr>
                <w:rFonts w:eastAsia="Calibri"/>
                <w:sz w:val="22"/>
                <w:szCs w:val="22"/>
              </w:rPr>
            </w:pPr>
            <w:r w:rsidRPr="004109BB">
              <w:rPr>
                <w:rFonts w:eastAsia="Calibri"/>
                <w:sz w:val="22"/>
                <w:szCs w:val="22"/>
              </w:rPr>
              <w:t>11</w:t>
            </w:r>
            <w:r w:rsidR="00A069C2">
              <w:rPr>
                <w:rFonts w:eastAsia="Calibri"/>
                <w:sz w:val="22"/>
                <w:szCs w:val="22"/>
              </w:rPr>
              <w:t>.</w:t>
            </w:r>
            <w:r w:rsidRPr="004109BB">
              <w:rPr>
                <w:rFonts w:eastAsia="Calibri"/>
                <w:sz w:val="22"/>
                <w:szCs w:val="22"/>
              </w:rPr>
              <w:t>5</w:t>
            </w:r>
          </w:p>
        </w:tc>
        <w:tc>
          <w:tcPr>
            <w:tcW w:w="1260" w:type="dxa"/>
            <w:shd w:val="clear" w:color="auto" w:fill="auto"/>
          </w:tcPr>
          <w:p w14:paraId="2647165D" w14:textId="5CA92D44" w:rsidR="000E2AE7" w:rsidRPr="004109BB" w:rsidRDefault="000E2AE7" w:rsidP="004109BB">
            <w:pPr>
              <w:spacing w:line="300" w:lineRule="auto"/>
              <w:jc w:val="center"/>
              <w:rPr>
                <w:rFonts w:eastAsia="Calibri"/>
                <w:sz w:val="22"/>
                <w:szCs w:val="22"/>
              </w:rPr>
            </w:pPr>
            <w:r w:rsidRPr="004109BB">
              <w:rPr>
                <w:rFonts w:eastAsia="Calibri"/>
                <w:sz w:val="22"/>
                <w:szCs w:val="22"/>
              </w:rPr>
              <w:t>0</w:t>
            </w:r>
            <w:r w:rsidR="00A069C2">
              <w:rPr>
                <w:rFonts w:eastAsia="Calibri"/>
                <w:sz w:val="22"/>
                <w:szCs w:val="22"/>
              </w:rPr>
              <w:t>.</w:t>
            </w:r>
            <w:r w:rsidRPr="004109BB">
              <w:rPr>
                <w:rFonts w:eastAsia="Calibri"/>
                <w:sz w:val="22"/>
                <w:szCs w:val="22"/>
              </w:rPr>
              <w:t>575</w:t>
            </w:r>
          </w:p>
        </w:tc>
        <w:tc>
          <w:tcPr>
            <w:tcW w:w="1067" w:type="dxa"/>
            <w:shd w:val="clear" w:color="auto" w:fill="auto"/>
          </w:tcPr>
          <w:p w14:paraId="1031A84F" w14:textId="613A7CDE" w:rsidR="000E2AE7" w:rsidRPr="004109BB" w:rsidRDefault="000E2AE7" w:rsidP="004109BB">
            <w:pPr>
              <w:spacing w:line="300" w:lineRule="auto"/>
              <w:jc w:val="center"/>
              <w:rPr>
                <w:rFonts w:eastAsia="Calibri"/>
                <w:sz w:val="22"/>
                <w:szCs w:val="22"/>
              </w:rPr>
            </w:pPr>
            <w:r w:rsidRPr="004109BB">
              <w:rPr>
                <w:rFonts w:eastAsia="Calibri"/>
                <w:sz w:val="22"/>
                <w:szCs w:val="22"/>
              </w:rPr>
              <w:t>1</w:t>
            </w:r>
            <w:r w:rsidR="00A069C2">
              <w:rPr>
                <w:rFonts w:eastAsia="Calibri"/>
                <w:sz w:val="22"/>
                <w:szCs w:val="22"/>
              </w:rPr>
              <w:t>.</w:t>
            </w:r>
            <w:r w:rsidRPr="004109BB">
              <w:rPr>
                <w:rFonts w:eastAsia="Calibri"/>
                <w:sz w:val="22"/>
                <w:szCs w:val="22"/>
              </w:rPr>
              <w:t>039</w:t>
            </w:r>
          </w:p>
        </w:tc>
        <w:tc>
          <w:tcPr>
            <w:tcW w:w="1407" w:type="dxa"/>
            <w:tcBorders>
              <w:right w:val="single" w:sz="18" w:space="0" w:color="auto"/>
            </w:tcBorders>
            <w:shd w:val="clear" w:color="auto" w:fill="EDEDED"/>
          </w:tcPr>
          <w:p w14:paraId="5C128CDB" w14:textId="1BD53175" w:rsidR="000E2AE7" w:rsidRPr="004109BB" w:rsidRDefault="000E2AE7" w:rsidP="004109BB">
            <w:pPr>
              <w:spacing w:line="300" w:lineRule="auto"/>
              <w:jc w:val="center"/>
              <w:rPr>
                <w:rFonts w:eastAsia="Calibri"/>
                <w:sz w:val="22"/>
                <w:szCs w:val="22"/>
              </w:rPr>
            </w:pPr>
            <w:r w:rsidRPr="004109BB">
              <w:rPr>
                <w:rFonts w:eastAsia="Calibri"/>
                <w:sz w:val="22"/>
                <w:szCs w:val="22"/>
              </w:rPr>
              <w:t>1</w:t>
            </w:r>
            <w:r w:rsidR="00A069C2">
              <w:rPr>
                <w:rFonts w:eastAsia="Calibri"/>
                <w:sz w:val="22"/>
                <w:szCs w:val="22"/>
              </w:rPr>
              <w:t>.</w:t>
            </w:r>
            <w:r w:rsidRPr="004109BB">
              <w:rPr>
                <w:rFonts w:eastAsia="Calibri"/>
                <w:sz w:val="22"/>
                <w:szCs w:val="22"/>
              </w:rPr>
              <w:t>323</w:t>
            </w:r>
          </w:p>
        </w:tc>
      </w:tr>
      <w:tr w:rsidR="000E2AE7" w14:paraId="1CB92FA3" w14:textId="77777777" w:rsidTr="004109BB">
        <w:tc>
          <w:tcPr>
            <w:tcW w:w="1345" w:type="dxa"/>
            <w:tcBorders>
              <w:left w:val="single" w:sz="18" w:space="0" w:color="auto"/>
            </w:tcBorders>
            <w:shd w:val="clear" w:color="auto" w:fill="D9E2F3"/>
          </w:tcPr>
          <w:p w14:paraId="31602CF8" w14:textId="77777777" w:rsidR="000E2AE7" w:rsidRPr="004109BB" w:rsidRDefault="000E2AE7" w:rsidP="004109BB">
            <w:pPr>
              <w:spacing w:line="300" w:lineRule="auto"/>
              <w:jc w:val="center"/>
              <w:rPr>
                <w:rFonts w:eastAsia="Calibri"/>
                <w:sz w:val="22"/>
                <w:szCs w:val="22"/>
              </w:rPr>
            </w:pPr>
            <w:r w:rsidRPr="004109BB">
              <w:rPr>
                <w:rFonts w:eastAsia="Calibri"/>
                <w:sz w:val="22"/>
                <w:szCs w:val="22"/>
              </w:rPr>
              <w:t>24</w:t>
            </w:r>
          </w:p>
        </w:tc>
        <w:tc>
          <w:tcPr>
            <w:tcW w:w="1350" w:type="dxa"/>
            <w:shd w:val="clear" w:color="auto" w:fill="auto"/>
          </w:tcPr>
          <w:p w14:paraId="51AA0015" w14:textId="5CD7230E" w:rsidR="000E2AE7" w:rsidRPr="004109BB" w:rsidRDefault="000E2AE7" w:rsidP="004109BB">
            <w:pPr>
              <w:spacing w:line="300" w:lineRule="auto"/>
              <w:jc w:val="center"/>
              <w:rPr>
                <w:rFonts w:eastAsia="Calibri"/>
                <w:sz w:val="22"/>
                <w:szCs w:val="22"/>
              </w:rPr>
            </w:pPr>
            <w:r w:rsidRPr="004109BB">
              <w:rPr>
                <w:rFonts w:eastAsia="Calibri"/>
                <w:sz w:val="22"/>
                <w:szCs w:val="22"/>
              </w:rPr>
              <w:t>12</w:t>
            </w:r>
            <w:r w:rsidR="00A069C2">
              <w:rPr>
                <w:rFonts w:eastAsia="Calibri"/>
                <w:sz w:val="22"/>
                <w:szCs w:val="22"/>
              </w:rPr>
              <w:t>.</w:t>
            </w:r>
            <w:r w:rsidRPr="004109BB">
              <w:rPr>
                <w:rFonts w:eastAsia="Calibri"/>
                <w:sz w:val="22"/>
                <w:szCs w:val="22"/>
              </w:rPr>
              <w:t>0</w:t>
            </w:r>
          </w:p>
        </w:tc>
        <w:tc>
          <w:tcPr>
            <w:tcW w:w="1260" w:type="dxa"/>
            <w:shd w:val="clear" w:color="auto" w:fill="auto"/>
          </w:tcPr>
          <w:p w14:paraId="01D2053E" w14:textId="4468A9DA" w:rsidR="000E2AE7" w:rsidRPr="004109BB" w:rsidRDefault="000E2AE7" w:rsidP="004109BB">
            <w:pPr>
              <w:spacing w:line="300" w:lineRule="auto"/>
              <w:jc w:val="center"/>
              <w:rPr>
                <w:rFonts w:eastAsia="Calibri"/>
                <w:sz w:val="22"/>
                <w:szCs w:val="22"/>
              </w:rPr>
            </w:pPr>
            <w:r w:rsidRPr="004109BB">
              <w:rPr>
                <w:rFonts w:eastAsia="Calibri"/>
                <w:sz w:val="22"/>
                <w:szCs w:val="22"/>
              </w:rPr>
              <w:t>0</w:t>
            </w:r>
            <w:r w:rsidR="00A069C2">
              <w:rPr>
                <w:rFonts w:eastAsia="Calibri"/>
                <w:sz w:val="22"/>
                <w:szCs w:val="22"/>
              </w:rPr>
              <w:t>.</w:t>
            </w:r>
            <w:r w:rsidRPr="004109BB">
              <w:rPr>
                <w:rFonts w:eastAsia="Calibri"/>
                <w:sz w:val="22"/>
                <w:szCs w:val="22"/>
              </w:rPr>
              <w:t>600</w:t>
            </w:r>
          </w:p>
        </w:tc>
        <w:tc>
          <w:tcPr>
            <w:tcW w:w="1067" w:type="dxa"/>
            <w:shd w:val="clear" w:color="auto" w:fill="auto"/>
          </w:tcPr>
          <w:p w14:paraId="711FC64E" w14:textId="7E48DAE5" w:rsidR="000E2AE7" w:rsidRPr="004109BB" w:rsidRDefault="000E2AE7" w:rsidP="004109BB">
            <w:pPr>
              <w:spacing w:line="300" w:lineRule="auto"/>
              <w:jc w:val="center"/>
              <w:rPr>
                <w:rFonts w:eastAsia="Calibri"/>
                <w:sz w:val="22"/>
                <w:szCs w:val="22"/>
              </w:rPr>
            </w:pPr>
            <w:r w:rsidRPr="004109BB">
              <w:rPr>
                <w:rFonts w:eastAsia="Calibri"/>
                <w:sz w:val="22"/>
                <w:szCs w:val="22"/>
              </w:rPr>
              <w:t>1</w:t>
            </w:r>
            <w:r w:rsidR="00A069C2">
              <w:rPr>
                <w:rFonts w:eastAsia="Calibri"/>
                <w:sz w:val="22"/>
                <w:szCs w:val="22"/>
              </w:rPr>
              <w:t>.</w:t>
            </w:r>
            <w:r w:rsidRPr="004109BB">
              <w:rPr>
                <w:rFonts w:eastAsia="Calibri"/>
                <w:sz w:val="22"/>
                <w:szCs w:val="22"/>
              </w:rPr>
              <w:t>131</w:t>
            </w:r>
          </w:p>
        </w:tc>
        <w:tc>
          <w:tcPr>
            <w:tcW w:w="1407" w:type="dxa"/>
            <w:tcBorders>
              <w:right w:val="single" w:sz="18" w:space="0" w:color="auto"/>
            </w:tcBorders>
            <w:shd w:val="clear" w:color="auto" w:fill="EDEDED"/>
          </w:tcPr>
          <w:p w14:paraId="6B0793AC" w14:textId="4C028711" w:rsidR="000E2AE7" w:rsidRPr="004109BB" w:rsidRDefault="000E2AE7" w:rsidP="004109BB">
            <w:pPr>
              <w:spacing w:line="300" w:lineRule="auto"/>
              <w:jc w:val="center"/>
              <w:rPr>
                <w:rFonts w:eastAsia="Calibri"/>
                <w:sz w:val="22"/>
                <w:szCs w:val="22"/>
              </w:rPr>
            </w:pPr>
            <w:r w:rsidRPr="004109BB">
              <w:rPr>
                <w:rFonts w:eastAsia="Calibri"/>
                <w:sz w:val="22"/>
                <w:szCs w:val="22"/>
              </w:rPr>
              <w:t>1</w:t>
            </w:r>
            <w:r w:rsidR="00A069C2">
              <w:rPr>
                <w:rFonts w:eastAsia="Calibri"/>
                <w:sz w:val="22"/>
                <w:szCs w:val="22"/>
              </w:rPr>
              <w:t>.</w:t>
            </w:r>
            <w:r w:rsidRPr="004109BB">
              <w:rPr>
                <w:rFonts w:eastAsia="Calibri"/>
                <w:sz w:val="22"/>
                <w:szCs w:val="22"/>
              </w:rPr>
              <w:t>440</w:t>
            </w:r>
          </w:p>
        </w:tc>
      </w:tr>
      <w:tr w:rsidR="000E2AE7" w14:paraId="33F9455B" w14:textId="77777777" w:rsidTr="004109BB">
        <w:tc>
          <w:tcPr>
            <w:tcW w:w="1345" w:type="dxa"/>
            <w:tcBorders>
              <w:left w:val="single" w:sz="18" w:space="0" w:color="auto"/>
            </w:tcBorders>
            <w:shd w:val="clear" w:color="auto" w:fill="D9E2F3"/>
          </w:tcPr>
          <w:p w14:paraId="07654753" w14:textId="77777777" w:rsidR="000E2AE7" w:rsidRPr="004109BB" w:rsidRDefault="000E2AE7" w:rsidP="004109BB">
            <w:pPr>
              <w:spacing w:line="300" w:lineRule="auto"/>
              <w:jc w:val="center"/>
              <w:rPr>
                <w:rFonts w:eastAsia="Calibri"/>
                <w:sz w:val="22"/>
                <w:szCs w:val="22"/>
              </w:rPr>
            </w:pPr>
            <w:r w:rsidRPr="004109BB">
              <w:rPr>
                <w:rFonts w:eastAsia="Calibri"/>
                <w:sz w:val="22"/>
                <w:szCs w:val="22"/>
              </w:rPr>
              <w:t>25</w:t>
            </w:r>
          </w:p>
        </w:tc>
        <w:tc>
          <w:tcPr>
            <w:tcW w:w="1350" w:type="dxa"/>
            <w:shd w:val="clear" w:color="auto" w:fill="auto"/>
          </w:tcPr>
          <w:p w14:paraId="536DFD17" w14:textId="18046507" w:rsidR="000E2AE7" w:rsidRPr="004109BB" w:rsidRDefault="000E2AE7" w:rsidP="004109BB">
            <w:pPr>
              <w:spacing w:line="300" w:lineRule="auto"/>
              <w:jc w:val="center"/>
              <w:rPr>
                <w:rFonts w:eastAsia="Calibri"/>
                <w:sz w:val="22"/>
                <w:szCs w:val="22"/>
              </w:rPr>
            </w:pPr>
            <w:r w:rsidRPr="004109BB">
              <w:rPr>
                <w:rFonts w:eastAsia="Calibri"/>
                <w:sz w:val="22"/>
                <w:szCs w:val="22"/>
              </w:rPr>
              <w:t>12</w:t>
            </w:r>
            <w:r w:rsidR="00A069C2">
              <w:rPr>
                <w:rFonts w:eastAsia="Calibri"/>
                <w:sz w:val="22"/>
                <w:szCs w:val="22"/>
              </w:rPr>
              <w:t>.</w:t>
            </w:r>
            <w:r w:rsidRPr="004109BB">
              <w:rPr>
                <w:rFonts w:eastAsia="Calibri"/>
                <w:sz w:val="22"/>
                <w:szCs w:val="22"/>
              </w:rPr>
              <w:t>5</w:t>
            </w:r>
          </w:p>
        </w:tc>
        <w:tc>
          <w:tcPr>
            <w:tcW w:w="1260" w:type="dxa"/>
            <w:shd w:val="clear" w:color="auto" w:fill="auto"/>
          </w:tcPr>
          <w:p w14:paraId="3D932F33" w14:textId="7BA48CD0" w:rsidR="000E2AE7" w:rsidRPr="004109BB" w:rsidRDefault="000E2AE7" w:rsidP="004109BB">
            <w:pPr>
              <w:spacing w:line="300" w:lineRule="auto"/>
              <w:jc w:val="center"/>
              <w:rPr>
                <w:rFonts w:eastAsia="Calibri"/>
                <w:sz w:val="22"/>
                <w:szCs w:val="22"/>
              </w:rPr>
            </w:pPr>
            <w:r w:rsidRPr="004109BB">
              <w:rPr>
                <w:rFonts w:eastAsia="Calibri"/>
                <w:sz w:val="22"/>
                <w:szCs w:val="22"/>
              </w:rPr>
              <w:t>0</w:t>
            </w:r>
            <w:r w:rsidR="00A069C2">
              <w:rPr>
                <w:rFonts w:eastAsia="Calibri"/>
                <w:sz w:val="22"/>
                <w:szCs w:val="22"/>
              </w:rPr>
              <w:t>.</w:t>
            </w:r>
            <w:r w:rsidRPr="004109BB">
              <w:rPr>
                <w:rFonts w:eastAsia="Calibri"/>
                <w:sz w:val="22"/>
                <w:szCs w:val="22"/>
              </w:rPr>
              <w:t>625</w:t>
            </w:r>
          </w:p>
        </w:tc>
        <w:tc>
          <w:tcPr>
            <w:tcW w:w="1067" w:type="dxa"/>
            <w:shd w:val="clear" w:color="auto" w:fill="auto"/>
          </w:tcPr>
          <w:p w14:paraId="52869B2E" w14:textId="72BB0E81" w:rsidR="000E2AE7" w:rsidRPr="004109BB" w:rsidRDefault="000E2AE7" w:rsidP="004109BB">
            <w:pPr>
              <w:spacing w:line="300" w:lineRule="auto"/>
              <w:jc w:val="center"/>
              <w:rPr>
                <w:rFonts w:eastAsia="Calibri"/>
                <w:sz w:val="22"/>
                <w:szCs w:val="22"/>
              </w:rPr>
            </w:pPr>
            <w:r w:rsidRPr="004109BB">
              <w:rPr>
                <w:rFonts w:eastAsia="Calibri"/>
                <w:sz w:val="22"/>
                <w:szCs w:val="22"/>
              </w:rPr>
              <w:t>1</w:t>
            </w:r>
            <w:r w:rsidR="00A069C2">
              <w:rPr>
                <w:rFonts w:eastAsia="Calibri"/>
                <w:sz w:val="22"/>
                <w:szCs w:val="22"/>
              </w:rPr>
              <w:t>.</w:t>
            </w:r>
            <w:r w:rsidRPr="004109BB">
              <w:rPr>
                <w:rFonts w:eastAsia="Calibri"/>
                <w:sz w:val="22"/>
                <w:szCs w:val="22"/>
              </w:rPr>
              <w:t>227</w:t>
            </w:r>
          </w:p>
        </w:tc>
        <w:tc>
          <w:tcPr>
            <w:tcW w:w="1407" w:type="dxa"/>
            <w:tcBorders>
              <w:right w:val="single" w:sz="18" w:space="0" w:color="auto"/>
            </w:tcBorders>
            <w:shd w:val="clear" w:color="auto" w:fill="EDEDED"/>
          </w:tcPr>
          <w:p w14:paraId="10FC23E2" w14:textId="0D287050" w:rsidR="000E2AE7" w:rsidRPr="004109BB" w:rsidRDefault="000E2AE7" w:rsidP="004109BB">
            <w:pPr>
              <w:spacing w:line="300" w:lineRule="auto"/>
              <w:jc w:val="center"/>
              <w:rPr>
                <w:rFonts w:eastAsia="Calibri"/>
                <w:sz w:val="22"/>
                <w:szCs w:val="22"/>
              </w:rPr>
            </w:pPr>
            <w:r w:rsidRPr="004109BB">
              <w:rPr>
                <w:rFonts w:eastAsia="Calibri"/>
                <w:sz w:val="22"/>
                <w:szCs w:val="22"/>
              </w:rPr>
              <w:t>1</w:t>
            </w:r>
            <w:r w:rsidR="00A069C2">
              <w:rPr>
                <w:rFonts w:eastAsia="Calibri"/>
                <w:sz w:val="22"/>
                <w:szCs w:val="22"/>
              </w:rPr>
              <w:t>.</w:t>
            </w:r>
            <w:r w:rsidRPr="004109BB">
              <w:rPr>
                <w:rFonts w:eastAsia="Calibri"/>
                <w:sz w:val="22"/>
                <w:szCs w:val="22"/>
              </w:rPr>
              <w:t>563</w:t>
            </w:r>
          </w:p>
        </w:tc>
      </w:tr>
      <w:tr w:rsidR="000E2AE7" w14:paraId="4923B88A" w14:textId="77777777" w:rsidTr="004109BB">
        <w:tc>
          <w:tcPr>
            <w:tcW w:w="1345" w:type="dxa"/>
            <w:tcBorders>
              <w:left w:val="single" w:sz="18" w:space="0" w:color="auto"/>
              <w:bottom w:val="single" w:sz="18" w:space="0" w:color="auto"/>
            </w:tcBorders>
            <w:shd w:val="clear" w:color="auto" w:fill="D9E2F3"/>
          </w:tcPr>
          <w:p w14:paraId="7CE68CFF" w14:textId="77777777" w:rsidR="000E2AE7" w:rsidRPr="004109BB" w:rsidRDefault="000E2AE7" w:rsidP="004109BB">
            <w:pPr>
              <w:spacing w:line="300" w:lineRule="auto"/>
              <w:jc w:val="center"/>
              <w:rPr>
                <w:rFonts w:eastAsia="Calibri"/>
                <w:sz w:val="22"/>
                <w:szCs w:val="22"/>
              </w:rPr>
            </w:pPr>
            <w:r w:rsidRPr="004109BB">
              <w:rPr>
                <w:rFonts w:eastAsia="Calibri"/>
                <w:sz w:val="22"/>
                <w:szCs w:val="22"/>
              </w:rPr>
              <w:t>26</w:t>
            </w:r>
          </w:p>
        </w:tc>
        <w:tc>
          <w:tcPr>
            <w:tcW w:w="1350" w:type="dxa"/>
            <w:tcBorders>
              <w:bottom w:val="single" w:sz="18" w:space="0" w:color="auto"/>
            </w:tcBorders>
            <w:shd w:val="clear" w:color="auto" w:fill="auto"/>
          </w:tcPr>
          <w:p w14:paraId="33BC03C8" w14:textId="636973DE" w:rsidR="000E2AE7" w:rsidRPr="004109BB" w:rsidRDefault="000E2AE7" w:rsidP="004109BB">
            <w:pPr>
              <w:spacing w:line="300" w:lineRule="auto"/>
              <w:jc w:val="center"/>
              <w:rPr>
                <w:rFonts w:eastAsia="Calibri"/>
                <w:sz w:val="22"/>
                <w:szCs w:val="22"/>
              </w:rPr>
            </w:pPr>
            <w:r w:rsidRPr="004109BB">
              <w:rPr>
                <w:rFonts w:eastAsia="Calibri"/>
                <w:sz w:val="22"/>
                <w:szCs w:val="22"/>
              </w:rPr>
              <w:t>13</w:t>
            </w:r>
            <w:r w:rsidR="00A069C2">
              <w:rPr>
                <w:rFonts w:eastAsia="Calibri"/>
                <w:sz w:val="22"/>
                <w:szCs w:val="22"/>
              </w:rPr>
              <w:t>.</w:t>
            </w:r>
            <w:r w:rsidRPr="004109BB">
              <w:rPr>
                <w:rFonts w:eastAsia="Calibri"/>
                <w:sz w:val="22"/>
                <w:szCs w:val="22"/>
              </w:rPr>
              <w:t>0</w:t>
            </w:r>
          </w:p>
        </w:tc>
        <w:tc>
          <w:tcPr>
            <w:tcW w:w="1260" w:type="dxa"/>
            <w:tcBorders>
              <w:bottom w:val="single" w:sz="18" w:space="0" w:color="auto"/>
            </w:tcBorders>
            <w:shd w:val="clear" w:color="auto" w:fill="auto"/>
          </w:tcPr>
          <w:p w14:paraId="4EE9CDEC" w14:textId="5F8EFE70" w:rsidR="000E2AE7" w:rsidRPr="004109BB" w:rsidRDefault="000E2AE7" w:rsidP="004109BB">
            <w:pPr>
              <w:spacing w:line="300" w:lineRule="auto"/>
              <w:jc w:val="center"/>
              <w:rPr>
                <w:rFonts w:eastAsia="Calibri"/>
                <w:sz w:val="22"/>
                <w:szCs w:val="22"/>
              </w:rPr>
            </w:pPr>
            <w:r w:rsidRPr="004109BB">
              <w:rPr>
                <w:rFonts w:eastAsia="Calibri"/>
                <w:sz w:val="22"/>
                <w:szCs w:val="22"/>
              </w:rPr>
              <w:t>0</w:t>
            </w:r>
            <w:r w:rsidR="00A069C2">
              <w:rPr>
                <w:rFonts w:eastAsia="Calibri"/>
                <w:sz w:val="22"/>
                <w:szCs w:val="22"/>
              </w:rPr>
              <w:t>.</w:t>
            </w:r>
            <w:r w:rsidRPr="004109BB">
              <w:rPr>
                <w:rFonts w:eastAsia="Calibri"/>
                <w:sz w:val="22"/>
                <w:szCs w:val="22"/>
              </w:rPr>
              <w:t>650</w:t>
            </w:r>
          </w:p>
        </w:tc>
        <w:tc>
          <w:tcPr>
            <w:tcW w:w="1067" w:type="dxa"/>
            <w:tcBorders>
              <w:bottom w:val="single" w:sz="18" w:space="0" w:color="auto"/>
            </w:tcBorders>
            <w:shd w:val="clear" w:color="auto" w:fill="auto"/>
          </w:tcPr>
          <w:p w14:paraId="7A8DAE66" w14:textId="0BC3F305" w:rsidR="000E2AE7" w:rsidRPr="004109BB" w:rsidRDefault="000E2AE7" w:rsidP="004109BB">
            <w:pPr>
              <w:spacing w:line="300" w:lineRule="auto"/>
              <w:jc w:val="center"/>
              <w:rPr>
                <w:rFonts w:eastAsia="Calibri"/>
                <w:sz w:val="22"/>
                <w:szCs w:val="22"/>
              </w:rPr>
            </w:pPr>
            <w:r w:rsidRPr="004109BB">
              <w:rPr>
                <w:rFonts w:eastAsia="Calibri"/>
                <w:sz w:val="22"/>
                <w:szCs w:val="22"/>
              </w:rPr>
              <w:t>1</w:t>
            </w:r>
            <w:r w:rsidR="00A069C2">
              <w:rPr>
                <w:rFonts w:eastAsia="Calibri"/>
                <w:sz w:val="22"/>
                <w:szCs w:val="22"/>
              </w:rPr>
              <w:t>.</w:t>
            </w:r>
            <w:r w:rsidRPr="004109BB">
              <w:rPr>
                <w:rFonts w:eastAsia="Calibri"/>
                <w:sz w:val="22"/>
                <w:szCs w:val="22"/>
              </w:rPr>
              <w:t>327</w:t>
            </w:r>
          </w:p>
        </w:tc>
        <w:tc>
          <w:tcPr>
            <w:tcW w:w="1407" w:type="dxa"/>
            <w:tcBorders>
              <w:bottom w:val="single" w:sz="18" w:space="0" w:color="auto"/>
              <w:right w:val="single" w:sz="18" w:space="0" w:color="auto"/>
            </w:tcBorders>
            <w:shd w:val="clear" w:color="auto" w:fill="EDEDED"/>
          </w:tcPr>
          <w:p w14:paraId="28686CD4" w14:textId="774EC29B" w:rsidR="000E2AE7" w:rsidRPr="004109BB" w:rsidRDefault="000E2AE7" w:rsidP="004109BB">
            <w:pPr>
              <w:spacing w:line="300" w:lineRule="auto"/>
              <w:jc w:val="center"/>
              <w:rPr>
                <w:rFonts w:eastAsia="Calibri"/>
                <w:sz w:val="22"/>
                <w:szCs w:val="22"/>
              </w:rPr>
            </w:pPr>
            <w:r w:rsidRPr="004109BB">
              <w:rPr>
                <w:rFonts w:eastAsia="Calibri"/>
                <w:sz w:val="22"/>
                <w:szCs w:val="22"/>
              </w:rPr>
              <w:t>1</w:t>
            </w:r>
            <w:r w:rsidR="00A069C2">
              <w:rPr>
                <w:rFonts w:eastAsia="Calibri"/>
                <w:sz w:val="22"/>
                <w:szCs w:val="22"/>
              </w:rPr>
              <w:t>.</w:t>
            </w:r>
            <w:r w:rsidRPr="004109BB">
              <w:rPr>
                <w:rFonts w:eastAsia="Calibri"/>
                <w:sz w:val="22"/>
                <w:szCs w:val="22"/>
              </w:rPr>
              <w:t>690</w:t>
            </w:r>
          </w:p>
        </w:tc>
      </w:tr>
    </w:tbl>
    <w:p w14:paraId="7A6B5075" w14:textId="77777777" w:rsidR="00E8149E" w:rsidRPr="00E8149E" w:rsidRDefault="008F4028" w:rsidP="00D9542B">
      <w:pPr>
        <w:pStyle w:val="Heading2"/>
        <w:rPr>
          <w:kern w:val="20"/>
        </w:rPr>
      </w:pPr>
      <w:r w:rsidRPr="00E8149E">
        <w:rPr>
          <w:kern w:val="20"/>
        </w:rPr>
        <w:t xml:space="preserve">Table. </w:t>
      </w:r>
      <w:r w:rsidR="00E8149E" w:rsidRPr="00E8149E">
        <w:rPr>
          <w:kern w:val="20"/>
        </w:rPr>
        <w:t>ITBCC Normalization T</w:t>
      </w:r>
      <w:r w:rsidR="00A22BAA" w:rsidRPr="00E8149E">
        <w:rPr>
          <w:kern w:val="20"/>
        </w:rPr>
        <w:t xml:space="preserve">able for </w:t>
      </w:r>
      <w:r w:rsidR="00E8149E" w:rsidRPr="00E8149E">
        <w:rPr>
          <w:kern w:val="20"/>
        </w:rPr>
        <w:t>Reporting Tumor Budding According to M</w:t>
      </w:r>
      <w:r w:rsidRPr="00E8149E">
        <w:rPr>
          <w:kern w:val="20"/>
        </w:rPr>
        <w:t xml:space="preserve">icroscope. </w:t>
      </w:r>
    </w:p>
    <w:p w14:paraId="01FA9FE7" w14:textId="77777777" w:rsidR="008F4028" w:rsidRDefault="008F4028" w:rsidP="00D9542B">
      <w:pPr>
        <w:pStyle w:val="Heading2"/>
        <w:rPr>
          <w:b w:val="0"/>
          <w:kern w:val="20"/>
        </w:rPr>
      </w:pPr>
      <w:r w:rsidRPr="00E8149E">
        <w:rPr>
          <w:b w:val="0"/>
          <w:kern w:val="20"/>
        </w:rPr>
        <w:t>To obtain tumor bud count for your field of view, divide by the normalization number.</w:t>
      </w:r>
    </w:p>
    <w:p w14:paraId="06D51D17" w14:textId="77777777" w:rsidR="009B7C0F" w:rsidRDefault="009B7C0F" w:rsidP="009B7C0F"/>
    <w:p w14:paraId="38C9A95D" w14:textId="77777777" w:rsidR="00CA5F54" w:rsidRDefault="00CA5F54" w:rsidP="009B7C0F">
      <w:r>
        <w:rPr>
          <w:rFonts w:cs="Arial"/>
        </w:rPr>
        <w:t>References</w:t>
      </w:r>
    </w:p>
    <w:p w14:paraId="2B73337D" w14:textId="77777777" w:rsidR="009B7C0F" w:rsidRDefault="009B7C0F" w:rsidP="009B7C0F">
      <w:pPr>
        <w:numPr>
          <w:ilvl w:val="0"/>
          <w:numId w:val="38"/>
        </w:numPr>
      </w:pPr>
      <w:r w:rsidRPr="009B7C0F">
        <w:t xml:space="preserve">Bosch SL, </w:t>
      </w:r>
      <w:proofErr w:type="spellStart"/>
      <w:r w:rsidRPr="009B7C0F">
        <w:t>Teerenstra</w:t>
      </w:r>
      <w:proofErr w:type="spellEnd"/>
      <w:r w:rsidRPr="009B7C0F">
        <w:t xml:space="preserve"> S, de Wilt JH, Cunningham C, </w:t>
      </w:r>
      <w:proofErr w:type="spellStart"/>
      <w:r w:rsidRPr="009B7C0F">
        <w:t>Nagtegaal</w:t>
      </w:r>
      <w:proofErr w:type="spellEnd"/>
      <w:r w:rsidRPr="009B7C0F">
        <w:t xml:space="preserve"> ID. Predicting lymph node metastasis in pT1 colorectal cancer: a systematic review of risk factors providing rationale for therapy decisions. </w:t>
      </w:r>
      <w:r w:rsidRPr="00397F4E">
        <w:rPr>
          <w:i/>
        </w:rPr>
        <w:t>Endoscopy</w:t>
      </w:r>
      <w:r w:rsidRPr="009B7C0F">
        <w:t>. 2013;45(10):827-834.</w:t>
      </w:r>
    </w:p>
    <w:p w14:paraId="7D8AFD60" w14:textId="77777777" w:rsidR="009B7C0F" w:rsidRDefault="009B7C0F" w:rsidP="009B7C0F">
      <w:pPr>
        <w:numPr>
          <w:ilvl w:val="0"/>
          <w:numId w:val="38"/>
        </w:numPr>
      </w:pPr>
      <w:r>
        <w:t xml:space="preserve">Ueno H, Mochizuki H, Hashiguchi Y, et al. Risk factors for an adverse outcome in early invasive colorectal carcinoma. </w:t>
      </w:r>
      <w:r w:rsidRPr="00397F4E">
        <w:rPr>
          <w:i/>
        </w:rPr>
        <w:t>Gastroenterology</w:t>
      </w:r>
      <w:r>
        <w:t>. 2004 ;127(2):385-394.</w:t>
      </w:r>
    </w:p>
    <w:p w14:paraId="58274A34" w14:textId="77777777" w:rsidR="009B7C0F" w:rsidRDefault="009B7C0F" w:rsidP="009B7C0F">
      <w:pPr>
        <w:numPr>
          <w:ilvl w:val="0"/>
          <w:numId w:val="38"/>
        </w:numPr>
      </w:pPr>
      <w:r>
        <w:t xml:space="preserve">Choi DH, Sohn DK, Chang HJ, Lim SB, Choi HS, </w:t>
      </w:r>
      <w:proofErr w:type="spellStart"/>
      <w:r>
        <w:t>Jeong</w:t>
      </w:r>
      <w:proofErr w:type="spellEnd"/>
      <w:r>
        <w:t xml:space="preserve"> SY. Indications for subsequent surgery after endoscopic resection of submucosally invasive colorectal carcinomas: a prospective cohort study. </w:t>
      </w:r>
      <w:r w:rsidRPr="00397F4E">
        <w:rPr>
          <w:i/>
        </w:rPr>
        <w:t>Dis Colon Rectum</w:t>
      </w:r>
      <w:r>
        <w:t>. 2009;52(3):438-445.</w:t>
      </w:r>
    </w:p>
    <w:p w14:paraId="76569051" w14:textId="77777777" w:rsidR="009B7C0F" w:rsidRDefault="009B7C0F" w:rsidP="009B7C0F">
      <w:pPr>
        <w:numPr>
          <w:ilvl w:val="0"/>
          <w:numId w:val="38"/>
        </w:numPr>
      </w:pPr>
      <w:proofErr w:type="spellStart"/>
      <w:r>
        <w:lastRenderedPageBreak/>
        <w:t>Petrelli</w:t>
      </w:r>
      <w:proofErr w:type="spellEnd"/>
      <w:r>
        <w:t xml:space="preserve"> F, </w:t>
      </w:r>
      <w:proofErr w:type="spellStart"/>
      <w:r>
        <w:t>Pezzica</w:t>
      </w:r>
      <w:proofErr w:type="spellEnd"/>
      <w:r>
        <w:t xml:space="preserve"> E, </w:t>
      </w:r>
      <w:proofErr w:type="spellStart"/>
      <w:r>
        <w:t>Cabiddu</w:t>
      </w:r>
      <w:proofErr w:type="spellEnd"/>
      <w:r>
        <w:t xml:space="preserve"> M, et al. </w:t>
      </w:r>
      <w:proofErr w:type="spellStart"/>
      <w:r>
        <w:t>Tumour</w:t>
      </w:r>
      <w:proofErr w:type="spellEnd"/>
      <w:r>
        <w:t xml:space="preserve"> Budding and Survival in Stage II Colorectal Cancer: </w:t>
      </w:r>
      <w:proofErr w:type="gramStart"/>
      <w:r>
        <w:t>a</w:t>
      </w:r>
      <w:proofErr w:type="gramEnd"/>
      <w:r>
        <w:t xml:space="preserve"> Systematic Review and Pooled Analysis. </w:t>
      </w:r>
      <w:r w:rsidRPr="00397F4E">
        <w:rPr>
          <w:i/>
        </w:rPr>
        <w:t xml:space="preserve">J </w:t>
      </w:r>
      <w:proofErr w:type="spellStart"/>
      <w:r w:rsidRPr="00397F4E">
        <w:rPr>
          <w:i/>
        </w:rPr>
        <w:t>Gastrointest</w:t>
      </w:r>
      <w:proofErr w:type="spellEnd"/>
      <w:r w:rsidRPr="00397F4E">
        <w:rPr>
          <w:i/>
        </w:rPr>
        <w:t xml:space="preserve"> Cancer</w:t>
      </w:r>
      <w:r>
        <w:t>. 2015;46(3):212-218.</w:t>
      </w:r>
    </w:p>
    <w:p w14:paraId="71EB750D" w14:textId="77777777" w:rsidR="009B7C0F" w:rsidRDefault="009B7C0F" w:rsidP="009B7C0F">
      <w:pPr>
        <w:numPr>
          <w:ilvl w:val="0"/>
          <w:numId w:val="38"/>
        </w:numPr>
      </w:pPr>
      <w:r>
        <w:t xml:space="preserve">Graham RP, </w:t>
      </w:r>
      <w:proofErr w:type="spellStart"/>
      <w:r>
        <w:t>Vierkant</w:t>
      </w:r>
      <w:proofErr w:type="spellEnd"/>
      <w:r>
        <w:t xml:space="preserve"> RA, </w:t>
      </w:r>
      <w:proofErr w:type="spellStart"/>
      <w:r>
        <w:t>Tillmans</w:t>
      </w:r>
      <w:proofErr w:type="spellEnd"/>
      <w:r>
        <w:t xml:space="preserve"> LS, et al. Tumor budding in colorectal carcinoma: confirmation of prognostic significance and histologic cutoff in a population-based cohort. </w:t>
      </w:r>
      <w:r w:rsidRPr="00397F4E">
        <w:rPr>
          <w:i/>
        </w:rPr>
        <w:t xml:space="preserve">Am J Surg </w:t>
      </w:r>
      <w:proofErr w:type="spellStart"/>
      <w:r w:rsidRPr="00397F4E">
        <w:rPr>
          <w:i/>
        </w:rPr>
        <w:t>Pathol</w:t>
      </w:r>
      <w:proofErr w:type="spellEnd"/>
      <w:r w:rsidRPr="00397F4E">
        <w:rPr>
          <w:i/>
        </w:rPr>
        <w:t>.</w:t>
      </w:r>
      <w:r>
        <w:t xml:space="preserve"> 2015;39(10):1340-1346.</w:t>
      </w:r>
    </w:p>
    <w:p w14:paraId="70F656DA" w14:textId="77777777" w:rsidR="009B7C0F" w:rsidRDefault="009B7C0F" w:rsidP="009B7C0F">
      <w:pPr>
        <w:numPr>
          <w:ilvl w:val="0"/>
          <w:numId w:val="38"/>
        </w:numPr>
      </w:pPr>
      <w:proofErr w:type="spellStart"/>
      <w:r>
        <w:t>Koelzer</w:t>
      </w:r>
      <w:proofErr w:type="spellEnd"/>
      <w:r>
        <w:t xml:space="preserve"> VH, </w:t>
      </w:r>
      <w:proofErr w:type="spellStart"/>
      <w:r>
        <w:t>Zlobec</w:t>
      </w:r>
      <w:proofErr w:type="spellEnd"/>
      <w:r>
        <w:t xml:space="preserve"> I, </w:t>
      </w:r>
      <w:proofErr w:type="spellStart"/>
      <w:r>
        <w:t>Lugli</w:t>
      </w:r>
      <w:proofErr w:type="spellEnd"/>
      <w:r>
        <w:t xml:space="preserve"> A. Tumor budding in colorectal cancer-ready for diagnostic practice? </w:t>
      </w:r>
      <w:r w:rsidRPr="00397F4E">
        <w:rPr>
          <w:i/>
        </w:rPr>
        <w:t xml:space="preserve">Hum </w:t>
      </w:r>
      <w:proofErr w:type="spellStart"/>
      <w:r w:rsidRPr="00397F4E">
        <w:rPr>
          <w:i/>
        </w:rPr>
        <w:t>Pathol</w:t>
      </w:r>
      <w:proofErr w:type="spellEnd"/>
      <w:r>
        <w:t>. 2016;47(1):4-19.</w:t>
      </w:r>
    </w:p>
    <w:p w14:paraId="356ECF06" w14:textId="77777777" w:rsidR="009B7C0F" w:rsidRPr="00980EB3" w:rsidRDefault="009B7C0F" w:rsidP="00980EB3">
      <w:pPr>
        <w:pStyle w:val="MediumGrid21"/>
        <w:numPr>
          <w:ilvl w:val="0"/>
          <w:numId w:val="38"/>
        </w:numPr>
        <w:rPr>
          <w:rFonts w:ascii="Arial" w:hAnsi="Arial" w:cs="Arial"/>
          <w:sz w:val="20"/>
          <w:szCs w:val="20"/>
        </w:rPr>
      </w:pPr>
      <w:proofErr w:type="spellStart"/>
      <w:r w:rsidRPr="002952CF">
        <w:rPr>
          <w:rFonts w:ascii="Arial" w:hAnsi="Arial" w:cs="Arial"/>
          <w:sz w:val="20"/>
          <w:szCs w:val="20"/>
        </w:rPr>
        <w:t>Lugli</w:t>
      </w:r>
      <w:proofErr w:type="spellEnd"/>
      <w:r w:rsidRPr="002952CF">
        <w:rPr>
          <w:rFonts w:ascii="Arial" w:hAnsi="Arial" w:cs="Arial"/>
          <w:sz w:val="20"/>
          <w:szCs w:val="20"/>
        </w:rPr>
        <w:t xml:space="preserve"> A, Kirsch R, </w:t>
      </w:r>
      <w:proofErr w:type="spellStart"/>
      <w:r w:rsidRPr="002952CF">
        <w:rPr>
          <w:rFonts w:ascii="Arial" w:hAnsi="Arial" w:cs="Arial"/>
          <w:sz w:val="20"/>
          <w:szCs w:val="20"/>
        </w:rPr>
        <w:t>Ajioka</w:t>
      </w:r>
      <w:proofErr w:type="spellEnd"/>
      <w:r w:rsidRPr="002952CF">
        <w:rPr>
          <w:rFonts w:ascii="Arial" w:hAnsi="Arial" w:cs="Arial"/>
          <w:sz w:val="20"/>
          <w:szCs w:val="20"/>
        </w:rPr>
        <w:t xml:space="preserve"> Y, Bosman F, </w:t>
      </w:r>
      <w:r>
        <w:rPr>
          <w:rFonts w:ascii="Arial" w:hAnsi="Arial" w:cs="Arial"/>
          <w:sz w:val="20"/>
          <w:szCs w:val="20"/>
        </w:rPr>
        <w:t>et al</w:t>
      </w:r>
      <w:r w:rsidRPr="002952CF">
        <w:rPr>
          <w:rFonts w:ascii="Arial" w:hAnsi="Arial" w:cs="Arial"/>
          <w:sz w:val="20"/>
          <w:szCs w:val="20"/>
        </w:rPr>
        <w:t>. Recommendations for reporting tumor budding in colorectal cancer based on the International Tumor Budding Consen</w:t>
      </w:r>
      <w:r>
        <w:rPr>
          <w:rFonts w:ascii="Arial" w:hAnsi="Arial" w:cs="Arial"/>
          <w:sz w:val="20"/>
          <w:szCs w:val="20"/>
        </w:rPr>
        <w:t xml:space="preserve">sus Conference (ITBCC) 2016. </w:t>
      </w:r>
      <w:r w:rsidRPr="00E8149E">
        <w:rPr>
          <w:rFonts w:ascii="Arial" w:hAnsi="Arial" w:cs="Arial"/>
          <w:i/>
          <w:sz w:val="20"/>
          <w:szCs w:val="20"/>
        </w:rPr>
        <w:t xml:space="preserve">Mod </w:t>
      </w:r>
      <w:proofErr w:type="spellStart"/>
      <w:r w:rsidRPr="00E8149E">
        <w:rPr>
          <w:rFonts w:ascii="Arial" w:hAnsi="Arial" w:cs="Arial"/>
          <w:i/>
          <w:sz w:val="20"/>
          <w:szCs w:val="20"/>
        </w:rPr>
        <w:t>Pathol</w:t>
      </w:r>
      <w:proofErr w:type="spellEnd"/>
      <w:r>
        <w:rPr>
          <w:rFonts w:ascii="Arial" w:hAnsi="Arial" w:cs="Arial"/>
          <w:sz w:val="20"/>
          <w:szCs w:val="20"/>
        </w:rPr>
        <w:t>.</w:t>
      </w:r>
      <w:r w:rsidRPr="002952CF">
        <w:rPr>
          <w:rFonts w:ascii="Arial" w:hAnsi="Arial" w:cs="Arial"/>
          <w:sz w:val="20"/>
          <w:szCs w:val="20"/>
        </w:rPr>
        <w:t xml:space="preserve"> </w:t>
      </w:r>
      <w:r>
        <w:rPr>
          <w:rFonts w:ascii="Arial" w:hAnsi="Arial" w:cs="Arial"/>
          <w:sz w:val="20"/>
          <w:szCs w:val="20"/>
        </w:rPr>
        <w:t>I</w:t>
      </w:r>
      <w:r w:rsidRPr="002952CF">
        <w:rPr>
          <w:rFonts w:ascii="Arial" w:hAnsi="Arial" w:cs="Arial"/>
          <w:sz w:val="20"/>
          <w:szCs w:val="20"/>
        </w:rPr>
        <w:t>n press.</w:t>
      </w:r>
    </w:p>
    <w:p w14:paraId="7708ED52" w14:textId="77777777" w:rsidR="008F4028" w:rsidRDefault="008F4028" w:rsidP="00D9542B">
      <w:pPr>
        <w:pStyle w:val="Heading2"/>
        <w:rPr>
          <w:kern w:val="20"/>
        </w:rPr>
      </w:pPr>
    </w:p>
    <w:p w14:paraId="2C856252" w14:textId="77777777" w:rsidR="00161328" w:rsidRPr="00D9542B" w:rsidRDefault="00FD06D9" w:rsidP="00D9542B">
      <w:pPr>
        <w:pStyle w:val="Heading2"/>
        <w:rPr>
          <w:kern w:val="20"/>
        </w:rPr>
      </w:pPr>
      <w:r>
        <w:rPr>
          <w:kern w:val="20"/>
        </w:rPr>
        <w:t>G</w:t>
      </w:r>
      <w:r w:rsidR="00C2077B" w:rsidRPr="00D9542B">
        <w:rPr>
          <w:kern w:val="20"/>
        </w:rPr>
        <w:t xml:space="preserve">.  </w:t>
      </w:r>
      <w:r w:rsidR="00161328" w:rsidRPr="00D9542B">
        <w:rPr>
          <w:kern w:val="20"/>
        </w:rPr>
        <w:t>Polyps</w:t>
      </w:r>
    </w:p>
    <w:p w14:paraId="14199D43" w14:textId="77777777" w:rsidR="00161328" w:rsidRPr="00D9542B" w:rsidRDefault="00DD01BD" w:rsidP="00D9542B">
      <w:pPr>
        <w:pStyle w:val="Footer"/>
        <w:tabs>
          <w:tab w:val="clear" w:pos="4320"/>
          <w:tab w:val="clear" w:pos="8640"/>
        </w:tabs>
        <w:rPr>
          <w:kern w:val="20"/>
        </w:rPr>
      </w:pPr>
      <w:r>
        <w:rPr>
          <w:kern w:val="20"/>
        </w:rPr>
        <w:t xml:space="preserve">The </w:t>
      </w:r>
      <w:r w:rsidR="00FD06D9">
        <w:rPr>
          <w:kern w:val="20"/>
        </w:rPr>
        <w:t xml:space="preserve">adenocarcinoma can arise in </w:t>
      </w:r>
      <w:r>
        <w:rPr>
          <w:kern w:val="20"/>
        </w:rPr>
        <w:t xml:space="preserve">adenomatous (tubular, </w:t>
      </w:r>
      <w:proofErr w:type="spellStart"/>
      <w:r>
        <w:rPr>
          <w:kern w:val="20"/>
        </w:rPr>
        <w:t>tubulovillous</w:t>
      </w:r>
      <w:proofErr w:type="spellEnd"/>
      <w:r>
        <w:rPr>
          <w:kern w:val="20"/>
        </w:rPr>
        <w:t>, or villous) or serrated (sessile serrated adenoma</w:t>
      </w:r>
      <w:r w:rsidR="00FD06D9">
        <w:rPr>
          <w:kern w:val="20"/>
        </w:rPr>
        <w:t>/polyp</w:t>
      </w:r>
      <w:r>
        <w:rPr>
          <w:kern w:val="20"/>
        </w:rPr>
        <w:t xml:space="preserve"> or traditional serrated adenoma)</w:t>
      </w:r>
      <w:r w:rsidR="00FD06D9">
        <w:rPr>
          <w:kern w:val="20"/>
        </w:rPr>
        <w:t xml:space="preserve"> polyp</w:t>
      </w:r>
      <w:r>
        <w:rPr>
          <w:kern w:val="20"/>
        </w:rPr>
        <w:t>. Sessile serrated adenoma often develop</w:t>
      </w:r>
      <w:r w:rsidR="00EC6F13">
        <w:rPr>
          <w:kern w:val="20"/>
        </w:rPr>
        <w:t>s</w:t>
      </w:r>
      <w:r>
        <w:rPr>
          <w:kern w:val="20"/>
        </w:rPr>
        <w:t xml:space="preserve"> cytologic dysplasia resembling tubular adenoma during neoplastic progression. These are presumed to be the precursors of right-sided adeno</w:t>
      </w:r>
      <w:r w:rsidR="00161328" w:rsidRPr="00D9542B">
        <w:rPr>
          <w:kern w:val="20"/>
        </w:rPr>
        <w:t>carcinomas with high levels of microsatellite instability (MSI-H)</w:t>
      </w:r>
      <w:r w:rsidR="00FD06D9">
        <w:rPr>
          <w:kern w:val="20"/>
        </w:rPr>
        <w:t>.</w:t>
      </w:r>
      <w:r w:rsidR="009B7C0F">
        <w:rPr>
          <w:kern w:val="20"/>
          <w:vertAlign w:val="superscript"/>
        </w:rPr>
        <w:t>1</w:t>
      </w:r>
    </w:p>
    <w:p w14:paraId="35B2D308" w14:textId="77777777" w:rsidR="00CA5F54" w:rsidRDefault="00CA5F54" w:rsidP="00D9542B">
      <w:pPr>
        <w:pStyle w:val="Footer"/>
        <w:tabs>
          <w:tab w:val="clear" w:pos="4320"/>
          <w:tab w:val="clear" w:pos="8640"/>
        </w:tabs>
        <w:rPr>
          <w:rFonts w:cs="Arial"/>
        </w:rPr>
      </w:pPr>
    </w:p>
    <w:p w14:paraId="28569C85" w14:textId="77777777" w:rsidR="00CA5F54" w:rsidRDefault="00CA5F54" w:rsidP="00D9542B">
      <w:pPr>
        <w:pStyle w:val="Footer"/>
        <w:tabs>
          <w:tab w:val="clear" w:pos="4320"/>
          <w:tab w:val="clear" w:pos="8640"/>
        </w:tabs>
        <w:rPr>
          <w:kern w:val="20"/>
        </w:rPr>
      </w:pPr>
      <w:r>
        <w:rPr>
          <w:rFonts w:cs="Arial"/>
        </w:rPr>
        <w:t>References</w:t>
      </w:r>
    </w:p>
    <w:p w14:paraId="1DBF6027" w14:textId="77777777" w:rsidR="009B7C0F" w:rsidRDefault="009B7C0F" w:rsidP="009B7C0F">
      <w:pPr>
        <w:pStyle w:val="Footer"/>
        <w:numPr>
          <w:ilvl w:val="0"/>
          <w:numId w:val="39"/>
        </w:numPr>
        <w:tabs>
          <w:tab w:val="clear" w:pos="4320"/>
          <w:tab w:val="clear" w:pos="8640"/>
        </w:tabs>
        <w:rPr>
          <w:kern w:val="20"/>
        </w:rPr>
      </w:pPr>
      <w:r w:rsidRPr="009B7C0F">
        <w:rPr>
          <w:kern w:val="20"/>
        </w:rPr>
        <w:t xml:space="preserve">Rex DK, </w:t>
      </w:r>
      <w:proofErr w:type="spellStart"/>
      <w:r w:rsidRPr="009B7C0F">
        <w:rPr>
          <w:kern w:val="20"/>
        </w:rPr>
        <w:t>Ahnen</w:t>
      </w:r>
      <w:proofErr w:type="spellEnd"/>
      <w:r w:rsidRPr="009B7C0F">
        <w:rPr>
          <w:kern w:val="20"/>
        </w:rPr>
        <w:t xml:space="preserve"> DJ, Baron JA, et al. Serrated lesions of the colorectum: review and recommendations from an expert panel. </w:t>
      </w:r>
      <w:r w:rsidRPr="00397F4E">
        <w:rPr>
          <w:i/>
          <w:kern w:val="20"/>
        </w:rPr>
        <w:t>Am J Gastroenterol</w:t>
      </w:r>
      <w:r w:rsidRPr="009B7C0F">
        <w:rPr>
          <w:kern w:val="20"/>
        </w:rPr>
        <w:t>. 2012;107(9):1315-1330.</w:t>
      </w:r>
    </w:p>
    <w:p w14:paraId="51D876BB" w14:textId="77777777" w:rsidR="009B7C0F" w:rsidRPr="00D9542B" w:rsidRDefault="009B7C0F" w:rsidP="009B7C0F">
      <w:pPr>
        <w:pStyle w:val="Footer"/>
        <w:tabs>
          <w:tab w:val="clear" w:pos="4320"/>
          <w:tab w:val="clear" w:pos="8640"/>
        </w:tabs>
        <w:rPr>
          <w:kern w:val="20"/>
        </w:rPr>
      </w:pPr>
    </w:p>
    <w:p w14:paraId="784FD778" w14:textId="77777777" w:rsidR="00AF517F" w:rsidRDefault="008058CF" w:rsidP="00D84EA2">
      <w:pPr>
        <w:rPr>
          <w:kern w:val="20"/>
        </w:rPr>
      </w:pPr>
      <w:r>
        <w:rPr>
          <w:b/>
          <w:kern w:val="20"/>
        </w:rPr>
        <w:t>H</w:t>
      </w:r>
      <w:r w:rsidR="00AF517F" w:rsidRPr="00AA24A7">
        <w:rPr>
          <w:b/>
          <w:kern w:val="20"/>
        </w:rPr>
        <w:t xml:space="preserve">. </w:t>
      </w:r>
      <w:r>
        <w:rPr>
          <w:b/>
          <w:kern w:val="20"/>
        </w:rPr>
        <w:t xml:space="preserve"> </w:t>
      </w:r>
      <w:r w:rsidR="00AF517F" w:rsidRPr="00AA24A7">
        <w:rPr>
          <w:b/>
          <w:kern w:val="20"/>
        </w:rPr>
        <w:t xml:space="preserve">Ancillary </w:t>
      </w:r>
      <w:r w:rsidR="00AA24A7">
        <w:rPr>
          <w:b/>
          <w:kern w:val="20"/>
        </w:rPr>
        <w:t>S</w:t>
      </w:r>
      <w:r w:rsidR="00AF517F" w:rsidRPr="00AA24A7">
        <w:rPr>
          <w:b/>
          <w:kern w:val="20"/>
        </w:rPr>
        <w:t>tudies</w:t>
      </w:r>
    </w:p>
    <w:p w14:paraId="2A0A1A3F" w14:textId="77777777" w:rsidR="00DB4935" w:rsidRDefault="00DB4935" w:rsidP="00DB4935">
      <w:pPr>
        <w:rPr>
          <w:kern w:val="20"/>
        </w:rPr>
      </w:pPr>
      <w:r>
        <w:rPr>
          <w:kern w:val="20"/>
        </w:rPr>
        <w:t>U</w:t>
      </w:r>
      <w:r w:rsidR="00D84EA2">
        <w:rPr>
          <w:kern w:val="20"/>
        </w:rPr>
        <w:t xml:space="preserve">niversal testing for </w:t>
      </w:r>
      <w:r>
        <w:rPr>
          <w:kern w:val="20"/>
        </w:rPr>
        <w:t>microsatellite instability and/or status</w:t>
      </w:r>
      <w:r w:rsidR="005058C2">
        <w:rPr>
          <w:kern w:val="20"/>
        </w:rPr>
        <w:t xml:space="preserve"> of</w:t>
      </w:r>
      <w:r>
        <w:rPr>
          <w:kern w:val="20"/>
        </w:rPr>
        <w:t xml:space="preserve"> DNA mismatch repair enzymes by immunohistochemistry is </w:t>
      </w:r>
      <w:r w:rsidR="00D84EA2">
        <w:rPr>
          <w:kern w:val="20"/>
        </w:rPr>
        <w:t>recommended by the EGAPP guidelines.</w:t>
      </w:r>
      <w:r w:rsidR="00430D8F">
        <w:rPr>
          <w:kern w:val="20"/>
          <w:vertAlign w:val="superscript"/>
        </w:rPr>
        <w:t>1, 2</w:t>
      </w:r>
      <w:r w:rsidR="00D84EA2">
        <w:rPr>
          <w:kern w:val="20"/>
        </w:rPr>
        <w:t xml:space="preserve"> The NCCN guidelines also advocate this approach for patients &lt;70 years. </w:t>
      </w:r>
      <w:r>
        <w:rPr>
          <w:kern w:val="20"/>
        </w:rPr>
        <w:t xml:space="preserve">MSI-high cancers are associated with right-sided location, tumor infiltrating lymphocytes, Crohn-like infiltrate, pushing borders, mucinous/signet ring/medullary subtypes, </w:t>
      </w:r>
      <w:proofErr w:type="spellStart"/>
      <w:r w:rsidRPr="00D9542B">
        <w:rPr>
          <w:kern w:val="20"/>
        </w:rPr>
        <w:t>intratumoral</w:t>
      </w:r>
      <w:proofErr w:type="spellEnd"/>
      <w:r w:rsidRPr="00D9542B">
        <w:rPr>
          <w:kern w:val="20"/>
        </w:rPr>
        <w:t xml:space="preserve"> heterogeneity (mixed conventional, mucinous, and poorly differentiated carcinoma), high-grade histology, and lack of dirty necrosis.</w:t>
      </w:r>
      <w:r w:rsidR="00430D8F">
        <w:rPr>
          <w:kern w:val="20"/>
          <w:vertAlign w:val="superscript"/>
        </w:rPr>
        <w:t>3, 4</w:t>
      </w:r>
      <w:r>
        <w:rPr>
          <w:kern w:val="20"/>
        </w:rPr>
        <w:t xml:space="preserve"> In view of recommendations for universal testing and chance of missing cases of Lynch syndrome with testing based on Bethesda guidelines,</w:t>
      </w:r>
      <w:r w:rsidR="00430D8F">
        <w:rPr>
          <w:kern w:val="20"/>
          <w:vertAlign w:val="superscript"/>
        </w:rPr>
        <w:t>4</w:t>
      </w:r>
      <w:r>
        <w:rPr>
          <w:kern w:val="20"/>
        </w:rPr>
        <w:t xml:space="preserve"> evaluation of histologic features associated with MSI is not required and is no longer included in the synoptic comment.</w:t>
      </w:r>
    </w:p>
    <w:p w14:paraId="609D9BE8" w14:textId="77777777" w:rsidR="00DB4935" w:rsidRDefault="00DB4935" w:rsidP="00D84EA2">
      <w:pPr>
        <w:rPr>
          <w:kern w:val="20"/>
        </w:rPr>
      </w:pPr>
    </w:p>
    <w:p w14:paraId="1972F5E4" w14:textId="77777777" w:rsidR="00D84EA2" w:rsidRDefault="00D84EA2" w:rsidP="00D84EA2">
      <w:pPr>
        <w:rPr>
          <w:kern w:val="20"/>
        </w:rPr>
      </w:pPr>
      <w:r>
        <w:rPr>
          <w:kern w:val="20"/>
        </w:rPr>
        <w:t>Further details about mismatch repair enzyme immunohistochemistry and PCR for MSI testing</w:t>
      </w:r>
      <w:r w:rsidR="00DB4935">
        <w:rPr>
          <w:kern w:val="20"/>
        </w:rPr>
        <w:t xml:space="preserve">, as well as other mutation testing in colorectal cancer (such as </w:t>
      </w:r>
      <w:r w:rsidR="00DB4935" w:rsidRPr="00E51EB3">
        <w:rPr>
          <w:i/>
          <w:kern w:val="20"/>
        </w:rPr>
        <w:t>KRA</w:t>
      </w:r>
      <w:r w:rsidR="00DB4935" w:rsidRPr="00DB4935">
        <w:rPr>
          <w:i/>
          <w:kern w:val="20"/>
        </w:rPr>
        <w:t>S</w:t>
      </w:r>
      <w:r w:rsidR="00DB4935">
        <w:rPr>
          <w:kern w:val="20"/>
        </w:rPr>
        <w:t xml:space="preserve">, </w:t>
      </w:r>
      <w:r w:rsidR="00DB4935" w:rsidRPr="00E51EB3">
        <w:rPr>
          <w:i/>
          <w:kern w:val="20"/>
        </w:rPr>
        <w:t>BRAF</w:t>
      </w:r>
      <w:r w:rsidR="00DB4935">
        <w:rPr>
          <w:kern w:val="20"/>
        </w:rPr>
        <w:t xml:space="preserve">) </w:t>
      </w:r>
      <w:r>
        <w:rPr>
          <w:kern w:val="20"/>
        </w:rPr>
        <w:t>can be found in the CAP Colon and Rectum Biomarkers protocol.</w:t>
      </w:r>
    </w:p>
    <w:p w14:paraId="6A4FE0CD" w14:textId="77777777" w:rsidR="00430D8F" w:rsidRDefault="00430D8F" w:rsidP="00D84EA2">
      <w:pPr>
        <w:rPr>
          <w:kern w:val="20"/>
        </w:rPr>
      </w:pPr>
    </w:p>
    <w:p w14:paraId="1570026D" w14:textId="77777777" w:rsidR="00CA5F54" w:rsidRDefault="00CA5F54" w:rsidP="00D84EA2">
      <w:pPr>
        <w:rPr>
          <w:kern w:val="20"/>
        </w:rPr>
      </w:pPr>
      <w:r>
        <w:rPr>
          <w:rFonts w:cs="Arial"/>
        </w:rPr>
        <w:t>References</w:t>
      </w:r>
    </w:p>
    <w:p w14:paraId="0519BCEF" w14:textId="77777777" w:rsidR="00430D8F" w:rsidRPr="00430D8F" w:rsidRDefault="00430D8F" w:rsidP="00430D8F">
      <w:pPr>
        <w:numPr>
          <w:ilvl w:val="0"/>
          <w:numId w:val="46"/>
        </w:numPr>
        <w:rPr>
          <w:kern w:val="20"/>
        </w:rPr>
      </w:pPr>
      <w:r w:rsidRPr="00430D8F">
        <w:rPr>
          <w:kern w:val="20"/>
        </w:rPr>
        <w:t xml:space="preserve">Evaluation of Genomic Applications in Practice and Prevention (EGAPP) Working Group. Recommendations from the EGAPP Working Group: genetic testing strategies in newly diagnosed individuals with colorectal cancer aimed at reducing morbidity and mortality from Lynch syndrome in relatives. </w:t>
      </w:r>
      <w:r w:rsidRPr="00397F4E">
        <w:rPr>
          <w:i/>
          <w:kern w:val="20"/>
        </w:rPr>
        <w:t>Genet Med</w:t>
      </w:r>
      <w:r w:rsidRPr="00430D8F">
        <w:rPr>
          <w:kern w:val="20"/>
        </w:rPr>
        <w:t>. 2009;11(1):35-41.</w:t>
      </w:r>
    </w:p>
    <w:p w14:paraId="4771CC2E" w14:textId="77777777" w:rsidR="00430D8F" w:rsidRDefault="00430D8F" w:rsidP="00430D8F">
      <w:pPr>
        <w:numPr>
          <w:ilvl w:val="0"/>
          <w:numId w:val="46"/>
        </w:numPr>
        <w:rPr>
          <w:kern w:val="20"/>
        </w:rPr>
      </w:pPr>
      <w:proofErr w:type="spellStart"/>
      <w:r w:rsidRPr="00430D8F">
        <w:rPr>
          <w:kern w:val="20"/>
        </w:rPr>
        <w:t>Ladabaum</w:t>
      </w:r>
      <w:proofErr w:type="spellEnd"/>
      <w:r w:rsidRPr="00430D8F">
        <w:rPr>
          <w:kern w:val="20"/>
        </w:rPr>
        <w:t xml:space="preserve"> U, Wang G, et al. Strategies to identify the Lynch syndrome among patients with colorectal cancer: a cost-effectiveness analysis. </w:t>
      </w:r>
      <w:r w:rsidRPr="00397F4E">
        <w:rPr>
          <w:i/>
          <w:kern w:val="20"/>
        </w:rPr>
        <w:t>Ann Intern Med</w:t>
      </w:r>
      <w:r w:rsidRPr="00430D8F">
        <w:rPr>
          <w:kern w:val="20"/>
        </w:rPr>
        <w:t>. 2011;155(2):69-79.</w:t>
      </w:r>
    </w:p>
    <w:p w14:paraId="73B2D2C1" w14:textId="77777777" w:rsidR="00430D8F" w:rsidRDefault="00430D8F" w:rsidP="00430D8F">
      <w:pPr>
        <w:numPr>
          <w:ilvl w:val="0"/>
          <w:numId w:val="46"/>
        </w:numPr>
        <w:rPr>
          <w:kern w:val="20"/>
        </w:rPr>
      </w:pPr>
      <w:proofErr w:type="spellStart"/>
      <w:r w:rsidRPr="00430D8F">
        <w:rPr>
          <w:kern w:val="20"/>
        </w:rPr>
        <w:t>Greenson</w:t>
      </w:r>
      <w:proofErr w:type="spellEnd"/>
      <w:r w:rsidRPr="00430D8F">
        <w:rPr>
          <w:kern w:val="20"/>
        </w:rPr>
        <w:t xml:space="preserve"> JK, Bonner JD, Ben-</w:t>
      </w:r>
      <w:proofErr w:type="spellStart"/>
      <w:r w:rsidRPr="00430D8F">
        <w:rPr>
          <w:kern w:val="20"/>
        </w:rPr>
        <w:t>Yzhak</w:t>
      </w:r>
      <w:proofErr w:type="spellEnd"/>
      <w:r w:rsidRPr="00430D8F">
        <w:rPr>
          <w:kern w:val="20"/>
        </w:rPr>
        <w:t xml:space="preserve"> O, et al. Phenotype of microsatellite unstable colorectal carcinomas. </w:t>
      </w:r>
      <w:r w:rsidRPr="00397F4E">
        <w:rPr>
          <w:i/>
          <w:kern w:val="20"/>
        </w:rPr>
        <w:t xml:space="preserve">Am J Surg </w:t>
      </w:r>
      <w:proofErr w:type="spellStart"/>
      <w:r w:rsidRPr="00397F4E">
        <w:rPr>
          <w:i/>
          <w:kern w:val="20"/>
        </w:rPr>
        <w:t>Pathol</w:t>
      </w:r>
      <w:proofErr w:type="spellEnd"/>
      <w:r w:rsidRPr="00430D8F">
        <w:rPr>
          <w:kern w:val="20"/>
        </w:rPr>
        <w:t>. 2003;27(5):563-570.</w:t>
      </w:r>
    </w:p>
    <w:p w14:paraId="2E4C3259" w14:textId="77777777" w:rsidR="00430D8F" w:rsidRDefault="00430D8F" w:rsidP="00430D8F">
      <w:pPr>
        <w:numPr>
          <w:ilvl w:val="0"/>
          <w:numId w:val="46"/>
        </w:numPr>
        <w:rPr>
          <w:kern w:val="20"/>
        </w:rPr>
      </w:pPr>
      <w:r w:rsidRPr="00430D8F">
        <w:rPr>
          <w:kern w:val="20"/>
        </w:rPr>
        <w:t xml:space="preserve">Umar A, Boland CR, </w:t>
      </w:r>
      <w:proofErr w:type="spellStart"/>
      <w:r w:rsidRPr="00430D8F">
        <w:rPr>
          <w:kern w:val="20"/>
        </w:rPr>
        <w:t>Terdiman</w:t>
      </w:r>
      <w:proofErr w:type="spellEnd"/>
      <w:r w:rsidRPr="00430D8F">
        <w:rPr>
          <w:kern w:val="20"/>
        </w:rPr>
        <w:t xml:space="preserve"> JP, et al. Revised Bethesda guidelines for hereditary nonpolyposis colorectal cancer (Lynch syndrome) and microsatellite instability. </w:t>
      </w:r>
      <w:r w:rsidRPr="00397F4E">
        <w:rPr>
          <w:i/>
          <w:kern w:val="20"/>
        </w:rPr>
        <w:t>J Natl Cancer Inst</w:t>
      </w:r>
      <w:r w:rsidRPr="00430D8F">
        <w:rPr>
          <w:kern w:val="20"/>
        </w:rPr>
        <w:t>. 2004;96(4):261-268.</w:t>
      </w:r>
    </w:p>
    <w:p w14:paraId="3C343A1A" w14:textId="77777777" w:rsidR="00B453B6" w:rsidRPr="00D9542B" w:rsidRDefault="00B453B6" w:rsidP="00D9542B">
      <w:pPr>
        <w:pStyle w:val="Footer"/>
        <w:tabs>
          <w:tab w:val="clear" w:pos="4320"/>
          <w:tab w:val="clear" w:pos="8640"/>
          <w:tab w:val="left" w:pos="1440"/>
          <w:tab w:val="left" w:pos="2430"/>
          <w:tab w:val="left" w:pos="3240"/>
          <w:tab w:val="left" w:pos="4860"/>
          <w:tab w:val="center" w:pos="8010"/>
        </w:tabs>
        <w:rPr>
          <w:kern w:val="20"/>
        </w:rPr>
      </w:pPr>
    </w:p>
    <w:p w14:paraId="3AA5D302" w14:textId="77777777" w:rsidR="00161328" w:rsidRPr="006A4163" w:rsidRDefault="00161328" w:rsidP="006A4163">
      <w:pPr>
        <w:tabs>
          <w:tab w:val="left" w:pos="2011"/>
        </w:tabs>
      </w:pPr>
    </w:p>
    <w:sectPr w:rsidR="00161328" w:rsidRPr="006A4163" w:rsidSect="00BF0DFE">
      <w:headerReference w:type="even" r:id="rId19"/>
      <w:headerReference w:type="default" r:id="rId20"/>
      <w:footerReference w:type="even" r:id="rId21"/>
      <w:footerReference w:type="default" r:id="rId22"/>
      <w:endnotePr>
        <w:numFmt w:val="decimal"/>
      </w:endnotePr>
      <w:pgSz w:w="12240" w:h="15840"/>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C3B0F" w14:textId="77777777" w:rsidR="00DD7044" w:rsidRDefault="00DD7044"/>
  </w:endnote>
  <w:endnote w:type="continuationSeparator" w:id="0">
    <w:p w14:paraId="72496310" w14:textId="77777777" w:rsidR="00DD7044" w:rsidRDefault="00DD7044"/>
  </w:endnote>
  <w:endnote w:type="continuationNotice" w:id="1">
    <w:p w14:paraId="7CC1D3C1" w14:textId="77777777" w:rsidR="00DD7044" w:rsidRDefault="00DD70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nev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3A864" w14:textId="77777777" w:rsidR="00DD7044" w:rsidRDefault="00DD7044" w:rsidP="00161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91FD001" w14:textId="77777777" w:rsidR="00DD7044" w:rsidRDefault="00DD7044">
    <w:pPr>
      <w:pStyle w:val="Footer"/>
      <w:ind w:left="360"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88E4E" w14:textId="77777777" w:rsidR="00DD7044" w:rsidRDefault="00DD7044" w:rsidP="00161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B77F41D" w14:textId="77777777" w:rsidR="00DD7044" w:rsidRDefault="00DD7044">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FBE15" w14:textId="2A2C1D72" w:rsidR="00DD7044" w:rsidRPr="00270A26" w:rsidRDefault="00DD7044" w:rsidP="00800071">
    <w:pPr>
      <w:widowControl w:val="0"/>
      <w:autoSpaceDE w:val="0"/>
      <w:autoSpaceDN w:val="0"/>
      <w:adjustRightInd w:val="0"/>
      <w:rPr>
        <w:color w:val="1F497D"/>
        <w:sz w:val="16"/>
        <w:szCs w:val="16"/>
      </w:rPr>
    </w:pPr>
    <w:r w:rsidRPr="00270A26">
      <w:rPr>
        <w:rFonts w:cs="Arial"/>
        <w:b/>
        <w:sz w:val="16"/>
        <w:szCs w:val="16"/>
      </w:rPr>
      <w:t>© 20</w:t>
    </w:r>
    <w:r>
      <w:rPr>
        <w:rFonts w:cs="Arial"/>
        <w:b/>
        <w:sz w:val="16"/>
        <w:szCs w:val="16"/>
      </w:rPr>
      <w:t>20</w:t>
    </w:r>
    <w:r w:rsidRPr="00270A26">
      <w:rPr>
        <w:rFonts w:cs="Arial"/>
        <w:b/>
        <w:sz w:val="16"/>
        <w:szCs w:val="16"/>
      </w:rPr>
      <w:t xml:space="preserve"> College of American Pathologists (CAP). All rights reserved.</w:t>
    </w:r>
    <w:r w:rsidRPr="00270A26">
      <w:rPr>
        <w:color w:val="1F497D"/>
        <w:sz w:val="16"/>
        <w:szCs w:val="16"/>
      </w:rPr>
      <w:t xml:space="preserve"> </w:t>
    </w:r>
  </w:p>
  <w:p w14:paraId="41AC108F" w14:textId="77777777" w:rsidR="00DD7044" w:rsidRPr="00270A26" w:rsidRDefault="00DD7044" w:rsidP="00800071">
    <w:pPr>
      <w:widowControl w:val="0"/>
      <w:autoSpaceDE w:val="0"/>
      <w:autoSpaceDN w:val="0"/>
      <w:adjustRightInd w:val="0"/>
      <w:rPr>
        <w:rFonts w:cs="Arial"/>
        <w:b/>
        <w:color w:val="000000"/>
        <w:sz w:val="16"/>
        <w:szCs w:val="16"/>
      </w:rPr>
    </w:pPr>
    <w:r w:rsidRPr="00270A26">
      <w:rPr>
        <w:color w:val="000000"/>
        <w:sz w:val="16"/>
        <w:szCs w:val="16"/>
      </w:rPr>
      <w:t xml:space="preserve">For Terms of Use please visit </w:t>
    </w:r>
    <w:hyperlink r:id="rId1" w:history="1">
      <w:r w:rsidRPr="00270A26">
        <w:rPr>
          <w:rStyle w:val="Hyperlink"/>
          <w:color w:val="000000"/>
          <w:sz w:val="16"/>
          <w:szCs w:val="16"/>
        </w:rPr>
        <w:t>www.cap.org/cancerprotocols</w:t>
      </w:r>
    </w:hyperlink>
    <w:r w:rsidRPr="00270A26">
      <w:rPr>
        <w:color w:val="000000"/>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90F67" w14:textId="77777777" w:rsidR="00DD7044" w:rsidRDefault="00DD7044">
    <w:pPr>
      <w:pStyle w:val="Footer"/>
      <w:framePr w:wrap="around" w:vAnchor="text" w:hAnchor="page" w:x="1801" w:y="-19"/>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18A0A615" w14:textId="77777777" w:rsidR="00DD7044" w:rsidRDefault="00DD7044">
    <w:pPr>
      <w:pStyle w:val="Footer"/>
      <w:tabs>
        <w:tab w:val="clear" w:pos="4320"/>
      </w:tabs>
      <w:jc w:val="right"/>
    </w:pPr>
    <w:r>
      <w:t xml:space="preserve">* Data elements </w:t>
    </w:r>
    <w:r>
      <w:rPr>
        <w:b/>
        <w:i/>
      </w:rPr>
      <w:t>with asterisks</w:t>
    </w:r>
    <w:r>
      <w:t xml:space="preserve"> are </w:t>
    </w:r>
    <w:r>
      <w:rPr>
        <w:b/>
        <w:i/>
      </w:rPr>
      <w:t>not required</w:t>
    </w:r>
    <w:r>
      <w:t xml:space="preserve"> for accreditation purposes for</w:t>
    </w:r>
    <w:r>
      <w:br/>
      <w:t>the Commission on Cancer. These elements may be clinically important,</w:t>
    </w:r>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8A710" w14:textId="77777777" w:rsidR="00DD7044" w:rsidRPr="00132325" w:rsidRDefault="00DD7044">
    <w:pPr>
      <w:pStyle w:val="Footer"/>
      <w:framePr w:w="386" w:wrap="around" w:vAnchor="text" w:hAnchor="margin" w:xAlign="right" w:yAlign="top"/>
      <w:rPr>
        <w:rStyle w:val="PageNumber"/>
      </w:rPr>
    </w:pPr>
    <w:r w:rsidRPr="00132325">
      <w:rPr>
        <w:rStyle w:val="PageNumber"/>
      </w:rPr>
      <w:fldChar w:fldCharType="begin"/>
    </w:r>
    <w:r w:rsidRPr="00132325">
      <w:rPr>
        <w:rStyle w:val="PageNumber"/>
      </w:rPr>
      <w:instrText xml:space="preserve">PAGE  </w:instrText>
    </w:r>
    <w:r w:rsidRPr="00132325">
      <w:rPr>
        <w:rStyle w:val="PageNumber"/>
      </w:rPr>
      <w:fldChar w:fldCharType="separate"/>
    </w:r>
    <w:r>
      <w:rPr>
        <w:rStyle w:val="PageNumber"/>
        <w:noProof/>
      </w:rPr>
      <w:t>4</w:t>
    </w:r>
    <w:r w:rsidRPr="00132325">
      <w:rPr>
        <w:rStyle w:val="PageNumber"/>
      </w:rPr>
      <w:fldChar w:fldCharType="end"/>
    </w:r>
  </w:p>
  <w:p w14:paraId="568DBCDF" w14:textId="77777777" w:rsidR="00DD7044" w:rsidRPr="0090374B" w:rsidRDefault="00DD7044" w:rsidP="00980EB3">
    <w:pPr>
      <w:tabs>
        <w:tab w:val="right" w:pos="8640"/>
      </w:tabs>
      <w:ind w:left="180" w:right="360" w:hanging="180"/>
      <w:rPr>
        <w:sz w:val="16"/>
        <w:szCs w:val="16"/>
      </w:rPr>
    </w:pPr>
    <w:bookmarkStart w:id="7" w:name="_Hlk6320639"/>
    <w:bookmarkStart w:id="8" w:name="_Hlk6320640"/>
    <w:r w:rsidRPr="00C23BA8">
      <w:rPr>
        <w:rFonts w:cs="Arial"/>
        <w:kern w:val="24"/>
        <w:sz w:val="16"/>
        <w:szCs w:val="16"/>
      </w:rPr>
      <w:t>The routinely reported core data elements are bolded.</w:t>
    </w:r>
    <w:bookmarkEnd w:id="7"/>
    <w:bookmarkEnd w:id="8"/>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EC8FA" w14:textId="77777777" w:rsidR="00DD7044" w:rsidRDefault="00DD70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609109BE" w14:textId="77777777" w:rsidR="00DD7044" w:rsidRDefault="00DD7044">
    <w:pPr>
      <w:pStyle w:val="Footer"/>
      <w:tabs>
        <w:tab w:val="clear" w:pos="4320"/>
      </w:tabs>
      <w:ind w:left="360"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9DDA3" w14:textId="77777777" w:rsidR="00DD7044" w:rsidRDefault="00DD7044">
    <w:pPr>
      <w:pStyle w:val="Footer"/>
      <w:framePr w:w="386" w:wrap="around" w:vAnchor="text" w:hAnchor="margin" w:xAlign="right" w:yAlign="top"/>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4A888D22" w14:textId="77777777" w:rsidR="00DD7044" w:rsidRDefault="00DD7044">
    <w:pPr>
      <w:pStyle w:val="Footer"/>
      <w:tabs>
        <w:tab w:val="clear" w:pos="4320"/>
      </w:tabs>
      <w:ind w:left="180" w:right="360" w:hanging="180"/>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49780" w14:textId="77777777" w:rsidR="00DD7044" w:rsidRDefault="00DD7044">
      <w:r>
        <w:separator/>
      </w:r>
    </w:p>
  </w:footnote>
  <w:footnote w:type="continuationSeparator" w:id="0">
    <w:p w14:paraId="33485CD0" w14:textId="77777777" w:rsidR="00DD7044" w:rsidRDefault="00DD7044">
      <w:r>
        <w:continuationSeparator/>
      </w:r>
    </w:p>
  </w:footnote>
  <w:footnote w:type="continuationNotice" w:id="1">
    <w:p w14:paraId="54D6C222" w14:textId="77777777" w:rsidR="00DD7044" w:rsidRDefault="00DD70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2253F" w14:textId="77777777" w:rsidR="00DD7044" w:rsidRDefault="00DD7044">
    <w:pPr>
      <w:pStyle w:val="Header"/>
      <w:tabs>
        <w:tab w:val="clear" w:pos="4320"/>
      </w:tabs>
    </w:pPr>
    <w:r>
      <w:rPr>
        <w:b/>
      </w:rPr>
      <w:t>Colon and Rectum • Digestive System</w:t>
    </w:r>
    <w:r>
      <w:rPr>
        <w:b/>
      </w:rPr>
      <w:tab/>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0E7B0" w14:textId="77777777" w:rsidR="00DD7044" w:rsidRDefault="00DD7044" w:rsidP="00BF0DFE">
    <w:pPr>
      <w:pStyle w:val="Header"/>
      <w:tabs>
        <w:tab w:val="clear" w:pos="4320"/>
        <w:tab w:val="clear" w:pos="8640"/>
        <w:tab w:val="right" w:pos="10080"/>
      </w:tabs>
      <w:rPr>
        <w:b/>
      </w:rPr>
    </w:pPr>
    <w:r>
      <w:rPr>
        <w:b/>
      </w:rPr>
      <w:tab/>
      <w:t>Gastrointestinal • Colon and Rectum 4.2.0.0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ED1A6" w14:textId="77777777" w:rsidR="00DD7044" w:rsidRDefault="009025DC">
    <w:pPr>
      <w:pStyle w:val="Header"/>
      <w:rPr>
        <w:noProof/>
      </w:rPr>
    </w:pPr>
    <w:r>
      <w:rPr>
        <w:noProof/>
      </w:rPr>
      <w:pict w14:anchorId="04294B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45pt;height:39.65pt">
          <v:imagedata r:id="rId1" o:title="CAP_logo_cmyk"/>
        </v:shape>
      </w:pict>
    </w:r>
  </w:p>
  <w:p w14:paraId="267D8CFF" w14:textId="77777777" w:rsidR="00DD7044" w:rsidRPr="006515C9" w:rsidRDefault="00DD7044">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BA7EA" w14:textId="3B77523C" w:rsidR="00DD7044" w:rsidRDefault="00DD7044" w:rsidP="00BF0DFE">
    <w:pPr>
      <w:pStyle w:val="Header"/>
      <w:tabs>
        <w:tab w:val="clear" w:pos="4320"/>
        <w:tab w:val="clear" w:pos="8640"/>
        <w:tab w:val="right" w:pos="10080"/>
      </w:tabs>
      <w:rPr>
        <w:b/>
      </w:rPr>
    </w:pPr>
    <w:r>
      <w:rPr>
        <w:b/>
      </w:rPr>
      <w:t>CAP Approved</w:t>
    </w:r>
    <w:r>
      <w:rPr>
        <w:b/>
      </w:rPr>
      <w:tab/>
      <w:t xml:space="preserve">Gastrointestinal </w:t>
    </w:r>
    <w:bookmarkStart w:id="6" w:name="_Hlk29383928"/>
    <w:r>
      <w:rPr>
        <w:b/>
      </w:rPr>
      <w:t xml:space="preserve">• </w:t>
    </w:r>
    <w:bookmarkEnd w:id="6"/>
    <w:r>
      <w:rPr>
        <w:b/>
      </w:rPr>
      <w:t xml:space="preserve">Colon and Rectum </w:t>
    </w:r>
    <w:r w:rsidR="00E95400">
      <w:rPr>
        <w:b/>
      </w:rPr>
      <w:t xml:space="preserve">• Biopsy • </w:t>
    </w:r>
    <w:r>
      <w:rPr>
        <w:b/>
      </w:rPr>
      <w:t>4.1.0.0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959CD" w14:textId="77777777" w:rsidR="00DD7044" w:rsidRDefault="00DD7044">
    <w:pPr>
      <w:pStyle w:val="Header"/>
      <w:tabs>
        <w:tab w:val="clear" w:pos="4320"/>
      </w:tabs>
    </w:pPr>
    <w:r>
      <w:rPr>
        <w:b/>
      </w:rPr>
      <w:t>Colon and Rectum • Digestive System</w:t>
    </w:r>
    <w:r>
      <w:rPr>
        <w:b/>
      </w:rPr>
      <w:tab/>
    </w:r>
    <w:proofErr w:type="gramStart"/>
    <w:r>
      <w:rPr>
        <w:b/>
      </w:rPr>
      <w:t>For</w:t>
    </w:r>
    <w:proofErr w:type="gramEnd"/>
    <w:r>
      <w:rPr>
        <w:b/>
      </w:rPr>
      <w:t xml:space="preserve"> Information Only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80B94" w14:textId="302CDA8E" w:rsidR="00DD7044" w:rsidRDefault="00DD7044" w:rsidP="00BF0DFE">
    <w:pPr>
      <w:pStyle w:val="Header"/>
      <w:tabs>
        <w:tab w:val="clear" w:pos="4320"/>
        <w:tab w:val="clear" w:pos="8640"/>
        <w:tab w:val="right" w:pos="10080"/>
      </w:tabs>
      <w:rPr>
        <w:b/>
      </w:rPr>
    </w:pPr>
    <w:r>
      <w:rPr>
        <w:b/>
      </w:rPr>
      <w:t xml:space="preserve">Background Documentation </w:t>
    </w:r>
    <w:r>
      <w:rPr>
        <w:b/>
      </w:rPr>
      <w:tab/>
    </w:r>
    <w:r w:rsidR="00E95400">
      <w:rPr>
        <w:b/>
      </w:rPr>
      <w:t>Gastrointestinal • Colon and Rectum • Biopsy • 4.1.0.0</w:t>
    </w:r>
  </w:p>
  <w:p w14:paraId="4F8125C6" w14:textId="43C94424" w:rsidR="00DD7044" w:rsidRDefault="00DD7044" w:rsidP="00BF0DFE">
    <w:pPr>
      <w:pStyle w:val="Header"/>
      <w:tabs>
        <w:tab w:val="clear" w:pos="4320"/>
        <w:tab w:val="clear" w:pos="8640"/>
        <w:tab w:val="right" w:pos="10080"/>
      </w:tabs>
      <w:rPr>
        <w:b/>
      </w:rPr>
    </w:pPr>
    <w:r>
      <w:rPr>
        <w:b/>
      </w:rPr>
      <w:tab/>
    </w:r>
  </w:p>
  <w:p w14:paraId="2893042F" w14:textId="77777777" w:rsidR="00DD7044" w:rsidRDefault="00DD7044">
    <w:pPr>
      <w:pStyle w:val="Header"/>
      <w:tabs>
        <w:tab w:val="clear" w:pos="432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A8A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9021F3"/>
    <w:multiLevelType w:val="hybridMultilevel"/>
    <w:tmpl w:val="4FA290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231115"/>
    <w:multiLevelType w:val="hybridMultilevel"/>
    <w:tmpl w:val="80B2A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31332"/>
    <w:multiLevelType w:val="hybridMultilevel"/>
    <w:tmpl w:val="193EA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06C77"/>
    <w:multiLevelType w:val="hybridMultilevel"/>
    <w:tmpl w:val="DC24E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AD5D4B"/>
    <w:multiLevelType w:val="multilevel"/>
    <w:tmpl w:val="92ECE69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17456BC3"/>
    <w:multiLevelType w:val="hybridMultilevel"/>
    <w:tmpl w:val="C7524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DE1D30"/>
    <w:multiLevelType w:val="hybridMultilevel"/>
    <w:tmpl w:val="E0E8DD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401B34"/>
    <w:multiLevelType w:val="hybridMultilevel"/>
    <w:tmpl w:val="986039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E00F88"/>
    <w:multiLevelType w:val="hybridMultilevel"/>
    <w:tmpl w:val="123CDA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10F0364"/>
    <w:multiLevelType w:val="hybridMultilevel"/>
    <w:tmpl w:val="82267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55578"/>
    <w:multiLevelType w:val="hybridMultilevel"/>
    <w:tmpl w:val="354AAA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AA0558"/>
    <w:multiLevelType w:val="hybridMultilevel"/>
    <w:tmpl w:val="FBDCE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7A2884"/>
    <w:multiLevelType w:val="hybridMultilevel"/>
    <w:tmpl w:val="DCB80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34389B"/>
    <w:multiLevelType w:val="hybridMultilevel"/>
    <w:tmpl w:val="8D129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2D10DA"/>
    <w:multiLevelType w:val="hybridMultilevel"/>
    <w:tmpl w:val="6A049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34816C2"/>
    <w:multiLevelType w:val="hybridMultilevel"/>
    <w:tmpl w:val="920094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59B3EE6"/>
    <w:multiLevelType w:val="hybridMultilevel"/>
    <w:tmpl w:val="86B425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D757D30"/>
    <w:multiLevelType w:val="hybridMultilevel"/>
    <w:tmpl w:val="FF809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7711F4"/>
    <w:multiLevelType w:val="hybridMultilevel"/>
    <w:tmpl w:val="5B4E4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C57053"/>
    <w:multiLevelType w:val="hybridMultilevel"/>
    <w:tmpl w:val="F760D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58F44E3"/>
    <w:multiLevelType w:val="hybridMultilevel"/>
    <w:tmpl w:val="96DCF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3C1DCB"/>
    <w:multiLevelType w:val="hybridMultilevel"/>
    <w:tmpl w:val="741859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7B77EA"/>
    <w:multiLevelType w:val="hybridMultilevel"/>
    <w:tmpl w:val="1FCC1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692F0E"/>
    <w:multiLevelType w:val="hybridMultilevel"/>
    <w:tmpl w:val="E3F6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171805"/>
    <w:multiLevelType w:val="hybridMultilevel"/>
    <w:tmpl w:val="73A05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473642"/>
    <w:multiLevelType w:val="hybridMultilevel"/>
    <w:tmpl w:val="920094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C5E750A"/>
    <w:multiLevelType w:val="hybridMultilevel"/>
    <w:tmpl w:val="7D2A1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92621E"/>
    <w:multiLevelType w:val="hybridMultilevel"/>
    <w:tmpl w:val="ED28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0A3C42"/>
    <w:multiLevelType w:val="hybridMultilevel"/>
    <w:tmpl w:val="830CD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D9379F"/>
    <w:multiLevelType w:val="hybridMultilevel"/>
    <w:tmpl w:val="1500D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0125F5"/>
    <w:multiLevelType w:val="hybridMultilevel"/>
    <w:tmpl w:val="2228C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6053ED"/>
    <w:multiLevelType w:val="hybridMultilevel"/>
    <w:tmpl w:val="D0000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D80C64"/>
    <w:multiLevelType w:val="hybridMultilevel"/>
    <w:tmpl w:val="21E6BF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DC50631"/>
    <w:multiLevelType w:val="hybridMultilevel"/>
    <w:tmpl w:val="18247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EF424E"/>
    <w:multiLevelType w:val="hybridMultilevel"/>
    <w:tmpl w:val="82989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3D217E"/>
    <w:multiLevelType w:val="hybridMultilevel"/>
    <w:tmpl w:val="1CB80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A11A0B"/>
    <w:multiLevelType w:val="hybridMultilevel"/>
    <w:tmpl w:val="2228C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9A5FBE"/>
    <w:multiLevelType w:val="hybridMultilevel"/>
    <w:tmpl w:val="44D63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DA2689"/>
    <w:multiLevelType w:val="hybridMultilevel"/>
    <w:tmpl w:val="0B807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4924E3"/>
    <w:multiLevelType w:val="hybridMultilevel"/>
    <w:tmpl w:val="C5D61C84"/>
    <w:lvl w:ilvl="0" w:tplc="04090001">
      <w:start w:val="1"/>
      <w:numFmt w:val="bullet"/>
      <w:lvlText w:val=""/>
      <w:lvlJc w:val="left"/>
      <w:pPr>
        <w:ind w:left="720" w:hanging="360"/>
      </w:pPr>
      <w:rPr>
        <w:rFonts w:ascii="Symbol" w:hAnsi="Symbol" w:hint="default"/>
      </w:rPr>
    </w:lvl>
    <w:lvl w:ilvl="1" w:tplc="26AA8E1A" w:tentative="1">
      <w:start w:val="1"/>
      <w:numFmt w:val="bullet"/>
      <w:lvlText w:val="o"/>
      <w:lvlJc w:val="left"/>
      <w:pPr>
        <w:tabs>
          <w:tab w:val="num" w:pos="1500"/>
        </w:tabs>
        <w:ind w:left="1500" w:hanging="360"/>
      </w:pPr>
      <w:rPr>
        <w:rFonts w:ascii="Courier New" w:hAnsi="Courier New" w:hint="default"/>
      </w:rPr>
    </w:lvl>
    <w:lvl w:ilvl="2" w:tplc="03F4E0CA" w:tentative="1">
      <w:start w:val="1"/>
      <w:numFmt w:val="bullet"/>
      <w:lvlText w:val=""/>
      <w:lvlJc w:val="left"/>
      <w:pPr>
        <w:tabs>
          <w:tab w:val="num" w:pos="2220"/>
        </w:tabs>
        <w:ind w:left="2220" w:hanging="360"/>
      </w:pPr>
      <w:rPr>
        <w:rFonts w:ascii="Wingdings" w:hAnsi="Wingdings" w:hint="default"/>
      </w:rPr>
    </w:lvl>
    <w:lvl w:ilvl="3" w:tplc="4E3851C4" w:tentative="1">
      <w:start w:val="1"/>
      <w:numFmt w:val="bullet"/>
      <w:lvlText w:val=""/>
      <w:lvlJc w:val="left"/>
      <w:pPr>
        <w:tabs>
          <w:tab w:val="num" w:pos="2940"/>
        </w:tabs>
        <w:ind w:left="2940" w:hanging="360"/>
      </w:pPr>
      <w:rPr>
        <w:rFonts w:ascii="Symbol" w:hAnsi="Symbol" w:hint="default"/>
      </w:rPr>
    </w:lvl>
    <w:lvl w:ilvl="4" w:tplc="5290D45E" w:tentative="1">
      <w:start w:val="1"/>
      <w:numFmt w:val="bullet"/>
      <w:lvlText w:val="o"/>
      <w:lvlJc w:val="left"/>
      <w:pPr>
        <w:tabs>
          <w:tab w:val="num" w:pos="3660"/>
        </w:tabs>
        <w:ind w:left="3660" w:hanging="360"/>
      </w:pPr>
      <w:rPr>
        <w:rFonts w:ascii="Courier New" w:hAnsi="Courier New" w:hint="default"/>
      </w:rPr>
    </w:lvl>
    <w:lvl w:ilvl="5" w:tplc="BB96220E" w:tentative="1">
      <w:start w:val="1"/>
      <w:numFmt w:val="bullet"/>
      <w:lvlText w:val=""/>
      <w:lvlJc w:val="left"/>
      <w:pPr>
        <w:tabs>
          <w:tab w:val="num" w:pos="4380"/>
        </w:tabs>
        <w:ind w:left="4380" w:hanging="360"/>
      </w:pPr>
      <w:rPr>
        <w:rFonts w:ascii="Wingdings" w:hAnsi="Wingdings" w:hint="default"/>
      </w:rPr>
    </w:lvl>
    <w:lvl w:ilvl="6" w:tplc="C44C0F78" w:tentative="1">
      <w:start w:val="1"/>
      <w:numFmt w:val="bullet"/>
      <w:lvlText w:val=""/>
      <w:lvlJc w:val="left"/>
      <w:pPr>
        <w:tabs>
          <w:tab w:val="num" w:pos="5100"/>
        </w:tabs>
        <w:ind w:left="5100" w:hanging="360"/>
      </w:pPr>
      <w:rPr>
        <w:rFonts w:ascii="Symbol" w:hAnsi="Symbol" w:hint="default"/>
      </w:rPr>
    </w:lvl>
    <w:lvl w:ilvl="7" w:tplc="E26E40C8" w:tentative="1">
      <w:start w:val="1"/>
      <w:numFmt w:val="bullet"/>
      <w:lvlText w:val="o"/>
      <w:lvlJc w:val="left"/>
      <w:pPr>
        <w:tabs>
          <w:tab w:val="num" w:pos="5820"/>
        </w:tabs>
        <w:ind w:left="5820" w:hanging="360"/>
      </w:pPr>
      <w:rPr>
        <w:rFonts w:ascii="Courier New" w:hAnsi="Courier New" w:hint="default"/>
      </w:rPr>
    </w:lvl>
    <w:lvl w:ilvl="8" w:tplc="ABE89578" w:tentative="1">
      <w:start w:val="1"/>
      <w:numFmt w:val="bullet"/>
      <w:lvlText w:val=""/>
      <w:lvlJc w:val="left"/>
      <w:pPr>
        <w:tabs>
          <w:tab w:val="num" w:pos="6540"/>
        </w:tabs>
        <w:ind w:left="6540" w:hanging="360"/>
      </w:pPr>
      <w:rPr>
        <w:rFonts w:ascii="Wingdings" w:hAnsi="Wingdings" w:hint="default"/>
      </w:rPr>
    </w:lvl>
  </w:abstractNum>
  <w:abstractNum w:abstractNumId="43" w15:restartNumberingAfterBreak="0">
    <w:nsid w:val="71B168A6"/>
    <w:multiLevelType w:val="hybridMultilevel"/>
    <w:tmpl w:val="2228C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A64104"/>
    <w:multiLevelType w:val="hybridMultilevel"/>
    <w:tmpl w:val="FEF8F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286EF7"/>
    <w:multiLevelType w:val="hybridMultilevel"/>
    <w:tmpl w:val="B00076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AAA3091"/>
    <w:multiLevelType w:val="hybridMultilevel"/>
    <w:tmpl w:val="80B2A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042341"/>
    <w:multiLevelType w:val="hybridMultilevel"/>
    <w:tmpl w:val="49744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7"/>
  </w:num>
  <w:num w:numId="3">
    <w:abstractNumId w:val="44"/>
  </w:num>
  <w:num w:numId="4">
    <w:abstractNumId w:val="42"/>
  </w:num>
  <w:num w:numId="5">
    <w:abstractNumId w:val="47"/>
  </w:num>
  <w:num w:numId="6">
    <w:abstractNumId w:val="38"/>
  </w:num>
  <w:num w:numId="7">
    <w:abstractNumId w:val="46"/>
  </w:num>
  <w:num w:numId="8">
    <w:abstractNumId w:val="33"/>
  </w:num>
  <w:num w:numId="9">
    <w:abstractNumId w:val="29"/>
  </w:num>
  <w:num w:numId="10">
    <w:abstractNumId w:val="2"/>
  </w:num>
  <w:num w:numId="11">
    <w:abstractNumId w:val="39"/>
  </w:num>
  <w:num w:numId="12">
    <w:abstractNumId w:val="40"/>
  </w:num>
  <w:num w:numId="13">
    <w:abstractNumId w:val="14"/>
  </w:num>
  <w:num w:numId="14">
    <w:abstractNumId w:val="13"/>
  </w:num>
  <w:num w:numId="15">
    <w:abstractNumId w:val="3"/>
  </w:num>
  <w:num w:numId="16">
    <w:abstractNumId w:val="34"/>
  </w:num>
  <w:num w:numId="17">
    <w:abstractNumId w:val="10"/>
  </w:num>
  <w:num w:numId="18">
    <w:abstractNumId w:val="12"/>
  </w:num>
  <w:num w:numId="19">
    <w:abstractNumId w:val="25"/>
  </w:num>
  <w:num w:numId="20">
    <w:abstractNumId w:val="23"/>
  </w:num>
  <w:num w:numId="21">
    <w:abstractNumId w:val="37"/>
  </w:num>
  <w:num w:numId="22">
    <w:abstractNumId w:val="22"/>
  </w:num>
  <w:num w:numId="23">
    <w:abstractNumId w:val="20"/>
  </w:num>
  <w:num w:numId="24">
    <w:abstractNumId w:val="36"/>
  </w:num>
  <w:num w:numId="25">
    <w:abstractNumId w:val="32"/>
  </w:num>
  <w:num w:numId="26">
    <w:abstractNumId w:val="31"/>
  </w:num>
  <w:num w:numId="27">
    <w:abstractNumId w:val="43"/>
  </w:num>
  <w:num w:numId="28">
    <w:abstractNumId w:val="0"/>
  </w:num>
  <w:num w:numId="29">
    <w:abstractNumId w:val="18"/>
  </w:num>
  <w:num w:numId="30">
    <w:abstractNumId w:val="41"/>
  </w:num>
  <w:num w:numId="31">
    <w:abstractNumId w:val="6"/>
  </w:num>
  <w:num w:numId="32">
    <w:abstractNumId w:val="11"/>
  </w:num>
  <w:num w:numId="33">
    <w:abstractNumId w:val="4"/>
  </w:num>
  <w:num w:numId="34">
    <w:abstractNumId w:val="17"/>
  </w:num>
  <w:num w:numId="35">
    <w:abstractNumId w:val="45"/>
  </w:num>
  <w:num w:numId="36">
    <w:abstractNumId w:val="8"/>
  </w:num>
  <w:num w:numId="37">
    <w:abstractNumId w:val="19"/>
  </w:num>
  <w:num w:numId="38">
    <w:abstractNumId w:val="7"/>
  </w:num>
  <w:num w:numId="39">
    <w:abstractNumId w:val="1"/>
  </w:num>
  <w:num w:numId="40">
    <w:abstractNumId w:val="16"/>
  </w:num>
  <w:num w:numId="41">
    <w:abstractNumId w:val="28"/>
  </w:num>
  <w:num w:numId="42">
    <w:abstractNumId w:val="35"/>
  </w:num>
  <w:num w:numId="43">
    <w:abstractNumId w:val="21"/>
  </w:num>
  <w:num w:numId="44">
    <w:abstractNumId w:val="9"/>
  </w:num>
  <w:num w:numId="45">
    <w:abstractNumId w:val="15"/>
  </w:num>
  <w:num w:numId="46">
    <w:abstractNumId w:val="24"/>
  </w:num>
  <w:num w:numId="47">
    <w:abstractNumId w:val="30"/>
  </w:num>
  <w:num w:numId="48">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removeDateAndTime/>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3554"/>
  </w:hdrShapeDefaults>
  <w:footnotePr>
    <w:footnote w:id="-1"/>
    <w:footnote w:id="0"/>
    <w:footnote w:id="1"/>
  </w:footnotePr>
  <w:endnotePr>
    <w:numFmt w:val="decimal"/>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J Amer Medical Association&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colon cancer staging.enl&lt;/item&gt;&lt;/Libraries&gt;&lt;/ENLibraries&gt;"/>
  </w:docVars>
  <w:rsids>
    <w:rsidRoot w:val="002E0ADC"/>
    <w:rsid w:val="00007A72"/>
    <w:rsid w:val="00015E54"/>
    <w:rsid w:val="000161E3"/>
    <w:rsid w:val="00017831"/>
    <w:rsid w:val="00021A08"/>
    <w:rsid w:val="00026034"/>
    <w:rsid w:val="000312E1"/>
    <w:rsid w:val="00033C7E"/>
    <w:rsid w:val="00034B02"/>
    <w:rsid w:val="00035161"/>
    <w:rsid w:val="0003679B"/>
    <w:rsid w:val="000452B0"/>
    <w:rsid w:val="000507BC"/>
    <w:rsid w:val="00052C42"/>
    <w:rsid w:val="0006299B"/>
    <w:rsid w:val="00067079"/>
    <w:rsid w:val="000751E0"/>
    <w:rsid w:val="000806A8"/>
    <w:rsid w:val="00080900"/>
    <w:rsid w:val="00080A30"/>
    <w:rsid w:val="00080BFC"/>
    <w:rsid w:val="000841C3"/>
    <w:rsid w:val="00087107"/>
    <w:rsid w:val="00090F38"/>
    <w:rsid w:val="00090F9D"/>
    <w:rsid w:val="00091518"/>
    <w:rsid w:val="000926DE"/>
    <w:rsid w:val="00093006"/>
    <w:rsid w:val="000A152B"/>
    <w:rsid w:val="000A5229"/>
    <w:rsid w:val="000A7954"/>
    <w:rsid w:val="000B4C56"/>
    <w:rsid w:val="000B5065"/>
    <w:rsid w:val="000C1313"/>
    <w:rsid w:val="000C281E"/>
    <w:rsid w:val="000C3A51"/>
    <w:rsid w:val="000C3FBE"/>
    <w:rsid w:val="000C7862"/>
    <w:rsid w:val="000C7A52"/>
    <w:rsid w:val="000D2514"/>
    <w:rsid w:val="000D2C4F"/>
    <w:rsid w:val="000D2EA5"/>
    <w:rsid w:val="000D380D"/>
    <w:rsid w:val="000D4A8B"/>
    <w:rsid w:val="000D53B7"/>
    <w:rsid w:val="000D723D"/>
    <w:rsid w:val="000E25F7"/>
    <w:rsid w:val="000E2AE7"/>
    <w:rsid w:val="000E34B7"/>
    <w:rsid w:val="000F2532"/>
    <w:rsid w:val="00105769"/>
    <w:rsid w:val="00105CB1"/>
    <w:rsid w:val="00107370"/>
    <w:rsid w:val="001155D0"/>
    <w:rsid w:val="00117F4D"/>
    <w:rsid w:val="001271DA"/>
    <w:rsid w:val="00130019"/>
    <w:rsid w:val="00130C40"/>
    <w:rsid w:val="001316EB"/>
    <w:rsid w:val="00132325"/>
    <w:rsid w:val="001418DF"/>
    <w:rsid w:val="001432C3"/>
    <w:rsid w:val="00143C6A"/>
    <w:rsid w:val="00150888"/>
    <w:rsid w:val="00152151"/>
    <w:rsid w:val="00153CCD"/>
    <w:rsid w:val="0015427E"/>
    <w:rsid w:val="00154AA8"/>
    <w:rsid w:val="0015511C"/>
    <w:rsid w:val="00155BBB"/>
    <w:rsid w:val="00160F1C"/>
    <w:rsid w:val="00161328"/>
    <w:rsid w:val="00163B57"/>
    <w:rsid w:val="001643AB"/>
    <w:rsid w:val="001669EE"/>
    <w:rsid w:val="00166B1A"/>
    <w:rsid w:val="00166F11"/>
    <w:rsid w:val="001677BE"/>
    <w:rsid w:val="0017062D"/>
    <w:rsid w:val="0017400D"/>
    <w:rsid w:val="00175BEF"/>
    <w:rsid w:val="0018002D"/>
    <w:rsid w:val="0018142C"/>
    <w:rsid w:val="00183724"/>
    <w:rsid w:val="00184CF9"/>
    <w:rsid w:val="0018505E"/>
    <w:rsid w:val="00186E68"/>
    <w:rsid w:val="00192E0F"/>
    <w:rsid w:val="0019315A"/>
    <w:rsid w:val="001977BD"/>
    <w:rsid w:val="001A2270"/>
    <w:rsid w:val="001A620D"/>
    <w:rsid w:val="001B0BAD"/>
    <w:rsid w:val="001B2B19"/>
    <w:rsid w:val="001B39F6"/>
    <w:rsid w:val="001B47D7"/>
    <w:rsid w:val="001B4AFC"/>
    <w:rsid w:val="001B75E7"/>
    <w:rsid w:val="001C2CD2"/>
    <w:rsid w:val="001C5F47"/>
    <w:rsid w:val="001C611D"/>
    <w:rsid w:val="001C6BBF"/>
    <w:rsid w:val="001C6BFB"/>
    <w:rsid w:val="001D3456"/>
    <w:rsid w:val="001D5C82"/>
    <w:rsid w:val="001E02D2"/>
    <w:rsid w:val="001E074B"/>
    <w:rsid w:val="001E3EA6"/>
    <w:rsid w:val="001E4030"/>
    <w:rsid w:val="001E4821"/>
    <w:rsid w:val="001E6134"/>
    <w:rsid w:val="001F04C4"/>
    <w:rsid w:val="001F5187"/>
    <w:rsid w:val="001F5911"/>
    <w:rsid w:val="002004B9"/>
    <w:rsid w:val="00200CE6"/>
    <w:rsid w:val="0020371A"/>
    <w:rsid w:val="00205624"/>
    <w:rsid w:val="0020664D"/>
    <w:rsid w:val="00211483"/>
    <w:rsid w:val="0021356D"/>
    <w:rsid w:val="00215066"/>
    <w:rsid w:val="002161AE"/>
    <w:rsid w:val="002161E9"/>
    <w:rsid w:val="00216867"/>
    <w:rsid w:val="00222443"/>
    <w:rsid w:val="002236FB"/>
    <w:rsid w:val="00224113"/>
    <w:rsid w:val="00224114"/>
    <w:rsid w:val="00227970"/>
    <w:rsid w:val="00232BB7"/>
    <w:rsid w:val="002345E1"/>
    <w:rsid w:val="002411F0"/>
    <w:rsid w:val="002426EE"/>
    <w:rsid w:val="00243368"/>
    <w:rsid w:val="002459E5"/>
    <w:rsid w:val="00254A98"/>
    <w:rsid w:val="002563EA"/>
    <w:rsid w:val="00260FA1"/>
    <w:rsid w:val="00266918"/>
    <w:rsid w:val="002673C8"/>
    <w:rsid w:val="00267529"/>
    <w:rsid w:val="00270A26"/>
    <w:rsid w:val="00271627"/>
    <w:rsid w:val="00272795"/>
    <w:rsid w:val="00272AB7"/>
    <w:rsid w:val="002750D5"/>
    <w:rsid w:val="00275459"/>
    <w:rsid w:val="002769DF"/>
    <w:rsid w:val="002769F5"/>
    <w:rsid w:val="0028247F"/>
    <w:rsid w:val="00283F5B"/>
    <w:rsid w:val="00284B8F"/>
    <w:rsid w:val="0029052D"/>
    <w:rsid w:val="002952CF"/>
    <w:rsid w:val="002A09B0"/>
    <w:rsid w:val="002A2D0B"/>
    <w:rsid w:val="002A5E50"/>
    <w:rsid w:val="002A6EED"/>
    <w:rsid w:val="002B09AA"/>
    <w:rsid w:val="002B2390"/>
    <w:rsid w:val="002B543F"/>
    <w:rsid w:val="002B5B84"/>
    <w:rsid w:val="002C0AF0"/>
    <w:rsid w:val="002C1937"/>
    <w:rsid w:val="002C1C4A"/>
    <w:rsid w:val="002C20DC"/>
    <w:rsid w:val="002C43E4"/>
    <w:rsid w:val="002C4647"/>
    <w:rsid w:val="002C6CA5"/>
    <w:rsid w:val="002C7727"/>
    <w:rsid w:val="002D30BF"/>
    <w:rsid w:val="002D4101"/>
    <w:rsid w:val="002D7F41"/>
    <w:rsid w:val="002E058A"/>
    <w:rsid w:val="002E0ADC"/>
    <w:rsid w:val="002E1852"/>
    <w:rsid w:val="002E191B"/>
    <w:rsid w:val="002E23E2"/>
    <w:rsid w:val="002E680F"/>
    <w:rsid w:val="002E727C"/>
    <w:rsid w:val="002F0204"/>
    <w:rsid w:val="002F0F64"/>
    <w:rsid w:val="002F1A5A"/>
    <w:rsid w:val="002F2D6C"/>
    <w:rsid w:val="002F3433"/>
    <w:rsid w:val="002F71D5"/>
    <w:rsid w:val="002F725A"/>
    <w:rsid w:val="00301D8E"/>
    <w:rsid w:val="00304664"/>
    <w:rsid w:val="00313A92"/>
    <w:rsid w:val="003166A0"/>
    <w:rsid w:val="0032069C"/>
    <w:rsid w:val="003234CC"/>
    <w:rsid w:val="00324F4E"/>
    <w:rsid w:val="00326ABA"/>
    <w:rsid w:val="00330210"/>
    <w:rsid w:val="003309B5"/>
    <w:rsid w:val="0033352F"/>
    <w:rsid w:val="00333845"/>
    <w:rsid w:val="0033422E"/>
    <w:rsid w:val="00335F1C"/>
    <w:rsid w:val="003378B6"/>
    <w:rsid w:val="00337EC0"/>
    <w:rsid w:val="00340F3F"/>
    <w:rsid w:val="00341186"/>
    <w:rsid w:val="00341AAD"/>
    <w:rsid w:val="0034415C"/>
    <w:rsid w:val="0035087E"/>
    <w:rsid w:val="00356B37"/>
    <w:rsid w:val="00361459"/>
    <w:rsid w:val="00363D37"/>
    <w:rsid w:val="00364D41"/>
    <w:rsid w:val="00365857"/>
    <w:rsid w:val="00366B78"/>
    <w:rsid w:val="00367135"/>
    <w:rsid w:val="00367807"/>
    <w:rsid w:val="00376B51"/>
    <w:rsid w:val="0038004D"/>
    <w:rsid w:val="003801D4"/>
    <w:rsid w:val="00385FCD"/>
    <w:rsid w:val="00386A7E"/>
    <w:rsid w:val="00391334"/>
    <w:rsid w:val="0039312F"/>
    <w:rsid w:val="00394EC0"/>
    <w:rsid w:val="00397F4E"/>
    <w:rsid w:val="003A013D"/>
    <w:rsid w:val="003A227E"/>
    <w:rsid w:val="003A7138"/>
    <w:rsid w:val="003A7F88"/>
    <w:rsid w:val="003B0463"/>
    <w:rsid w:val="003B0F24"/>
    <w:rsid w:val="003B1A46"/>
    <w:rsid w:val="003B3C33"/>
    <w:rsid w:val="003B677F"/>
    <w:rsid w:val="003C281F"/>
    <w:rsid w:val="003C5707"/>
    <w:rsid w:val="003C5BDA"/>
    <w:rsid w:val="003D10DA"/>
    <w:rsid w:val="003D20B2"/>
    <w:rsid w:val="003D37DC"/>
    <w:rsid w:val="003E162D"/>
    <w:rsid w:val="003E241F"/>
    <w:rsid w:val="003E4DD8"/>
    <w:rsid w:val="00400ED8"/>
    <w:rsid w:val="00404A91"/>
    <w:rsid w:val="0040529C"/>
    <w:rsid w:val="00410068"/>
    <w:rsid w:val="004109BB"/>
    <w:rsid w:val="00412C6D"/>
    <w:rsid w:val="00412F3F"/>
    <w:rsid w:val="00414499"/>
    <w:rsid w:val="00415210"/>
    <w:rsid w:val="004240E9"/>
    <w:rsid w:val="00424AB2"/>
    <w:rsid w:val="0042563B"/>
    <w:rsid w:val="00425EE8"/>
    <w:rsid w:val="004260DE"/>
    <w:rsid w:val="0042714D"/>
    <w:rsid w:val="0043007A"/>
    <w:rsid w:val="00430D8F"/>
    <w:rsid w:val="004324FB"/>
    <w:rsid w:val="00433919"/>
    <w:rsid w:val="00434017"/>
    <w:rsid w:val="00440EB4"/>
    <w:rsid w:val="00443521"/>
    <w:rsid w:val="00444AB3"/>
    <w:rsid w:val="00444B34"/>
    <w:rsid w:val="004462FA"/>
    <w:rsid w:val="0044662A"/>
    <w:rsid w:val="00453CA2"/>
    <w:rsid w:val="00455452"/>
    <w:rsid w:val="004638D1"/>
    <w:rsid w:val="00464096"/>
    <w:rsid w:val="00464B36"/>
    <w:rsid w:val="00470B01"/>
    <w:rsid w:val="004718A4"/>
    <w:rsid w:val="00475A77"/>
    <w:rsid w:val="00481720"/>
    <w:rsid w:val="0048179A"/>
    <w:rsid w:val="004851B2"/>
    <w:rsid w:val="004862C0"/>
    <w:rsid w:val="004866E5"/>
    <w:rsid w:val="004870F7"/>
    <w:rsid w:val="00487B4C"/>
    <w:rsid w:val="00492376"/>
    <w:rsid w:val="0049358B"/>
    <w:rsid w:val="00494F1A"/>
    <w:rsid w:val="00497C13"/>
    <w:rsid w:val="00497D37"/>
    <w:rsid w:val="00497E09"/>
    <w:rsid w:val="004A0247"/>
    <w:rsid w:val="004A0920"/>
    <w:rsid w:val="004A1F0E"/>
    <w:rsid w:val="004A4A5E"/>
    <w:rsid w:val="004A4B29"/>
    <w:rsid w:val="004A4DA6"/>
    <w:rsid w:val="004A70F3"/>
    <w:rsid w:val="004A716F"/>
    <w:rsid w:val="004B45D0"/>
    <w:rsid w:val="004B5C57"/>
    <w:rsid w:val="004B610F"/>
    <w:rsid w:val="004C1C8A"/>
    <w:rsid w:val="004C2F8D"/>
    <w:rsid w:val="004C424F"/>
    <w:rsid w:val="004C53A5"/>
    <w:rsid w:val="004C60CD"/>
    <w:rsid w:val="004C6F90"/>
    <w:rsid w:val="004D6A71"/>
    <w:rsid w:val="004E1B4F"/>
    <w:rsid w:val="004E245F"/>
    <w:rsid w:val="004E3C13"/>
    <w:rsid w:val="004E578F"/>
    <w:rsid w:val="004F49B1"/>
    <w:rsid w:val="004F6C09"/>
    <w:rsid w:val="004F792A"/>
    <w:rsid w:val="00500F53"/>
    <w:rsid w:val="005058C2"/>
    <w:rsid w:val="005150F8"/>
    <w:rsid w:val="0051630B"/>
    <w:rsid w:val="00522C90"/>
    <w:rsid w:val="0053406D"/>
    <w:rsid w:val="005368E6"/>
    <w:rsid w:val="005410CE"/>
    <w:rsid w:val="00542EA8"/>
    <w:rsid w:val="005431AF"/>
    <w:rsid w:val="005432D9"/>
    <w:rsid w:val="005434C5"/>
    <w:rsid w:val="00543FF6"/>
    <w:rsid w:val="0054747E"/>
    <w:rsid w:val="005479EC"/>
    <w:rsid w:val="005503B0"/>
    <w:rsid w:val="00550CBB"/>
    <w:rsid w:val="0055255B"/>
    <w:rsid w:val="005540B2"/>
    <w:rsid w:val="0055700D"/>
    <w:rsid w:val="0055768C"/>
    <w:rsid w:val="005601B7"/>
    <w:rsid w:val="005606EA"/>
    <w:rsid w:val="00561BE7"/>
    <w:rsid w:val="00563C15"/>
    <w:rsid w:val="00566984"/>
    <w:rsid w:val="00571F25"/>
    <w:rsid w:val="00576D5B"/>
    <w:rsid w:val="00580F12"/>
    <w:rsid w:val="005853C7"/>
    <w:rsid w:val="0058608B"/>
    <w:rsid w:val="00592A4E"/>
    <w:rsid w:val="005A0E55"/>
    <w:rsid w:val="005A3393"/>
    <w:rsid w:val="005A4F3F"/>
    <w:rsid w:val="005A5EAF"/>
    <w:rsid w:val="005A6945"/>
    <w:rsid w:val="005B0A1F"/>
    <w:rsid w:val="005B1134"/>
    <w:rsid w:val="005B3870"/>
    <w:rsid w:val="005B7D6D"/>
    <w:rsid w:val="005C2D0A"/>
    <w:rsid w:val="005D341C"/>
    <w:rsid w:val="005D39C0"/>
    <w:rsid w:val="005D5912"/>
    <w:rsid w:val="005D7EBD"/>
    <w:rsid w:val="005E01B0"/>
    <w:rsid w:val="005E2563"/>
    <w:rsid w:val="005E492A"/>
    <w:rsid w:val="005E4DC5"/>
    <w:rsid w:val="005E5C24"/>
    <w:rsid w:val="005E67A0"/>
    <w:rsid w:val="005E6E4E"/>
    <w:rsid w:val="005F1D76"/>
    <w:rsid w:val="005F22E5"/>
    <w:rsid w:val="005F5BE7"/>
    <w:rsid w:val="005F5E65"/>
    <w:rsid w:val="00601308"/>
    <w:rsid w:val="00605112"/>
    <w:rsid w:val="00606FE9"/>
    <w:rsid w:val="006114F4"/>
    <w:rsid w:val="0061227A"/>
    <w:rsid w:val="0061366A"/>
    <w:rsid w:val="00613723"/>
    <w:rsid w:val="006159AD"/>
    <w:rsid w:val="00622455"/>
    <w:rsid w:val="00625EE7"/>
    <w:rsid w:val="00626363"/>
    <w:rsid w:val="006332D7"/>
    <w:rsid w:val="00634BB4"/>
    <w:rsid w:val="00637F93"/>
    <w:rsid w:val="006418D2"/>
    <w:rsid w:val="00644B1D"/>
    <w:rsid w:val="00645008"/>
    <w:rsid w:val="0064510A"/>
    <w:rsid w:val="0064678B"/>
    <w:rsid w:val="00651495"/>
    <w:rsid w:val="006515C9"/>
    <w:rsid w:val="0065411E"/>
    <w:rsid w:val="006542C8"/>
    <w:rsid w:val="00660BCA"/>
    <w:rsid w:val="00663D70"/>
    <w:rsid w:val="00663DA5"/>
    <w:rsid w:val="00665067"/>
    <w:rsid w:val="00666278"/>
    <w:rsid w:val="00674D80"/>
    <w:rsid w:val="00675136"/>
    <w:rsid w:val="00676984"/>
    <w:rsid w:val="0068021A"/>
    <w:rsid w:val="00682379"/>
    <w:rsid w:val="00683162"/>
    <w:rsid w:val="0068561A"/>
    <w:rsid w:val="00692639"/>
    <w:rsid w:val="006A31B0"/>
    <w:rsid w:val="006A4163"/>
    <w:rsid w:val="006A6267"/>
    <w:rsid w:val="006B0A95"/>
    <w:rsid w:val="006B0C07"/>
    <w:rsid w:val="006B1814"/>
    <w:rsid w:val="006B1992"/>
    <w:rsid w:val="006B2675"/>
    <w:rsid w:val="006B3B5D"/>
    <w:rsid w:val="006B4268"/>
    <w:rsid w:val="006B7F4C"/>
    <w:rsid w:val="006C33D5"/>
    <w:rsid w:val="006D12B6"/>
    <w:rsid w:val="006D163C"/>
    <w:rsid w:val="006D31D3"/>
    <w:rsid w:val="006E3D97"/>
    <w:rsid w:val="006E4EAB"/>
    <w:rsid w:val="006E6605"/>
    <w:rsid w:val="006E7520"/>
    <w:rsid w:val="006F25A6"/>
    <w:rsid w:val="006F3C92"/>
    <w:rsid w:val="006F3F49"/>
    <w:rsid w:val="006F7EFC"/>
    <w:rsid w:val="0070692A"/>
    <w:rsid w:val="00706AFF"/>
    <w:rsid w:val="00710587"/>
    <w:rsid w:val="00711A4A"/>
    <w:rsid w:val="00712F58"/>
    <w:rsid w:val="00713881"/>
    <w:rsid w:val="00716DDB"/>
    <w:rsid w:val="00725231"/>
    <w:rsid w:val="00726387"/>
    <w:rsid w:val="007317ED"/>
    <w:rsid w:val="00732954"/>
    <w:rsid w:val="007368A1"/>
    <w:rsid w:val="0074773E"/>
    <w:rsid w:val="00747A5B"/>
    <w:rsid w:val="00752B84"/>
    <w:rsid w:val="00752CEB"/>
    <w:rsid w:val="00756B52"/>
    <w:rsid w:val="00756FB3"/>
    <w:rsid w:val="0076240B"/>
    <w:rsid w:val="0077033C"/>
    <w:rsid w:val="00771988"/>
    <w:rsid w:val="00771EFF"/>
    <w:rsid w:val="00772145"/>
    <w:rsid w:val="00773D7C"/>
    <w:rsid w:val="007748BE"/>
    <w:rsid w:val="0078059F"/>
    <w:rsid w:val="00781490"/>
    <w:rsid w:val="00783158"/>
    <w:rsid w:val="0078538E"/>
    <w:rsid w:val="00787844"/>
    <w:rsid w:val="0079386F"/>
    <w:rsid w:val="00797032"/>
    <w:rsid w:val="0079739B"/>
    <w:rsid w:val="007A036F"/>
    <w:rsid w:val="007A09DE"/>
    <w:rsid w:val="007A59CC"/>
    <w:rsid w:val="007A5F34"/>
    <w:rsid w:val="007A664F"/>
    <w:rsid w:val="007A7766"/>
    <w:rsid w:val="007B0D8D"/>
    <w:rsid w:val="007B2686"/>
    <w:rsid w:val="007B2874"/>
    <w:rsid w:val="007B47D2"/>
    <w:rsid w:val="007B4C50"/>
    <w:rsid w:val="007B5B10"/>
    <w:rsid w:val="007B6556"/>
    <w:rsid w:val="007C1D41"/>
    <w:rsid w:val="007C3A1E"/>
    <w:rsid w:val="007C64B8"/>
    <w:rsid w:val="007D2259"/>
    <w:rsid w:val="007E002B"/>
    <w:rsid w:val="007E00FA"/>
    <w:rsid w:val="007E0C5A"/>
    <w:rsid w:val="007E6865"/>
    <w:rsid w:val="007F1812"/>
    <w:rsid w:val="007F7B6E"/>
    <w:rsid w:val="00800071"/>
    <w:rsid w:val="008058CF"/>
    <w:rsid w:val="008113AC"/>
    <w:rsid w:val="00811A5B"/>
    <w:rsid w:val="0081227B"/>
    <w:rsid w:val="00814320"/>
    <w:rsid w:val="0081599A"/>
    <w:rsid w:val="00816EB2"/>
    <w:rsid w:val="00817ACA"/>
    <w:rsid w:val="00822C56"/>
    <w:rsid w:val="008248A7"/>
    <w:rsid w:val="00826AC0"/>
    <w:rsid w:val="00826F20"/>
    <w:rsid w:val="00827888"/>
    <w:rsid w:val="00832188"/>
    <w:rsid w:val="00832369"/>
    <w:rsid w:val="00832BD7"/>
    <w:rsid w:val="008330C9"/>
    <w:rsid w:val="0083665E"/>
    <w:rsid w:val="00841DAD"/>
    <w:rsid w:val="00846C1A"/>
    <w:rsid w:val="00847688"/>
    <w:rsid w:val="0084792F"/>
    <w:rsid w:val="00847AA3"/>
    <w:rsid w:val="0085237D"/>
    <w:rsid w:val="00852F0B"/>
    <w:rsid w:val="00860275"/>
    <w:rsid w:val="00863945"/>
    <w:rsid w:val="00864135"/>
    <w:rsid w:val="00870813"/>
    <w:rsid w:val="00875FEF"/>
    <w:rsid w:val="00880C2A"/>
    <w:rsid w:val="00881CC6"/>
    <w:rsid w:val="00883E03"/>
    <w:rsid w:val="0088512A"/>
    <w:rsid w:val="00890DDD"/>
    <w:rsid w:val="0089199C"/>
    <w:rsid w:val="008934B8"/>
    <w:rsid w:val="00897E3C"/>
    <w:rsid w:val="008A2B5C"/>
    <w:rsid w:val="008A6A38"/>
    <w:rsid w:val="008B0576"/>
    <w:rsid w:val="008B3ED7"/>
    <w:rsid w:val="008B5A78"/>
    <w:rsid w:val="008B60CD"/>
    <w:rsid w:val="008B7B4D"/>
    <w:rsid w:val="008C08D5"/>
    <w:rsid w:val="008D1879"/>
    <w:rsid w:val="008D2E02"/>
    <w:rsid w:val="008D3DD4"/>
    <w:rsid w:val="008D5348"/>
    <w:rsid w:val="008D5580"/>
    <w:rsid w:val="008E29D9"/>
    <w:rsid w:val="008E3BA5"/>
    <w:rsid w:val="008E3BD8"/>
    <w:rsid w:val="008E466B"/>
    <w:rsid w:val="008E4AAD"/>
    <w:rsid w:val="008E6115"/>
    <w:rsid w:val="008E7A44"/>
    <w:rsid w:val="008F10B8"/>
    <w:rsid w:val="008F4028"/>
    <w:rsid w:val="00900DD6"/>
    <w:rsid w:val="009025DC"/>
    <w:rsid w:val="0090374B"/>
    <w:rsid w:val="00904C3E"/>
    <w:rsid w:val="00906375"/>
    <w:rsid w:val="00906B51"/>
    <w:rsid w:val="00906DF6"/>
    <w:rsid w:val="00906FAA"/>
    <w:rsid w:val="0091096B"/>
    <w:rsid w:val="009117F0"/>
    <w:rsid w:val="0091531B"/>
    <w:rsid w:val="0091631F"/>
    <w:rsid w:val="00917A69"/>
    <w:rsid w:val="00920A4D"/>
    <w:rsid w:val="00925A09"/>
    <w:rsid w:val="00933DEC"/>
    <w:rsid w:val="00934C32"/>
    <w:rsid w:val="00935D72"/>
    <w:rsid w:val="009420E4"/>
    <w:rsid w:val="00942CAC"/>
    <w:rsid w:val="009552EB"/>
    <w:rsid w:val="00957655"/>
    <w:rsid w:val="00960C4B"/>
    <w:rsid w:val="009649C2"/>
    <w:rsid w:val="00965537"/>
    <w:rsid w:val="00965B94"/>
    <w:rsid w:val="00965DDE"/>
    <w:rsid w:val="00967F2C"/>
    <w:rsid w:val="0097243E"/>
    <w:rsid w:val="00975E26"/>
    <w:rsid w:val="00976084"/>
    <w:rsid w:val="00980EB3"/>
    <w:rsid w:val="0098523C"/>
    <w:rsid w:val="0098649B"/>
    <w:rsid w:val="009879A6"/>
    <w:rsid w:val="00987B6B"/>
    <w:rsid w:val="0099129B"/>
    <w:rsid w:val="00992929"/>
    <w:rsid w:val="00994124"/>
    <w:rsid w:val="00994CA5"/>
    <w:rsid w:val="00995ECB"/>
    <w:rsid w:val="009A20C6"/>
    <w:rsid w:val="009A2FC0"/>
    <w:rsid w:val="009A594D"/>
    <w:rsid w:val="009B18AF"/>
    <w:rsid w:val="009B258A"/>
    <w:rsid w:val="009B7C0F"/>
    <w:rsid w:val="009C43AD"/>
    <w:rsid w:val="009C746A"/>
    <w:rsid w:val="009D0A2C"/>
    <w:rsid w:val="009D1AC9"/>
    <w:rsid w:val="009D42F3"/>
    <w:rsid w:val="009F19B2"/>
    <w:rsid w:val="009F1D25"/>
    <w:rsid w:val="009F51BE"/>
    <w:rsid w:val="009F5844"/>
    <w:rsid w:val="00A0183E"/>
    <w:rsid w:val="00A01898"/>
    <w:rsid w:val="00A04420"/>
    <w:rsid w:val="00A05EE5"/>
    <w:rsid w:val="00A068A3"/>
    <w:rsid w:val="00A069C2"/>
    <w:rsid w:val="00A06B8A"/>
    <w:rsid w:val="00A10BF5"/>
    <w:rsid w:val="00A123EF"/>
    <w:rsid w:val="00A14D7A"/>
    <w:rsid w:val="00A14ECA"/>
    <w:rsid w:val="00A16AE1"/>
    <w:rsid w:val="00A2172B"/>
    <w:rsid w:val="00A22BAA"/>
    <w:rsid w:val="00A2356E"/>
    <w:rsid w:val="00A24533"/>
    <w:rsid w:val="00A25962"/>
    <w:rsid w:val="00A314C8"/>
    <w:rsid w:val="00A32FD6"/>
    <w:rsid w:val="00A363B3"/>
    <w:rsid w:val="00A36F54"/>
    <w:rsid w:val="00A4037E"/>
    <w:rsid w:val="00A505C9"/>
    <w:rsid w:val="00A51928"/>
    <w:rsid w:val="00A535F8"/>
    <w:rsid w:val="00A6078F"/>
    <w:rsid w:val="00A615FE"/>
    <w:rsid w:val="00A715E3"/>
    <w:rsid w:val="00A72E3D"/>
    <w:rsid w:val="00A75758"/>
    <w:rsid w:val="00A76C2E"/>
    <w:rsid w:val="00A7757D"/>
    <w:rsid w:val="00A82A85"/>
    <w:rsid w:val="00A85117"/>
    <w:rsid w:val="00A85745"/>
    <w:rsid w:val="00A900EE"/>
    <w:rsid w:val="00A90198"/>
    <w:rsid w:val="00A93378"/>
    <w:rsid w:val="00AA24A7"/>
    <w:rsid w:val="00AA2D92"/>
    <w:rsid w:val="00AA30C0"/>
    <w:rsid w:val="00AA3286"/>
    <w:rsid w:val="00AA4180"/>
    <w:rsid w:val="00AB0024"/>
    <w:rsid w:val="00AB1304"/>
    <w:rsid w:val="00AB36F9"/>
    <w:rsid w:val="00AB3FEE"/>
    <w:rsid w:val="00AB5D0C"/>
    <w:rsid w:val="00AB72C1"/>
    <w:rsid w:val="00AC2E20"/>
    <w:rsid w:val="00AC44DA"/>
    <w:rsid w:val="00AC7F2A"/>
    <w:rsid w:val="00AD3256"/>
    <w:rsid w:val="00AD4A62"/>
    <w:rsid w:val="00AE0144"/>
    <w:rsid w:val="00AE04E2"/>
    <w:rsid w:val="00AF05A0"/>
    <w:rsid w:val="00AF1674"/>
    <w:rsid w:val="00AF194F"/>
    <w:rsid w:val="00AF4923"/>
    <w:rsid w:val="00AF517F"/>
    <w:rsid w:val="00B00D95"/>
    <w:rsid w:val="00B01938"/>
    <w:rsid w:val="00B01E77"/>
    <w:rsid w:val="00B02CCD"/>
    <w:rsid w:val="00B0320D"/>
    <w:rsid w:val="00B032D0"/>
    <w:rsid w:val="00B03D88"/>
    <w:rsid w:val="00B04E7A"/>
    <w:rsid w:val="00B072FD"/>
    <w:rsid w:val="00B1035E"/>
    <w:rsid w:val="00B12632"/>
    <w:rsid w:val="00B1332C"/>
    <w:rsid w:val="00B14EAF"/>
    <w:rsid w:val="00B218E5"/>
    <w:rsid w:val="00B21F3E"/>
    <w:rsid w:val="00B21F43"/>
    <w:rsid w:val="00B2668D"/>
    <w:rsid w:val="00B26EBC"/>
    <w:rsid w:val="00B3257C"/>
    <w:rsid w:val="00B32AD2"/>
    <w:rsid w:val="00B3306F"/>
    <w:rsid w:val="00B3472C"/>
    <w:rsid w:val="00B37871"/>
    <w:rsid w:val="00B4173C"/>
    <w:rsid w:val="00B41E55"/>
    <w:rsid w:val="00B453B6"/>
    <w:rsid w:val="00B469C7"/>
    <w:rsid w:val="00B47864"/>
    <w:rsid w:val="00B47F3C"/>
    <w:rsid w:val="00B50B27"/>
    <w:rsid w:val="00B51B7D"/>
    <w:rsid w:val="00B53C05"/>
    <w:rsid w:val="00B57AA7"/>
    <w:rsid w:val="00B602C7"/>
    <w:rsid w:val="00B63D80"/>
    <w:rsid w:val="00B6731E"/>
    <w:rsid w:val="00B71469"/>
    <w:rsid w:val="00B726CE"/>
    <w:rsid w:val="00B72AA3"/>
    <w:rsid w:val="00B72C3C"/>
    <w:rsid w:val="00B7549D"/>
    <w:rsid w:val="00B81C3A"/>
    <w:rsid w:val="00B83A81"/>
    <w:rsid w:val="00B860C9"/>
    <w:rsid w:val="00B869D2"/>
    <w:rsid w:val="00B9478A"/>
    <w:rsid w:val="00B96A19"/>
    <w:rsid w:val="00BA3128"/>
    <w:rsid w:val="00BB1065"/>
    <w:rsid w:val="00BB1877"/>
    <w:rsid w:val="00BB3E05"/>
    <w:rsid w:val="00BB6F7A"/>
    <w:rsid w:val="00BB7291"/>
    <w:rsid w:val="00BB7369"/>
    <w:rsid w:val="00BB7691"/>
    <w:rsid w:val="00BB7F68"/>
    <w:rsid w:val="00BC1CD2"/>
    <w:rsid w:val="00BC2C92"/>
    <w:rsid w:val="00BC2E58"/>
    <w:rsid w:val="00BC5D38"/>
    <w:rsid w:val="00BC6743"/>
    <w:rsid w:val="00BD3E41"/>
    <w:rsid w:val="00BD4720"/>
    <w:rsid w:val="00BD550D"/>
    <w:rsid w:val="00BE06D1"/>
    <w:rsid w:val="00BE4112"/>
    <w:rsid w:val="00BE47E7"/>
    <w:rsid w:val="00BE5803"/>
    <w:rsid w:val="00BE7D8F"/>
    <w:rsid w:val="00BF0DFE"/>
    <w:rsid w:val="00BF28EC"/>
    <w:rsid w:val="00BF5C6C"/>
    <w:rsid w:val="00C00CD2"/>
    <w:rsid w:val="00C04BAF"/>
    <w:rsid w:val="00C04F03"/>
    <w:rsid w:val="00C06373"/>
    <w:rsid w:val="00C1250C"/>
    <w:rsid w:val="00C2077B"/>
    <w:rsid w:val="00C20AF3"/>
    <w:rsid w:val="00C224D5"/>
    <w:rsid w:val="00C224EE"/>
    <w:rsid w:val="00C23BA8"/>
    <w:rsid w:val="00C26CE7"/>
    <w:rsid w:val="00C32121"/>
    <w:rsid w:val="00C33B87"/>
    <w:rsid w:val="00C3497E"/>
    <w:rsid w:val="00C350C4"/>
    <w:rsid w:val="00C404AA"/>
    <w:rsid w:val="00C404D9"/>
    <w:rsid w:val="00C42DBC"/>
    <w:rsid w:val="00C43652"/>
    <w:rsid w:val="00C51B2E"/>
    <w:rsid w:val="00C5229D"/>
    <w:rsid w:val="00C52470"/>
    <w:rsid w:val="00C54355"/>
    <w:rsid w:val="00C54B05"/>
    <w:rsid w:val="00C561FE"/>
    <w:rsid w:val="00C56992"/>
    <w:rsid w:val="00C625D3"/>
    <w:rsid w:val="00C63339"/>
    <w:rsid w:val="00C70034"/>
    <w:rsid w:val="00C701AE"/>
    <w:rsid w:val="00C70A9D"/>
    <w:rsid w:val="00C70DEE"/>
    <w:rsid w:val="00C726D8"/>
    <w:rsid w:val="00C72B37"/>
    <w:rsid w:val="00C74A36"/>
    <w:rsid w:val="00C754A2"/>
    <w:rsid w:val="00C80E52"/>
    <w:rsid w:val="00C81D3A"/>
    <w:rsid w:val="00C93BD9"/>
    <w:rsid w:val="00C97B2D"/>
    <w:rsid w:val="00CA3490"/>
    <w:rsid w:val="00CA385B"/>
    <w:rsid w:val="00CA5F54"/>
    <w:rsid w:val="00CB0436"/>
    <w:rsid w:val="00CB1A32"/>
    <w:rsid w:val="00CB2D81"/>
    <w:rsid w:val="00CB37FD"/>
    <w:rsid w:val="00CB4937"/>
    <w:rsid w:val="00CB4D73"/>
    <w:rsid w:val="00CC0912"/>
    <w:rsid w:val="00CC365C"/>
    <w:rsid w:val="00CC407B"/>
    <w:rsid w:val="00CD2810"/>
    <w:rsid w:val="00CD6CC5"/>
    <w:rsid w:val="00CE22D7"/>
    <w:rsid w:val="00CE27BA"/>
    <w:rsid w:val="00CE3830"/>
    <w:rsid w:val="00CE5386"/>
    <w:rsid w:val="00CF102C"/>
    <w:rsid w:val="00CF1CEF"/>
    <w:rsid w:val="00CF40F7"/>
    <w:rsid w:val="00CF525F"/>
    <w:rsid w:val="00CF6C84"/>
    <w:rsid w:val="00CF7E7A"/>
    <w:rsid w:val="00D004A9"/>
    <w:rsid w:val="00D010A8"/>
    <w:rsid w:val="00D04CDF"/>
    <w:rsid w:val="00D059FE"/>
    <w:rsid w:val="00D078F6"/>
    <w:rsid w:val="00D14678"/>
    <w:rsid w:val="00D2136F"/>
    <w:rsid w:val="00D22927"/>
    <w:rsid w:val="00D24C8B"/>
    <w:rsid w:val="00D26621"/>
    <w:rsid w:val="00D333E2"/>
    <w:rsid w:val="00D34CE5"/>
    <w:rsid w:val="00D350EE"/>
    <w:rsid w:val="00D4146A"/>
    <w:rsid w:val="00D4273F"/>
    <w:rsid w:val="00D505E6"/>
    <w:rsid w:val="00D523D8"/>
    <w:rsid w:val="00D56D06"/>
    <w:rsid w:val="00D57D25"/>
    <w:rsid w:val="00D62DEE"/>
    <w:rsid w:val="00D65182"/>
    <w:rsid w:val="00D659A5"/>
    <w:rsid w:val="00D7319E"/>
    <w:rsid w:val="00D731A2"/>
    <w:rsid w:val="00D7426E"/>
    <w:rsid w:val="00D742DC"/>
    <w:rsid w:val="00D81664"/>
    <w:rsid w:val="00D842C4"/>
    <w:rsid w:val="00D84EA2"/>
    <w:rsid w:val="00D8538D"/>
    <w:rsid w:val="00D85DC7"/>
    <w:rsid w:val="00D87593"/>
    <w:rsid w:val="00D903F8"/>
    <w:rsid w:val="00D9095F"/>
    <w:rsid w:val="00D92DFC"/>
    <w:rsid w:val="00D937A8"/>
    <w:rsid w:val="00D9542B"/>
    <w:rsid w:val="00D96F05"/>
    <w:rsid w:val="00D976F2"/>
    <w:rsid w:val="00DA118D"/>
    <w:rsid w:val="00DA2F2C"/>
    <w:rsid w:val="00DA4274"/>
    <w:rsid w:val="00DA52FC"/>
    <w:rsid w:val="00DA67D5"/>
    <w:rsid w:val="00DB3A3A"/>
    <w:rsid w:val="00DB4935"/>
    <w:rsid w:val="00DC1E1F"/>
    <w:rsid w:val="00DC2984"/>
    <w:rsid w:val="00DC48E5"/>
    <w:rsid w:val="00DC778C"/>
    <w:rsid w:val="00DD01BD"/>
    <w:rsid w:val="00DD09F4"/>
    <w:rsid w:val="00DD29DD"/>
    <w:rsid w:val="00DD2DC1"/>
    <w:rsid w:val="00DD4A36"/>
    <w:rsid w:val="00DD7044"/>
    <w:rsid w:val="00DE01B0"/>
    <w:rsid w:val="00DE28AA"/>
    <w:rsid w:val="00DE41A0"/>
    <w:rsid w:val="00DF0306"/>
    <w:rsid w:val="00DF2026"/>
    <w:rsid w:val="00DF2AFA"/>
    <w:rsid w:val="00DF4281"/>
    <w:rsid w:val="00DF6419"/>
    <w:rsid w:val="00E042A8"/>
    <w:rsid w:val="00E0513B"/>
    <w:rsid w:val="00E10A77"/>
    <w:rsid w:val="00E10C17"/>
    <w:rsid w:val="00E16DD5"/>
    <w:rsid w:val="00E26B7B"/>
    <w:rsid w:val="00E311F0"/>
    <w:rsid w:val="00E318CB"/>
    <w:rsid w:val="00E31987"/>
    <w:rsid w:val="00E331F8"/>
    <w:rsid w:val="00E3763A"/>
    <w:rsid w:val="00E401EE"/>
    <w:rsid w:val="00E43C3A"/>
    <w:rsid w:val="00E4722D"/>
    <w:rsid w:val="00E47ED0"/>
    <w:rsid w:val="00E50BDE"/>
    <w:rsid w:val="00E5164C"/>
    <w:rsid w:val="00E51EB3"/>
    <w:rsid w:val="00E558F8"/>
    <w:rsid w:val="00E60284"/>
    <w:rsid w:val="00E6396E"/>
    <w:rsid w:val="00E63D28"/>
    <w:rsid w:val="00E6551A"/>
    <w:rsid w:val="00E67B73"/>
    <w:rsid w:val="00E67EE4"/>
    <w:rsid w:val="00E70AEA"/>
    <w:rsid w:val="00E74A82"/>
    <w:rsid w:val="00E75052"/>
    <w:rsid w:val="00E8149E"/>
    <w:rsid w:val="00E8175F"/>
    <w:rsid w:val="00E820C9"/>
    <w:rsid w:val="00E83AFC"/>
    <w:rsid w:val="00E85BD1"/>
    <w:rsid w:val="00E87A2B"/>
    <w:rsid w:val="00E9228D"/>
    <w:rsid w:val="00E95400"/>
    <w:rsid w:val="00E97416"/>
    <w:rsid w:val="00EA23EE"/>
    <w:rsid w:val="00EA3702"/>
    <w:rsid w:val="00EB04C9"/>
    <w:rsid w:val="00EB3E1E"/>
    <w:rsid w:val="00EB555C"/>
    <w:rsid w:val="00EC1F98"/>
    <w:rsid w:val="00EC3234"/>
    <w:rsid w:val="00EC61F2"/>
    <w:rsid w:val="00EC6E64"/>
    <w:rsid w:val="00EC6F13"/>
    <w:rsid w:val="00EC737A"/>
    <w:rsid w:val="00ED16BA"/>
    <w:rsid w:val="00ED22D3"/>
    <w:rsid w:val="00ED31CC"/>
    <w:rsid w:val="00ED362F"/>
    <w:rsid w:val="00ED42A7"/>
    <w:rsid w:val="00ED5312"/>
    <w:rsid w:val="00ED6C85"/>
    <w:rsid w:val="00ED7154"/>
    <w:rsid w:val="00EE0289"/>
    <w:rsid w:val="00EE0D7C"/>
    <w:rsid w:val="00EE469A"/>
    <w:rsid w:val="00EE5B90"/>
    <w:rsid w:val="00EE640D"/>
    <w:rsid w:val="00EF09E6"/>
    <w:rsid w:val="00EF2137"/>
    <w:rsid w:val="00EF27EE"/>
    <w:rsid w:val="00EF2D3F"/>
    <w:rsid w:val="00EF2DE3"/>
    <w:rsid w:val="00F012B6"/>
    <w:rsid w:val="00F01467"/>
    <w:rsid w:val="00F03054"/>
    <w:rsid w:val="00F04BEC"/>
    <w:rsid w:val="00F04F2B"/>
    <w:rsid w:val="00F07E1C"/>
    <w:rsid w:val="00F10A9E"/>
    <w:rsid w:val="00F13723"/>
    <w:rsid w:val="00F16A5C"/>
    <w:rsid w:val="00F16C7D"/>
    <w:rsid w:val="00F2353F"/>
    <w:rsid w:val="00F25746"/>
    <w:rsid w:val="00F266BB"/>
    <w:rsid w:val="00F30DD0"/>
    <w:rsid w:val="00F34B66"/>
    <w:rsid w:val="00F34D1D"/>
    <w:rsid w:val="00F36869"/>
    <w:rsid w:val="00F37260"/>
    <w:rsid w:val="00F41266"/>
    <w:rsid w:val="00F454D8"/>
    <w:rsid w:val="00F47501"/>
    <w:rsid w:val="00F50C4A"/>
    <w:rsid w:val="00F512FE"/>
    <w:rsid w:val="00F51358"/>
    <w:rsid w:val="00F534B2"/>
    <w:rsid w:val="00F5597A"/>
    <w:rsid w:val="00F571DE"/>
    <w:rsid w:val="00F635DC"/>
    <w:rsid w:val="00F647FD"/>
    <w:rsid w:val="00F65F4F"/>
    <w:rsid w:val="00F7165A"/>
    <w:rsid w:val="00F735F5"/>
    <w:rsid w:val="00F73FEA"/>
    <w:rsid w:val="00F77F8D"/>
    <w:rsid w:val="00F81FC2"/>
    <w:rsid w:val="00FA4C7A"/>
    <w:rsid w:val="00FB030E"/>
    <w:rsid w:val="00FB5C11"/>
    <w:rsid w:val="00FB5F7F"/>
    <w:rsid w:val="00FC738A"/>
    <w:rsid w:val="00FD06D9"/>
    <w:rsid w:val="00FD1D22"/>
    <w:rsid w:val="00FD3458"/>
    <w:rsid w:val="00FD64F8"/>
    <w:rsid w:val="00FE2239"/>
    <w:rsid w:val="00FE368E"/>
    <w:rsid w:val="00FE4EEA"/>
    <w:rsid w:val="00FE5BFC"/>
    <w:rsid w:val="00FF07DC"/>
    <w:rsid w:val="00FF0877"/>
    <w:rsid w:val="00FF0DEE"/>
    <w:rsid w:val="00FF725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14:docId w14:val="28FCB0EE"/>
  <w15:chartTrackingRefBased/>
  <w15:docId w15:val="{2F01BD1C-6956-4770-AF23-645E64353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72"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18D2"/>
    <w:rPr>
      <w:rFonts w:ascii="Arial" w:hAnsi="Arial"/>
      <w:kern w:val="22"/>
    </w:rPr>
  </w:style>
  <w:style w:type="paragraph" w:styleId="Heading1">
    <w:name w:val="heading 1"/>
    <w:basedOn w:val="Normal"/>
    <w:next w:val="Normal"/>
    <w:qFormat/>
    <w:rsid w:val="00BF0DFE"/>
    <w:pPr>
      <w:keepNext/>
      <w:tabs>
        <w:tab w:val="left" w:pos="360"/>
        <w:tab w:val="right" w:pos="6570"/>
      </w:tabs>
      <w:ind w:left="360" w:hanging="360"/>
      <w:outlineLvl w:val="0"/>
    </w:pPr>
    <w:rPr>
      <w:b/>
    </w:rPr>
  </w:style>
  <w:style w:type="paragraph" w:styleId="Heading2">
    <w:name w:val="heading 2"/>
    <w:basedOn w:val="Normal"/>
    <w:next w:val="Normal"/>
    <w:qFormat/>
    <w:pPr>
      <w:keepNext/>
      <w:tabs>
        <w:tab w:val="left" w:pos="360"/>
      </w:tabs>
      <w:outlineLvl w:val="1"/>
    </w:pPr>
    <w:rPr>
      <w:b/>
    </w:rPr>
  </w:style>
  <w:style w:type="paragraph" w:styleId="Heading3">
    <w:name w:val="heading 3"/>
    <w:basedOn w:val="Normal"/>
    <w:next w:val="Normal"/>
    <w:qFormat/>
    <w:pPr>
      <w:keepNext/>
      <w:outlineLvl w:val="2"/>
    </w:pPr>
    <w:rPr>
      <w:rFonts w:eastAsia="Times"/>
      <w:u w:val="single"/>
    </w:rPr>
  </w:style>
  <w:style w:type="paragraph" w:styleId="Heading4">
    <w:name w:val="heading 4"/>
    <w:basedOn w:val="Normal"/>
    <w:next w:val="Normal"/>
    <w:qFormat/>
    <w:pPr>
      <w:keepNext/>
      <w:outlineLvl w:val="3"/>
    </w:pPr>
    <w:rPr>
      <w:b/>
      <w:u w:val="single"/>
    </w:rPr>
  </w:style>
  <w:style w:type="paragraph" w:styleId="Heading8">
    <w:name w:val="heading 8"/>
    <w:basedOn w:val="Normal"/>
    <w:next w:val="Normal"/>
    <w:qFormat/>
    <w:pPr>
      <w:keepNext/>
      <w:jc w:val="right"/>
      <w:outlineLvl w:val="7"/>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pPr>
      <w:keepNext/>
      <w:tabs>
        <w:tab w:val="left" w:pos="360"/>
      </w:tabs>
      <w:spacing w:after="180"/>
    </w:pPr>
    <w:rPr>
      <w:b/>
      <w:sz w:val="32"/>
    </w:rPr>
  </w:style>
  <w:style w:type="paragraph" w:customStyle="1" w:styleId="1">
    <w:name w:val="1."/>
    <w:basedOn w:val="Normal"/>
    <w:pPr>
      <w:ind w:left="720" w:hanging="360"/>
    </w:pPr>
  </w:style>
  <w:style w:type="paragraph" w:customStyle="1" w:styleId="a">
    <w:name w:val="a."/>
    <w:basedOn w:val="Normal"/>
    <w:pPr>
      <w:ind w:left="1080" w:hanging="360"/>
    </w:pPr>
  </w:style>
  <w:style w:type="paragraph" w:customStyle="1" w:styleId="10">
    <w:name w:val="(1)"/>
    <w:basedOn w:val="Normal"/>
    <w:pPr>
      <w:spacing w:line="360" w:lineRule="auto"/>
      <w:ind w:left="1440" w:hanging="360"/>
    </w:pPr>
  </w:style>
  <w:style w:type="paragraph" w:customStyle="1" w:styleId="References">
    <w:name w:val="References"/>
    <w:basedOn w:val="Normal"/>
    <w:pPr>
      <w:ind w:left="720" w:hanging="720"/>
    </w:pPr>
  </w:style>
  <w:style w:type="character" w:customStyle="1" w:styleId="Superscript">
    <w:name w:val="Superscript"/>
    <w:rPr>
      <w:rFonts w:ascii="Arial" w:hAnsi="Arial"/>
      <w:sz w:val="22"/>
      <w:vertAlign w:val="superscript"/>
    </w:rPr>
  </w:style>
  <w:style w:type="paragraph" w:styleId="Footer">
    <w:name w:val="footer"/>
    <w:basedOn w:val="Normal"/>
    <w:link w:val="FooterChar"/>
    <w:pPr>
      <w:tabs>
        <w:tab w:val="center" w:pos="4320"/>
        <w:tab w:val="right" w:pos="8640"/>
      </w:tabs>
    </w:pPr>
  </w:style>
  <w:style w:type="character" w:styleId="PageNumber">
    <w:name w:val="page number"/>
    <w:rsid w:val="008E4AAD"/>
    <w:rPr>
      <w:rFonts w:ascii="Arial" w:hAnsi="Arial"/>
      <w:dstrike w:val="0"/>
      <w:color w:val="auto"/>
      <w:sz w:val="20"/>
      <w:vertAlign w:val="baseline"/>
    </w:rPr>
  </w:style>
  <w:style w:type="paragraph" w:customStyle="1" w:styleId="Grade">
    <w:name w:val="Grade"/>
    <w:basedOn w:val="Normal"/>
    <w:pPr>
      <w:ind w:left="1440" w:hanging="1440"/>
    </w:pPr>
  </w:style>
  <w:style w:type="paragraph" w:customStyle="1" w:styleId="TX">
    <w:name w:val="TX"/>
    <w:basedOn w:val="Normal"/>
    <w:pPr>
      <w:ind w:left="720" w:hanging="720"/>
    </w:pPr>
  </w:style>
  <w:style w:type="paragraph" w:customStyle="1" w:styleId="Stage">
    <w:name w:val="Stage"/>
    <w:basedOn w:val="Normal"/>
    <w:pPr>
      <w:tabs>
        <w:tab w:val="left" w:pos="1267"/>
        <w:tab w:val="left" w:pos="2160"/>
        <w:tab w:val="left" w:pos="3240"/>
      </w:tabs>
    </w:pPr>
  </w:style>
  <w:style w:type="paragraph" w:styleId="BodyText">
    <w:name w:val="Body Text"/>
    <w:basedOn w:val="Normal"/>
    <w:rPr>
      <w:b/>
    </w:rPr>
  </w:style>
  <w:style w:type="paragraph" w:customStyle="1" w:styleId="Head2">
    <w:name w:val="Head 2"/>
    <w:basedOn w:val="Normal"/>
    <w:rsid w:val="00BF0DFE"/>
    <w:pPr>
      <w:pBdr>
        <w:bottom w:val="single" w:sz="4" w:space="1" w:color="auto"/>
      </w:pBdr>
      <w:tabs>
        <w:tab w:val="left" w:pos="446"/>
      </w:tabs>
      <w:spacing w:after="60"/>
    </w:pPr>
    <w:rPr>
      <w:b/>
      <w:sz w:val="26"/>
    </w:rPr>
  </w:style>
  <w:style w:type="paragraph" w:customStyle="1" w:styleId="Checklist2">
    <w:name w:val="Checklist 2"/>
    <w:basedOn w:val="Grade"/>
    <w:pPr>
      <w:tabs>
        <w:tab w:val="left" w:pos="1080"/>
      </w:tabs>
      <w:ind w:left="1080" w:hanging="1080"/>
    </w:pPr>
  </w:style>
  <w:style w:type="paragraph" w:styleId="BalloonText">
    <w:name w:val="Balloon Text"/>
    <w:basedOn w:val="Normal"/>
    <w:semiHidden/>
    <w:rPr>
      <w:rFonts w:ascii="Tahoma" w:hAnsi="Tahoma"/>
      <w:sz w:val="16"/>
    </w:rPr>
  </w:style>
  <w:style w:type="paragraph" w:styleId="BodyText2">
    <w:name w:val="Body Text 2"/>
    <w:basedOn w:val="Normal"/>
  </w:style>
  <w:style w:type="paragraph" w:styleId="BodyTextIndent">
    <w:name w:val="Body Text Indent"/>
    <w:basedOn w:val="Normal"/>
    <w:pPr>
      <w:tabs>
        <w:tab w:val="left" w:pos="1168"/>
        <w:tab w:val="left" w:pos="2608"/>
        <w:tab w:val="left" w:pos="3328"/>
        <w:tab w:val="left" w:pos="4048"/>
        <w:tab w:val="left" w:pos="4768"/>
        <w:tab w:val="left" w:pos="5488"/>
        <w:tab w:val="left" w:pos="6208"/>
        <w:tab w:val="left" w:pos="6928"/>
        <w:tab w:val="left" w:pos="7648"/>
        <w:tab w:val="left" w:pos="8368"/>
        <w:tab w:val="left" w:pos="9088"/>
        <w:tab w:val="left" w:pos="9808"/>
        <w:tab w:val="left" w:pos="10528"/>
        <w:tab w:val="left" w:pos="11248"/>
        <w:tab w:val="left" w:pos="11968"/>
        <w:tab w:val="left" w:pos="12688"/>
      </w:tabs>
      <w:spacing w:line="360" w:lineRule="auto"/>
      <w:ind w:hanging="14"/>
    </w:pPr>
    <w:rPr>
      <w:rFonts w:ascii="Times New Roman" w:hAnsi="Times New Roman"/>
      <w:sz w:val="22"/>
    </w:rPr>
  </w:style>
  <w:style w:type="paragraph" w:styleId="Header">
    <w:name w:val="header"/>
    <w:basedOn w:val="Normal"/>
    <w:pPr>
      <w:tabs>
        <w:tab w:val="center" w:pos="4320"/>
        <w:tab w:val="right" w:pos="8640"/>
      </w:tabs>
    </w:pPr>
  </w:style>
  <w:style w:type="paragraph" w:styleId="BodyTextIndent2">
    <w:name w:val="Body Text Indent 2"/>
    <w:basedOn w:val="Normal"/>
    <w:pPr>
      <w:spacing w:line="360" w:lineRule="auto"/>
      <w:ind w:left="360" w:hanging="360"/>
    </w:pPr>
  </w:style>
  <w:style w:type="paragraph" w:styleId="BodyTextIndent3">
    <w:name w:val="Body Text Indent 3"/>
    <w:basedOn w:val="Normal"/>
    <w:pPr>
      <w:spacing w:line="360" w:lineRule="auto"/>
      <w:ind w:left="270" w:hanging="270"/>
    </w:pPr>
  </w:style>
  <w:style w:type="paragraph" w:styleId="DocumentMap">
    <w:name w:val="Document Map"/>
    <w:basedOn w:val="Normal"/>
    <w:semiHidden/>
    <w:pPr>
      <w:shd w:val="clear" w:color="auto" w:fill="000080"/>
    </w:pPr>
    <w:rPr>
      <w:rFonts w:ascii="Geneva" w:hAnsi="Geneva"/>
    </w:rPr>
  </w:style>
  <w:style w:type="paragraph" w:customStyle="1" w:styleId="Text">
    <w:name w:val="Text"/>
    <w:basedOn w:val="Normal"/>
    <w:pPr>
      <w:tabs>
        <w:tab w:val="left" w:pos="360"/>
        <w:tab w:val="left" w:pos="720"/>
        <w:tab w:val="left" w:pos="1080"/>
        <w:tab w:val="left" w:pos="1440"/>
        <w:tab w:val="left" w:pos="1800"/>
        <w:tab w:val="left" w:pos="2160"/>
        <w:tab w:val="left" w:pos="2520"/>
        <w:tab w:val="left" w:pos="2880"/>
      </w:tabs>
      <w:spacing w:line="240" w:lineRule="atLeast"/>
    </w:pPr>
    <w:rPr>
      <w:rFonts w:ascii="Times New Roman" w:hAnsi="Times New Roman"/>
    </w:rPr>
  </w:style>
  <w:style w:type="paragraph" w:styleId="BodyText3">
    <w:name w:val="Body Text 3"/>
    <w:basedOn w:val="Normal"/>
    <w:rPr>
      <w:b/>
      <w:sz w:val="24"/>
    </w:rPr>
  </w:style>
  <w:style w:type="paragraph" w:customStyle="1" w:styleId="Head3">
    <w:name w:val="Head 3"/>
    <w:basedOn w:val="Normal"/>
    <w:pPr>
      <w:jc w:val="right"/>
    </w:pPr>
    <w:rPr>
      <w:i/>
      <w:kern w:val="0"/>
    </w:rPr>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rPr>
      <w:lang w:val="x-none" w:eastAsia="x-none"/>
    </w:rPr>
  </w:style>
  <w:style w:type="paragraph" w:styleId="CommentSubject">
    <w:name w:val="annotation subject"/>
    <w:basedOn w:val="CommentText"/>
    <w:next w:val="CommentText"/>
    <w:semiHidden/>
    <w:rPr>
      <w:b/>
      <w:bCs/>
    </w:rPr>
  </w:style>
  <w:style w:type="character" w:styleId="Emphasis">
    <w:name w:val="Emphasis"/>
    <w:qFormat/>
    <w:rPr>
      <w:i/>
      <w:iCs/>
    </w:rPr>
  </w:style>
  <w:style w:type="character" w:styleId="Hyperlink">
    <w:name w:val="Hyperlink"/>
    <w:rsid w:val="00201FF1"/>
    <w:rPr>
      <w:color w:val="0000FF"/>
      <w:u w:val="single"/>
    </w:rPr>
  </w:style>
  <w:style w:type="paragraph" w:customStyle="1" w:styleId="NoSpacing1">
    <w:name w:val="No Spacing1"/>
    <w:uiPriority w:val="1"/>
    <w:qFormat/>
    <w:rsid w:val="00F73FEA"/>
    <w:rPr>
      <w:rFonts w:ascii="Calibri" w:eastAsia="Calibri" w:hAnsi="Calibri"/>
      <w:sz w:val="22"/>
      <w:szCs w:val="22"/>
    </w:rPr>
  </w:style>
  <w:style w:type="paragraph" w:styleId="PlainText">
    <w:name w:val="Plain Text"/>
    <w:basedOn w:val="Normal"/>
    <w:link w:val="PlainTextChar"/>
    <w:uiPriority w:val="99"/>
    <w:unhideWhenUsed/>
    <w:rsid w:val="00150888"/>
    <w:rPr>
      <w:rFonts w:ascii="Calibri" w:eastAsia="Calibri" w:hAnsi="Calibri"/>
      <w:kern w:val="0"/>
      <w:sz w:val="22"/>
      <w:szCs w:val="21"/>
      <w:lang w:val="x-none" w:eastAsia="x-none"/>
    </w:rPr>
  </w:style>
  <w:style w:type="character" w:customStyle="1" w:styleId="PlainTextChar">
    <w:name w:val="Plain Text Char"/>
    <w:link w:val="PlainText"/>
    <w:uiPriority w:val="99"/>
    <w:rsid w:val="00150888"/>
    <w:rPr>
      <w:rFonts w:ascii="Calibri" w:eastAsia="Calibri" w:hAnsi="Calibri"/>
      <w:sz w:val="22"/>
      <w:szCs w:val="21"/>
    </w:rPr>
  </w:style>
  <w:style w:type="character" w:customStyle="1" w:styleId="CommentTextChar">
    <w:name w:val="Comment Text Char"/>
    <w:link w:val="CommentText"/>
    <w:uiPriority w:val="99"/>
    <w:rsid w:val="007A5F34"/>
    <w:rPr>
      <w:rFonts w:ascii="Century Gothic" w:hAnsi="Century Gothic"/>
      <w:kern w:val="22"/>
    </w:rPr>
  </w:style>
  <w:style w:type="paragraph" w:customStyle="1" w:styleId="MediumGrid1-Accent21">
    <w:name w:val="Medium Grid 1 - Accent 21"/>
    <w:basedOn w:val="Normal"/>
    <w:uiPriority w:val="72"/>
    <w:qFormat/>
    <w:rsid w:val="005D7EBD"/>
    <w:pPr>
      <w:spacing w:after="200" w:line="276" w:lineRule="auto"/>
      <w:ind w:left="720"/>
      <w:contextualSpacing/>
    </w:pPr>
    <w:rPr>
      <w:rFonts w:eastAsia="MS Mincho"/>
      <w:kern w:val="0"/>
      <w:szCs w:val="22"/>
    </w:rPr>
  </w:style>
  <w:style w:type="paragraph" w:styleId="NormalWeb">
    <w:name w:val="Normal (Web)"/>
    <w:basedOn w:val="Normal"/>
    <w:uiPriority w:val="99"/>
    <w:unhideWhenUsed/>
    <w:rsid w:val="003234CC"/>
    <w:rPr>
      <w:rFonts w:ascii="Times New Roman" w:hAnsi="Times New Roman"/>
      <w:kern w:val="0"/>
      <w:sz w:val="24"/>
      <w:szCs w:val="24"/>
    </w:rPr>
  </w:style>
  <w:style w:type="paragraph" w:customStyle="1" w:styleId="Default">
    <w:name w:val="Default"/>
    <w:rsid w:val="003234CC"/>
    <w:pPr>
      <w:autoSpaceDE w:val="0"/>
      <w:autoSpaceDN w:val="0"/>
      <w:adjustRightInd w:val="0"/>
    </w:pPr>
    <w:rPr>
      <w:rFonts w:eastAsia="Cambria"/>
      <w:color w:val="000000"/>
      <w:sz w:val="24"/>
      <w:szCs w:val="24"/>
    </w:rPr>
  </w:style>
  <w:style w:type="paragraph" w:customStyle="1" w:styleId="MediumShading1-Accent11">
    <w:name w:val="Medium Shading 1 - Accent 11"/>
    <w:uiPriority w:val="1"/>
    <w:qFormat/>
    <w:rsid w:val="003234CC"/>
    <w:rPr>
      <w:rFonts w:ascii="Cambria" w:eastAsia="Cambria" w:hAnsi="Cambria"/>
      <w:sz w:val="22"/>
      <w:szCs w:val="22"/>
    </w:rPr>
  </w:style>
  <w:style w:type="paragraph" w:customStyle="1" w:styleId="MediumList2-Accent21">
    <w:name w:val="Medium List 2 - Accent 21"/>
    <w:hidden/>
    <w:uiPriority w:val="99"/>
    <w:semiHidden/>
    <w:rsid w:val="00386A7E"/>
    <w:rPr>
      <w:rFonts w:ascii="Century Gothic" w:hAnsi="Century Gothic"/>
      <w:kern w:val="22"/>
    </w:rPr>
  </w:style>
  <w:style w:type="character" w:customStyle="1" w:styleId="apple-converted-space">
    <w:name w:val="apple-converted-space"/>
    <w:basedOn w:val="DefaultParagraphFont"/>
    <w:rsid w:val="00DF4281"/>
  </w:style>
  <w:style w:type="character" w:customStyle="1" w:styleId="highlight">
    <w:name w:val="highlight"/>
    <w:basedOn w:val="DefaultParagraphFont"/>
    <w:rsid w:val="00DF4281"/>
  </w:style>
  <w:style w:type="paragraph" w:customStyle="1" w:styleId="Body">
    <w:name w:val="Body"/>
    <w:rsid w:val="004F6C09"/>
    <w:pPr>
      <w:pBdr>
        <w:top w:val="nil"/>
        <w:left w:val="nil"/>
        <w:bottom w:val="nil"/>
        <w:right w:val="nil"/>
        <w:between w:val="nil"/>
        <w:bar w:val="nil"/>
      </w:pBdr>
    </w:pPr>
    <w:rPr>
      <w:rFonts w:eastAsia="Arial Unicode MS" w:hAnsi="Arial Unicode MS" w:cs="Arial Unicode MS"/>
      <w:color w:val="000000"/>
      <w:sz w:val="24"/>
      <w:szCs w:val="24"/>
      <w:u w:color="000000"/>
      <w:bdr w:val="nil"/>
    </w:rPr>
  </w:style>
  <w:style w:type="character" w:styleId="FollowedHyperlink">
    <w:name w:val="FollowedHyperlink"/>
    <w:semiHidden/>
    <w:unhideWhenUsed/>
    <w:rsid w:val="005D7EBD"/>
    <w:rPr>
      <w:color w:val="800080"/>
      <w:u w:val="single"/>
    </w:rPr>
  </w:style>
  <w:style w:type="table" w:styleId="TableGrid">
    <w:name w:val="Table Grid"/>
    <w:basedOn w:val="TableNormal"/>
    <w:uiPriority w:val="59"/>
    <w:rsid w:val="00B453B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Column Header"/>
    <w:basedOn w:val="Normal"/>
    <w:next w:val="Normal"/>
    <w:link w:val="SubtitleChar"/>
    <w:uiPriority w:val="11"/>
    <w:qFormat/>
    <w:rsid w:val="00B453B6"/>
    <w:pPr>
      <w:numPr>
        <w:ilvl w:val="1"/>
      </w:numPr>
    </w:pPr>
    <w:rPr>
      <w:rFonts w:ascii="Calibri" w:hAnsi="Calibri"/>
      <w:b/>
      <w:i/>
      <w:iCs/>
      <w:spacing w:val="15"/>
      <w:kern w:val="0"/>
      <w:sz w:val="22"/>
      <w:szCs w:val="24"/>
    </w:rPr>
  </w:style>
  <w:style w:type="character" w:customStyle="1" w:styleId="SubtitleChar">
    <w:name w:val="Subtitle Char"/>
    <w:aliases w:val="Column Header Char"/>
    <w:link w:val="Subtitle"/>
    <w:uiPriority w:val="11"/>
    <w:rsid w:val="00B453B6"/>
    <w:rPr>
      <w:rFonts w:ascii="Calibri" w:hAnsi="Calibri"/>
      <w:b/>
      <w:i/>
      <w:iCs/>
      <w:spacing w:val="15"/>
      <w:sz w:val="22"/>
      <w:szCs w:val="24"/>
    </w:rPr>
  </w:style>
  <w:style w:type="paragraph" w:customStyle="1" w:styleId="TableText">
    <w:name w:val="Table Text"/>
    <w:basedOn w:val="Normal"/>
    <w:qFormat/>
    <w:rsid w:val="00B453B6"/>
    <w:rPr>
      <w:rFonts w:ascii="Calibri" w:eastAsia="Calibri" w:hAnsi="Calibri"/>
      <w:kern w:val="0"/>
      <w:sz w:val="22"/>
      <w:szCs w:val="22"/>
    </w:rPr>
  </w:style>
  <w:style w:type="paragraph" w:customStyle="1" w:styleId="MediumGrid21">
    <w:name w:val="Medium Grid 21"/>
    <w:uiPriority w:val="1"/>
    <w:qFormat/>
    <w:rsid w:val="00335F1C"/>
    <w:rPr>
      <w:rFonts w:ascii="Calibri" w:eastAsia="Calibri" w:hAnsi="Calibri"/>
      <w:sz w:val="22"/>
      <w:szCs w:val="22"/>
    </w:rPr>
  </w:style>
  <w:style w:type="character" w:customStyle="1" w:styleId="journal">
    <w:name w:val="journal"/>
    <w:rsid w:val="00864135"/>
  </w:style>
  <w:style w:type="character" w:customStyle="1" w:styleId="jnumber">
    <w:name w:val="jnumber"/>
    <w:rsid w:val="00864135"/>
  </w:style>
  <w:style w:type="paragraph" w:customStyle="1" w:styleId="EndNoteBibliography">
    <w:name w:val="EndNote Bibliography"/>
    <w:basedOn w:val="Normal"/>
    <w:link w:val="EndNoteBibliographyChar"/>
    <w:rsid w:val="00AF517F"/>
    <w:rPr>
      <w:rFonts w:ascii="Calibri" w:eastAsia="Calibri" w:hAnsi="Calibri"/>
      <w:noProof/>
      <w:kern w:val="0"/>
      <w:sz w:val="22"/>
      <w:szCs w:val="22"/>
    </w:rPr>
  </w:style>
  <w:style w:type="character" w:customStyle="1" w:styleId="EndNoteBibliographyChar">
    <w:name w:val="EndNote Bibliography Char"/>
    <w:link w:val="EndNoteBibliography"/>
    <w:rsid w:val="00AF517F"/>
    <w:rPr>
      <w:rFonts w:ascii="Calibri" w:eastAsia="Calibri" w:hAnsi="Calibri"/>
      <w:noProof/>
      <w:sz w:val="22"/>
      <w:szCs w:val="22"/>
    </w:rPr>
  </w:style>
  <w:style w:type="paragraph" w:customStyle="1" w:styleId="DarkList-Accent31">
    <w:name w:val="Dark List - Accent 31"/>
    <w:hidden/>
    <w:uiPriority w:val="71"/>
    <w:rsid w:val="000312E1"/>
    <w:rPr>
      <w:rFonts w:ascii="Arial" w:hAnsi="Arial"/>
      <w:kern w:val="22"/>
    </w:rPr>
  </w:style>
  <w:style w:type="character" w:customStyle="1" w:styleId="FooterChar">
    <w:name w:val="Footer Char"/>
    <w:link w:val="Footer"/>
    <w:locked/>
    <w:rsid w:val="00625EE7"/>
    <w:rPr>
      <w:rFonts w:ascii="Arial" w:hAnsi="Arial"/>
      <w:kern w:val="22"/>
    </w:rPr>
  </w:style>
  <w:style w:type="paragraph" w:styleId="ListParagraph">
    <w:name w:val="List Paragraph"/>
    <w:basedOn w:val="Normal"/>
    <w:uiPriority w:val="34"/>
    <w:qFormat/>
    <w:rsid w:val="00052C42"/>
    <w:pPr>
      <w:spacing w:line="276" w:lineRule="auto"/>
      <w:ind w:left="720"/>
      <w:contextualSpacing/>
    </w:pPr>
    <w:rPr>
      <w:rFonts w:ascii="Cambria" w:eastAsia="Cambria" w:hAnsi="Cambria"/>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60436">
      <w:bodyDiv w:val="1"/>
      <w:marLeft w:val="0"/>
      <w:marRight w:val="0"/>
      <w:marTop w:val="0"/>
      <w:marBottom w:val="0"/>
      <w:divBdr>
        <w:top w:val="none" w:sz="0" w:space="0" w:color="auto"/>
        <w:left w:val="none" w:sz="0" w:space="0" w:color="auto"/>
        <w:bottom w:val="none" w:sz="0" w:space="0" w:color="auto"/>
        <w:right w:val="none" w:sz="0" w:space="0" w:color="auto"/>
      </w:divBdr>
    </w:div>
    <w:div w:id="389501747">
      <w:bodyDiv w:val="1"/>
      <w:marLeft w:val="0"/>
      <w:marRight w:val="0"/>
      <w:marTop w:val="0"/>
      <w:marBottom w:val="0"/>
      <w:divBdr>
        <w:top w:val="none" w:sz="0" w:space="0" w:color="auto"/>
        <w:left w:val="none" w:sz="0" w:space="0" w:color="auto"/>
        <w:bottom w:val="none" w:sz="0" w:space="0" w:color="auto"/>
        <w:right w:val="none" w:sz="0" w:space="0" w:color="auto"/>
      </w:divBdr>
    </w:div>
    <w:div w:id="457263929">
      <w:bodyDiv w:val="1"/>
      <w:marLeft w:val="0"/>
      <w:marRight w:val="0"/>
      <w:marTop w:val="0"/>
      <w:marBottom w:val="0"/>
      <w:divBdr>
        <w:top w:val="none" w:sz="0" w:space="0" w:color="auto"/>
        <w:left w:val="none" w:sz="0" w:space="0" w:color="auto"/>
        <w:bottom w:val="none" w:sz="0" w:space="0" w:color="auto"/>
        <w:right w:val="none" w:sz="0" w:space="0" w:color="auto"/>
      </w:divBdr>
    </w:div>
    <w:div w:id="572666456">
      <w:bodyDiv w:val="1"/>
      <w:marLeft w:val="0"/>
      <w:marRight w:val="0"/>
      <w:marTop w:val="0"/>
      <w:marBottom w:val="0"/>
      <w:divBdr>
        <w:top w:val="none" w:sz="0" w:space="0" w:color="auto"/>
        <w:left w:val="none" w:sz="0" w:space="0" w:color="auto"/>
        <w:bottom w:val="none" w:sz="0" w:space="0" w:color="auto"/>
        <w:right w:val="none" w:sz="0" w:space="0" w:color="auto"/>
      </w:divBdr>
      <w:divsChild>
        <w:div w:id="649751150">
          <w:marLeft w:val="0"/>
          <w:marRight w:val="0"/>
          <w:marTop w:val="0"/>
          <w:marBottom w:val="0"/>
          <w:divBdr>
            <w:top w:val="none" w:sz="0" w:space="0" w:color="auto"/>
            <w:left w:val="none" w:sz="0" w:space="0" w:color="auto"/>
            <w:bottom w:val="none" w:sz="0" w:space="0" w:color="auto"/>
            <w:right w:val="none" w:sz="0" w:space="0" w:color="auto"/>
          </w:divBdr>
        </w:div>
      </w:divsChild>
    </w:div>
    <w:div w:id="609093798">
      <w:bodyDiv w:val="1"/>
      <w:marLeft w:val="0"/>
      <w:marRight w:val="0"/>
      <w:marTop w:val="0"/>
      <w:marBottom w:val="0"/>
      <w:divBdr>
        <w:top w:val="none" w:sz="0" w:space="0" w:color="auto"/>
        <w:left w:val="none" w:sz="0" w:space="0" w:color="auto"/>
        <w:bottom w:val="none" w:sz="0" w:space="0" w:color="auto"/>
        <w:right w:val="none" w:sz="0" w:space="0" w:color="auto"/>
      </w:divBdr>
    </w:div>
    <w:div w:id="1032194605">
      <w:bodyDiv w:val="1"/>
      <w:marLeft w:val="0"/>
      <w:marRight w:val="0"/>
      <w:marTop w:val="0"/>
      <w:marBottom w:val="0"/>
      <w:divBdr>
        <w:top w:val="none" w:sz="0" w:space="0" w:color="auto"/>
        <w:left w:val="none" w:sz="0" w:space="0" w:color="auto"/>
        <w:bottom w:val="none" w:sz="0" w:space="0" w:color="auto"/>
        <w:right w:val="none" w:sz="0" w:space="0" w:color="auto"/>
      </w:divBdr>
    </w:div>
    <w:div w:id="1250429354">
      <w:bodyDiv w:val="1"/>
      <w:marLeft w:val="0"/>
      <w:marRight w:val="0"/>
      <w:marTop w:val="0"/>
      <w:marBottom w:val="0"/>
      <w:divBdr>
        <w:top w:val="none" w:sz="0" w:space="0" w:color="auto"/>
        <w:left w:val="none" w:sz="0" w:space="0" w:color="auto"/>
        <w:bottom w:val="none" w:sz="0" w:space="0" w:color="auto"/>
        <w:right w:val="none" w:sz="0" w:space="0" w:color="auto"/>
      </w:divBdr>
      <w:divsChild>
        <w:div w:id="37165908">
          <w:marLeft w:val="0"/>
          <w:marRight w:val="0"/>
          <w:marTop w:val="0"/>
          <w:marBottom w:val="0"/>
          <w:divBdr>
            <w:top w:val="none" w:sz="0" w:space="0" w:color="auto"/>
            <w:left w:val="none" w:sz="0" w:space="0" w:color="auto"/>
            <w:bottom w:val="none" w:sz="0" w:space="0" w:color="auto"/>
            <w:right w:val="none" w:sz="0" w:space="0" w:color="auto"/>
          </w:divBdr>
        </w:div>
        <w:div w:id="69887558">
          <w:marLeft w:val="0"/>
          <w:marRight w:val="0"/>
          <w:marTop w:val="0"/>
          <w:marBottom w:val="0"/>
          <w:divBdr>
            <w:top w:val="none" w:sz="0" w:space="0" w:color="auto"/>
            <w:left w:val="none" w:sz="0" w:space="0" w:color="auto"/>
            <w:bottom w:val="none" w:sz="0" w:space="0" w:color="auto"/>
            <w:right w:val="none" w:sz="0" w:space="0" w:color="auto"/>
          </w:divBdr>
        </w:div>
        <w:div w:id="72898768">
          <w:marLeft w:val="0"/>
          <w:marRight w:val="0"/>
          <w:marTop w:val="0"/>
          <w:marBottom w:val="0"/>
          <w:divBdr>
            <w:top w:val="none" w:sz="0" w:space="0" w:color="auto"/>
            <w:left w:val="none" w:sz="0" w:space="0" w:color="auto"/>
            <w:bottom w:val="none" w:sz="0" w:space="0" w:color="auto"/>
            <w:right w:val="none" w:sz="0" w:space="0" w:color="auto"/>
          </w:divBdr>
        </w:div>
        <w:div w:id="189074694">
          <w:marLeft w:val="0"/>
          <w:marRight w:val="0"/>
          <w:marTop w:val="0"/>
          <w:marBottom w:val="0"/>
          <w:divBdr>
            <w:top w:val="none" w:sz="0" w:space="0" w:color="auto"/>
            <w:left w:val="none" w:sz="0" w:space="0" w:color="auto"/>
            <w:bottom w:val="none" w:sz="0" w:space="0" w:color="auto"/>
            <w:right w:val="none" w:sz="0" w:space="0" w:color="auto"/>
          </w:divBdr>
        </w:div>
        <w:div w:id="275797418">
          <w:marLeft w:val="0"/>
          <w:marRight w:val="0"/>
          <w:marTop w:val="0"/>
          <w:marBottom w:val="0"/>
          <w:divBdr>
            <w:top w:val="none" w:sz="0" w:space="0" w:color="auto"/>
            <w:left w:val="none" w:sz="0" w:space="0" w:color="auto"/>
            <w:bottom w:val="none" w:sz="0" w:space="0" w:color="auto"/>
            <w:right w:val="none" w:sz="0" w:space="0" w:color="auto"/>
          </w:divBdr>
        </w:div>
        <w:div w:id="324288154">
          <w:marLeft w:val="0"/>
          <w:marRight w:val="0"/>
          <w:marTop w:val="0"/>
          <w:marBottom w:val="0"/>
          <w:divBdr>
            <w:top w:val="none" w:sz="0" w:space="0" w:color="auto"/>
            <w:left w:val="none" w:sz="0" w:space="0" w:color="auto"/>
            <w:bottom w:val="none" w:sz="0" w:space="0" w:color="auto"/>
            <w:right w:val="none" w:sz="0" w:space="0" w:color="auto"/>
          </w:divBdr>
        </w:div>
        <w:div w:id="540165698">
          <w:marLeft w:val="0"/>
          <w:marRight w:val="0"/>
          <w:marTop w:val="0"/>
          <w:marBottom w:val="0"/>
          <w:divBdr>
            <w:top w:val="none" w:sz="0" w:space="0" w:color="auto"/>
            <w:left w:val="none" w:sz="0" w:space="0" w:color="auto"/>
            <w:bottom w:val="none" w:sz="0" w:space="0" w:color="auto"/>
            <w:right w:val="none" w:sz="0" w:space="0" w:color="auto"/>
          </w:divBdr>
        </w:div>
        <w:div w:id="621157676">
          <w:marLeft w:val="0"/>
          <w:marRight w:val="0"/>
          <w:marTop w:val="0"/>
          <w:marBottom w:val="0"/>
          <w:divBdr>
            <w:top w:val="none" w:sz="0" w:space="0" w:color="auto"/>
            <w:left w:val="none" w:sz="0" w:space="0" w:color="auto"/>
            <w:bottom w:val="none" w:sz="0" w:space="0" w:color="auto"/>
            <w:right w:val="none" w:sz="0" w:space="0" w:color="auto"/>
          </w:divBdr>
        </w:div>
        <w:div w:id="715396246">
          <w:marLeft w:val="0"/>
          <w:marRight w:val="0"/>
          <w:marTop w:val="0"/>
          <w:marBottom w:val="0"/>
          <w:divBdr>
            <w:top w:val="none" w:sz="0" w:space="0" w:color="auto"/>
            <w:left w:val="none" w:sz="0" w:space="0" w:color="auto"/>
            <w:bottom w:val="none" w:sz="0" w:space="0" w:color="auto"/>
            <w:right w:val="none" w:sz="0" w:space="0" w:color="auto"/>
          </w:divBdr>
        </w:div>
        <w:div w:id="741023229">
          <w:marLeft w:val="0"/>
          <w:marRight w:val="0"/>
          <w:marTop w:val="0"/>
          <w:marBottom w:val="0"/>
          <w:divBdr>
            <w:top w:val="none" w:sz="0" w:space="0" w:color="auto"/>
            <w:left w:val="none" w:sz="0" w:space="0" w:color="auto"/>
            <w:bottom w:val="none" w:sz="0" w:space="0" w:color="auto"/>
            <w:right w:val="none" w:sz="0" w:space="0" w:color="auto"/>
          </w:divBdr>
        </w:div>
        <w:div w:id="820854515">
          <w:marLeft w:val="0"/>
          <w:marRight w:val="0"/>
          <w:marTop w:val="0"/>
          <w:marBottom w:val="0"/>
          <w:divBdr>
            <w:top w:val="none" w:sz="0" w:space="0" w:color="auto"/>
            <w:left w:val="none" w:sz="0" w:space="0" w:color="auto"/>
            <w:bottom w:val="none" w:sz="0" w:space="0" w:color="auto"/>
            <w:right w:val="none" w:sz="0" w:space="0" w:color="auto"/>
          </w:divBdr>
        </w:div>
        <w:div w:id="903179040">
          <w:marLeft w:val="0"/>
          <w:marRight w:val="0"/>
          <w:marTop w:val="0"/>
          <w:marBottom w:val="0"/>
          <w:divBdr>
            <w:top w:val="none" w:sz="0" w:space="0" w:color="auto"/>
            <w:left w:val="none" w:sz="0" w:space="0" w:color="auto"/>
            <w:bottom w:val="none" w:sz="0" w:space="0" w:color="auto"/>
            <w:right w:val="none" w:sz="0" w:space="0" w:color="auto"/>
          </w:divBdr>
        </w:div>
        <w:div w:id="940333640">
          <w:marLeft w:val="0"/>
          <w:marRight w:val="0"/>
          <w:marTop w:val="0"/>
          <w:marBottom w:val="0"/>
          <w:divBdr>
            <w:top w:val="none" w:sz="0" w:space="0" w:color="auto"/>
            <w:left w:val="none" w:sz="0" w:space="0" w:color="auto"/>
            <w:bottom w:val="none" w:sz="0" w:space="0" w:color="auto"/>
            <w:right w:val="none" w:sz="0" w:space="0" w:color="auto"/>
          </w:divBdr>
        </w:div>
        <w:div w:id="949505346">
          <w:marLeft w:val="0"/>
          <w:marRight w:val="0"/>
          <w:marTop w:val="0"/>
          <w:marBottom w:val="0"/>
          <w:divBdr>
            <w:top w:val="none" w:sz="0" w:space="0" w:color="auto"/>
            <w:left w:val="none" w:sz="0" w:space="0" w:color="auto"/>
            <w:bottom w:val="none" w:sz="0" w:space="0" w:color="auto"/>
            <w:right w:val="none" w:sz="0" w:space="0" w:color="auto"/>
          </w:divBdr>
        </w:div>
        <w:div w:id="981931918">
          <w:marLeft w:val="0"/>
          <w:marRight w:val="0"/>
          <w:marTop w:val="0"/>
          <w:marBottom w:val="0"/>
          <w:divBdr>
            <w:top w:val="none" w:sz="0" w:space="0" w:color="auto"/>
            <w:left w:val="none" w:sz="0" w:space="0" w:color="auto"/>
            <w:bottom w:val="none" w:sz="0" w:space="0" w:color="auto"/>
            <w:right w:val="none" w:sz="0" w:space="0" w:color="auto"/>
          </w:divBdr>
        </w:div>
        <w:div w:id="990669464">
          <w:marLeft w:val="0"/>
          <w:marRight w:val="0"/>
          <w:marTop w:val="0"/>
          <w:marBottom w:val="0"/>
          <w:divBdr>
            <w:top w:val="none" w:sz="0" w:space="0" w:color="auto"/>
            <w:left w:val="none" w:sz="0" w:space="0" w:color="auto"/>
            <w:bottom w:val="none" w:sz="0" w:space="0" w:color="auto"/>
            <w:right w:val="none" w:sz="0" w:space="0" w:color="auto"/>
          </w:divBdr>
        </w:div>
        <w:div w:id="1189566554">
          <w:marLeft w:val="0"/>
          <w:marRight w:val="0"/>
          <w:marTop w:val="0"/>
          <w:marBottom w:val="0"/>
          <w:divBdr>
            <w:top w:val="none" w:sz="0" w:space="0" w:color="auto"/>
            <w:left w:val="none" w:sz="0" w:space="0" w:color="auto"/>
            <w:bottom w:val="none" w:sz="0" w:space="0" w:color="auto"/>
            <w:right w:val="none" w:sz="0" w:space="0" w:color="auto"/>
          </w:divBdr>
        </w:div>
        <w:div w:id="1397774399">
          <w:marLeft w:val="0"/>
          <w:marRight w:val="0"/>
          <w:marTop w:val="0"/>
          <w:marBottom w:val="0"/>
          <w:divBdr>
            <w:top w:val="none" w:sz="0" w:space="0" w:color="auto"/>
            <w:left w:val="none" w:sz="0" w:space="0" w:color="auto"/>
            <w:bottom w:val="none" w:sz="0" w:space="0" w:color="auto"/>
            <w:right w:val="none" w:sz="0" w:space="0" w:color="auto"/>
          </w:divBdr>
        </w:div>
        <w:div w:id="1819305072">
          <w:marLeft w:val="0"/>
          <w:marRight w:val="0"/>
          <w:marTop w:val="0"/>
          <w:marBottom w:val="0"/>
          <w:divBdr>
            <w:top w:val="none" w:sz="0" w:space="0" w:color="auto"/>
            <w:left w:val="none" w:sz="0" w:space="0" w:color="auto"/>
            <w:bottom w:val="none" w:sz="0" w:space="0" w:color="auto"/>
            <w:right w:val="none" w:sz="0" w:space="0" w:color="auto"/>
          </w:divBdr>
        </w:div>
        <w:div w:id="1844859174">
          <w:marLeft w:val="0"/>
          <w:marRight w:val="0"/>
          <w:marTop w:val="0"/>
          <w:marBottom w:val="0"/>
          <w:divBdr>
            <w:top w:val="none" w:sz="0" w:space="0" w:color="auto"/>
            <w:left w:val="none" w:sz="0" w:space="0" w:color="auto"/>
            <w:bottom w:val="none" w:sz="0" w:space="0" w:color="auto"/>
            <w:right w:val="none" w:sz="0" w:space="0" w:color="auto"/>
          </w:divBdr>
        </w:div>
        <w:div w:id="2097480478">
          <w:marLeft w:val="0"/>
          <w:marRight w:val="0"/>
          <w:marTop w:val="0"/>
          <w:marBottom w:val="0"/>
          <w:divBdr>
            <w:top w:val="none" w:sz="0" w:space="0" w:color="auto"/>
            <w:left w:val="none" w:sz="0" w:space="0" w:color="auto"/>
            <w:bottom w:val="none" w:sz="0" w:space="0" w:color="auto"/>
            <w:right w:val="none" w:sz="0" w:space="0" w:color="auto"/>
          </w:divBdr>
        </w:div>
        <w:div w:id="2109155860">
          <w:marLeft w:val="0"/>
          <w:marRight w:val="0"/>
          <w:marTop w:val="0"/>
          <w:marBottom w:val="0"/>
          <w:divBdr>
            <w:top w:val="none" w:sz="0" w:space="0" w:color="auto"/>
            <w:left w:val="none" w:sz="0" w:space="0" w:color="auto"/>
            <w:bottom w:val="none" w:sz="0" w:space="0" w:color="auto"/>
            <w:right w:val="none" w:sz="0" w:space="0" w:color="auto"/>
          </w:divBdr>
        </w:div>
      </w:divsChild>
    </w:div>
    <w:div w:id="1367102735">
      <w:bodyDiv w:val="1"/>
      <w:marLeft w:val="0"/>
      <w:marRight w:val="0"/>
      <w:marTop w:val="0"/>
      <w:marBottom w:val="0"/>
      <w:divBdr>
        <w:top w:val="none" w:sz="0" w:space="0" w:color="auto"/>
        <w:left w:val="none" w:sz="0" w:space="0" w:color="auto"/>
        <w:bottom w:val="none" w:sz="0" w:space="0" w:color="auto"/>
        <w:right w:val="none" w:sz="0" w:space="0" w:color="auto"/>
      </w:divBdr>
    </w:div>
    <w:div w:id="1498376118">
      <w:bodyDiv w:val="1"/>
      <w:marLeft w:val="0"/>
      <w:marRight w:val="0"/>
      <w:marTop w:val="0"/>
      <w:marBottom w:val="0"/>
      <w:divBdr>
        <w:top w:val="none" w:sz="0" w:space="0" w:color="auto"/>
        <w:left w:val="none" w:sz="0" w:space="0" w:color="auto"/>
        <w:bottom w:val="none" w:sz="0" w:space="0" w:color="auto"/>
        <w:right w:val="none" w:sz="0" w:space="0" w:color="auto"/>
      </w:divBdr>
    </w:div>
    <w:div w:id="1655448590">
      <w:bodyDiv w:val="1"/>
      <w:marLeft w:val="0"/>
      <w:marRight w:val="0"/>
      <w:marTop w:val="0"/>
      <w:marBottom w:val="0"/>
      <w:divBdr>
        <w:top w:val="none" w:sz="0" w:space="0" w:color="auto"/>
        <w:left w:val="none" w:sz="0" w:space="0" w:color="auto"/>
        <w:bottom w:val="none" w:sz="0" w:space="0" w:color="auto"/>
        <w:right w:val="none" w:sz="0" w:space="0" w:color="auto"/>
      </w:divBdr>
      <w:divsChild>
        <w:div w:id="1060057661">
          <w:marLeft w:val="0"/>
          <w:marRight w:val="0"/>
          <w:marTop w:val="0"/>
          <w:marBottom w:val="0"/>
          <w:divBdr>
            <w:top w:val="none" w:sz="0" w:space="0" w:color="auto"/>
            <w:left w:val="none" w:sz="0" w:space="0" w:color="auto"/>
            <w:bottom w:val="none" w:sz="0" w:space="0" w:color="auto"/>
            <w:right w:val="none" w:sz="0" w:space="0" w:color="auto"/>
          </w:divBdr>
          <w:divsChild>
            <w:div w:id="1693997554">
              <w:marLeft w:val="0"/>
              <w:marRight w:val="0"/>
              <w:marTop w:val="0"/>
              <w:marBottom w:val="0"/>
              <w:divBdr>
                <w:top w:val="none" w:sz="0" w:space="0" w:color="auto"/>
                <w:left w:val="none" w:sz="0" w:space="0" w:color="auto"/>
                <w:bottom w:val="none" w:sz="0" w:space="0" w:color="auto"/>
                <w:right w:val="none" w:sz="0" w:space="0" w:color="auto"/>
              </w:divBdr>
              <w:divsChild>
                <w:div w:id="578294945">
                  <w:marLeft w:val="0"/>
                  <w:marRight w:val="0"/>
                  <w:marTop w:val="0"/>
                  <w:marBottom w:val="0"/>
                  <w:divBdr>
                    <w:top w:val="none" w:sz="0" w:space="0" w:color="auto"/>
                    <w:left w:val="none" w:sz="0" w:space="0" w:color="auto"/>
                    <w:bottom w:val="none" w:sz="0" w:space="0" w:color="auto"/>
                    <w:right w:val="none" w:sz="0" w:space="0" w:color="auto"/>
                  </w:divBdr>
                  <w:divsChild>
                    <w:div w:id="314845985">
                      <w:marLeft w:val="0"/>
                      <w:marRight w:val="0"/>
                      <w:marTop w:val="0"/>
                      <w:marBottom w:val="0"/>
                      <w:divBdr>
                        <w:top w:val="none" w:sz="0" w:space="0" w:color="auto"/>
                        <w:left w:val="none" w:sz="0" w:space="0" w:color="auto"/>
                        <w:bottom w:val="none" w:sz="0" w:space="0" w:color="auto"/>
                        <w:right w:val="none" w:sz="0" w:space="0" w:color="auto"/>
                      </w:divBdr>
                      <w:divsChild>
                        <w:div w:id="732696898">
                          <w:marLeft w:val="0"/>
                          <w:marRight w:val="0"/>
                          <w:marTop w:val="0"/>
                          <w:marBottom w:val="0"/>
                          <w:divBdr>
                            <w:top w:val="none" w:sz="0" w:space="0" w:color="auto"/>
                            <w:left w:val="none" w:sz="0" w:space="0" w:color="auto"/>
                            <w:bottom w:val="none" w:sz="0" w:space="0" w:color="auto"/>
                            <w:right w:val="none" w:sz="0" w:space="0" w:color="auto"/>
                          </w:divBdr>
                          <w:divsChild>
                            <w:div w:id="1312834325">
                              <w:marLeft w:val="0"/>
                              <w:marRight w:val="0"/>
                              <w:marTop w:val="0"/>
                              <w:marBottom w:val="0"/>
                              <w:divBdr>
                                <w:top w:val="none" w:sz="0" w:space="0" w:color="auto"/>
                                <w:left w:val="none" w:sz="0" w:space="0" w:color="auto"/>
                                <w:bottom w:val="none" w:sz="0" w:space="0" w:color="auto"/>
                                <w:right w:val="none" w:sz="0" w:space="0" w:color="auto"/>
                              </w:divBdr>
                              <w:divsChild>
                                <w:div w:id="1021931677">
                                  <w:marLeft w:val="0"/>
                                  <w:marRight w:val="0"/>
                                  <w:marTop w:val="0"/>
                                  <w:marBottom w:val="0"/>
                                  <w:divBdr>
                                    <w:top w:val="none" w:sz="0" w:space="0" w:color="auto"/>
                                    <w:left w:val="none" w:sz="0" w:space="0" w:color="auto"/>
                                    <w:bottom w:val="none" w:sz="0" w:space="0" w:color="auto"/>
                                    <w:right w:val="none" w:sz="0" w:space="0" w:color="auto"/>
                                  </w:divBdr>
                                  <w:divsChild>
                                    <w:div w:id="1155952950">
                                      <w:marLeft w:val="0"/>
                                      <w:marRight w:val="0"/>
                                      <w:marTop w:val="0"/>
                                      <w:marBottom w:val="0"/>
                                      <w:divBdr>
                                        <w:top w:val="none" w:sz="0" w:space="0" w:color="auto"/>
                                        <w:left w:val="none" w:sz="0" w:space="0" w:color="auto"/>
                                        <w:bottom w:val="none" w:sz="0" w:space="0" w:color="auto"/>
                                        <w:right w:val="none" w:sz="0" w:space="0" w:color="auto"/>
                                      </w:divBdr>
                                      <w:divsChild>
                                        <w:div w:id="1523741639">
                                          <w:marLeft w:val="0"/>
                                          <w:marRight w:val="0"/>
                                          <w:marTop w:val="0"/>
                                          <w:marBottom w:val="0"/>
                                          <w:divBdr>
                                            <w:top w:val="none" w:sz="0" w:space="0" w:color="auto"/>
                                            <w:left w:val="none" w:sz="0" w:space="0" w:color="auto"/>
                                            <w:bottom w:val="none" w:sz="0" w:space="0" w:color="auto"/>
                                            <w:right w:val="none" w:sz="0" w:space="0" w:color="auto"/>
                                          </w:divBdr>
                                          <w:divsChild>
                                            <w:div w:id="3824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2409901">
      <w:bodyDiv w:val="1"/>
      <w:marLeft w:val="0"/>
      <w:marRight w:val="0"/>
      <w:marTop w:val="0"/>
      <w:marBottom w:val="0"/>
      <w:divBdr>
        <w:top w:val="none" w:sz="0" w:space="0" w:color="auto"/>
        <w:left w:val="none" w:sz="0" w:space="0" w:color="auto"/>
        <w:bottom w:val="none" w:sz="0" w:space="0" w:color="auto"/>
        <w:right w:val="none" w:sz="0" w:space="0" w:color="auto"/>
      </w:divBdr>
    </w:div>
    <w:div w:id="1773547270">
      <w:bodyDiv w:val="1"/>
      <w:marLeft w:val="0"/>
      <w:marRight w:val="0"/>
      <w:marTop w:val="0"/>
      <w:marBottom w:val="0"/>
      <w:divBdr>
        <w:top w:val="none" w:sz="0" w:space="0" w:color="auto"/>
        <w:left w:val="none" w:sz="0" w:space="0" w:color="auto"/>
        <w:bottom w:val="none" w:sz="0" w:space="0" w:color="auto"/>
        <w:right w:val="none" w:sz="0" w:space="0" w:color="auto"/>
      </w:divBdr>
    </w:div>
    <w:div w:id="1930654961">
      <w:bodyDiv w:val="1"/>
      <w:marLeft w:val="0"/>
      <w:marRight w:val="0"/>
      <w:marTop w:val="0"/>
      <w:marBottom w:val="0"/>
      <w:divBdr>
        <w:top w:val="none" w:sz="0" w:space="0" w:color="auto"/>
        <w:left w:val="none" w:sz="0" w:space="0" w:color="auto"/>
        <w:bottom w:val="none" w:sz="0" w:space="0" w:color="auto"/>
        <w:right w:val="none" w:sz="0" w:space="0" w:color="auto"/>
      </w:divBdr>
    </w:div>
    <w:div w:id="2017807703">
      <w:bodyDiv w:val="1"/>
      <w:marLeft w:val="0"/>
      <w:marRight w:val="0"/>
      <w:marTop w:val="0"/>
      <w:marBottom w:val="0"/>
      <w:divBdr>
        <w:top w:val="none" w:sz="0" w:space="0" w:color="auto"/>
        <w:left w:val="none" w:sz="0" w:space="0" w:color="auto"/>
        <w:bottom w:val="none" w:sz="0" w:space="0" w:color="auto"/>
        <w:right w:val="none" w:sz="0" w:space="0" w:color="auto"/>
      </w:divBdr>
    </w:div>
    <w:div w:id="20802471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DDC13-26B6-4A53-81A4-79BB29470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4513</Words>
  <Characters>25727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CAP Cancer Protocol Colon</vt:lpstr>
    </vt:vector>
  </TitlesOfParts>
  <Company>College of American Pathologists</Company>
  <LinksUpToDate>false</LinksUpToDate>
  <CharactersWithSpaces>30180</CharactersWithSpaces>
  <SharedDoc>false</SharedDoc>
  <HLinks>
    <vt:vector size="6" baseType="variant">
      <vt:variant>
        <vt:i4>3407931</vt:i4>
      </vt:variant>
      <vt:variant>
        <vt:i4>6</vt:i4>
      </vt:variant>
      <vt:variant>
        <vt:i4>0</vt:i4>
      </vt:variant>
      <vt:variant>
        <vt:i4>5</vt:i4>
      </vt:variant>
      <vt:variant>
        <vt:lpwstr>http://www.cap.org/cancerprotocols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Colon</dc:title>
  <dc:subject/>
  <dc:creator>College of American Pathologists</dc:creator>
  <cp:keywords/>
  <cp:lastModifiedBy>Zack Sessions (s)</cp:lastModifiedBy>
  <cp:revision>15</cp:revision>
  <cp:lastPrinted>2016-09-06T21:06:00Z</cp:lastPrinted>
  <dcterms:created xsi:type="dcterms:W3CDTF">2019-09-20T14:12:00Z</dcterms:created>
  <dcterms:modified xsi:type="dcterms:W3CDTF">2020-02-24T16:18:00Z</dcterms:modified>
</cp:coreProperties>
</file>