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0E4D46" w14:textId="77777777" w:rsidR="00B336E3" w:rsidRPr="00845FBC" w:rsidRDefault="00B336E3" w:rsidP="00B336E3">
      <w:pPr>
        <w:pStyle w:val="Head1"/>
        <w:spacing w:after="180"/>
        <w:rPr>
          <w:rFonts w:cs="Arial"/>
        </w:rPr>
      </w:pPr>
      <w:r w:rsidRPr="00845FBC">
        <w:rPr>
          <w:rFonts w:cs="Arial"/>
        </w:rPr>
        <w:t>Protocol fo</w:t>
      </w:r>
      <w:r w:rsidR="0072709F" w:rsidRPr="00845FBC">
        <w:rPr>
          <w:rFonts w:cs="Arial"/>
        </w:rPr>
        <w:t xml:space="preserve">r the Examination of </w:t>
      </w:r>
      <w:r w:rsidR="006A6C3A">
        <w:rPr>
          <w:rFonts w:cs="Arial"/>
        </w:rPr>
        <w:t xml:space="preserve">Biopsy </w:t>
      </w:r>
      <w:r w:rsidR="0072709F" w:rsidRPr="00845FBC">
        <w:rPr>
          <w:rFonts w:cs="Arial"/>
        </w:rPr>
        <w:t xml:space="preserve">Specimens </w:t>
      </w:r>
      <w:proofErr w:type="gramStart"/>
      <w:r w:rsidR="00176D28">
        <w:rPr>
          <w:rFonts w:cs="Arial"/>
        </w:rPr>
        <w:t>F</w:t>
      </w:r>
      <w:r w:rsidR="0072709F" w:rsidRPr="00845FBC">
        <w:rPr>
          <w:rFonts w:cs="Arial"/>
        </w:rPr>
        <w:t>rom</w:t>
      </w:r>
      <w:proofErr w:type="gramEnd"/>
      <w:r w:rsidR="0072709F" w:rsidRPr="00845FBC">
        <w:rPr>
          <w:rFonts w:cs="Arial"/>
        </w:rPr>
        <w:t xml:space="preserve"> Patients </w:t>
      </w:r>
      <w:r w:rsidR="00176D28">
        <w:rPr>
          <w:rFonts w:cs="Arial"/>
        </w:rPr>
        <w:t>W</w:t>
      </w:r>
      <w:r w:rsidRPr="00845FBC">
        <w:rPr>
          <w:rFonts w:cs="Arial"/>
        </w:rPr>
        <w:t xml:space="preserve">ith </w:t>
      </w:r>
      <w:r w:rsidR="00CA00DE">
        <w:rPr>
          <w:rFonts w:cs="Arial"/>
        </w:rPr>
        <w:t xml:space="preserve">Primary </w:t>
      </w:r>
      <w:r w:rsidRPr="00845FBC">
        <w:rPr>
          <w:rFonts w:cs="Arial"/>
        </w:rPr>
        <w:t>Tumors of Bone</w:t>
      </w:r>
    </w:p>
    <w:tbl>
      <w:tblPr>
        <w:tblW w:w="11315" w:type="dxa"/>
        <w:tblLook w:val="04A0" w:firstRow="1" w:lastRow="0" w:firstColumn="1" w:lastColumn="0" w:noHBand="0" w:noVBand="1"/>
      </w:tblPr>
      <w:tblGrid>
        <w:gridCol w:w="10206"/>
        <w:gridCol w:w="1109"/>
      </w:tblGrid>
      <w:tr w:rsidR="00A706F1" w:rsidRPr="00A706F1" w14:paraId="75209228" w14:textId="77777777" w:rsidTr="00442350">
        <w:tc>
          <w:tcPr>
            <w:tcW w:w="10206" w:type="dxa"/>
            <w:shd w:val="clear" w:color="auto" w:fill="auto"/>
          </w:tcPr>
          <w:tbl>
            <w:tblPr>
              <w:tblW w:w="9990" w:type="dxa"/>
              <w:tblLook w:val="04A0" w:firstRow="1" w:lastRow="0" w:firstColumn="1" w:lastColumn="0" w:noHBand="0" w:noVBand="1"/>
            </w:tblPr>
            <w:tblGrid>
              <w:gridCol w:w="4500"/>
              <w:gridCol w:w="5490"/>
            </w:tblGrid>
            <w:tr w:rsidR="006A6C3A" w:rsidRPr="00B74B56" w14:paraId="7FD865D3" w14:textId="77777777" w:rsidTr="00442350">
              <w:tc>
                <w:tcPr>
                  <w:tcW w:w="4500" w:type="dxa"/>
                  <w:shd w:val="clear" w:color="auto" w:fill="auto"/>
                </w:tcPr>
                <w:p w14:paraId="5EB746D4" w14:textId="681196ED" w:rsidR="006A6C3A" w:rsidRPr="00B74B56" w:rsidRDefault="006A6C3A" w:rsidP="006A6C3A">
                  <w:pPr>
                    <w:keepNext/>
                    <w:tabs>
                      <w:tab w:val="left" w:pos="360"/>
                    </w:tabs>
                    <w:ind w:left="-105"/>
                    <w:outlineLvl w:val="1"/>
                    <w:rPr>
                      <w:rFonts w:eastAsia="SimSun" w:cs="Arial"/>
                      <w:b/>
                    </w:rPr>
                  </w:pPr>
                  <w:r w:rsidRPr="00B74B56">
                    <w:rPr>
                      <w:rFonts w:eastAsia="SimSun" w:cs="Arial"/>
                      <w:b/>
                    </w:rPr>
                    <w:t xml:space="preserve">Version: </w:t>
                  </w:r>
                  <w:r w:rsidRPr="00442350">
                    <w:rPr>
                      <w:rFonts w:eastAsia="SimSun" w:cs="Arial"/>
                      <w:bCs/>
                    </w:rPr>
                    <w:t>Bone Biopsy</w:t>
                  </w:r>
                  <w:r>
                    <w:rPr>
                      <w:rFonts w:eastAsia="SimSun" w:cs="Arial"/>
                      <w:b/>
                    </w:rPr>
                    <w:t xml:space="preserve"> </w:t>
                  </w:r>
                  <w:r>
                    <w:rPr>
                      <w:rFonts w:cs="Arial"/>
                      <w:kern w:val="18"/>
                    </w:rPr>
                    <w:t>4</w:t>
                  </w:r>
                  <w:r w:rsidRPr="006A6C3A">
                    <w:rPr>
                      <w:rFonts w:cs="Arial"/>
                      <w:color w:val="000000"/>
                    </w:rPr>
                    <w:t>.</w:t>
                  </w:r>
                  <w:r w:rsidR="00005F3B">
                    <w:rPr>
                      <w:rFonts w:cs="Arial"/>
                      <w:color w:val="000000"/>
                    </w:rPr>
                    <w:t>0</w:t>
                  </w:r>
                  <w:r w:rsidR="00442350">
                    <w:rPr>
                      <w:rFonts w:cs="Arial"/>
                      <w:color w:val="000000"/>
                    </w:rPr>
                    <w:t>.</w:t>
                  </w:r>
                  <w:r w:rsidR="00005F3B">
                    <w:rPr>
                      <w:rFonts w:cs="Arial"/>
                      <w:color w:val="000000"/>
                    </w:rPr>
                    <w:t>1</w:t>
                  </w:r>
                  <w:r w:rsidRPr="006A6C3A">
                    <w:rPr>
                      <w:rFonts w:cs="Arial"/>
                      <w:color w:val="000000"/>
                    </w:rPr>
                    <w:t>.</w:t>
                  </w:r>
                  <w:r>
                    <w:rPr>
                      <w:rFonts w:cs="Arial"/>
                      <w:color w:val="000000"/>
                    </w:rPr>
                    <w:t>0</w:t>
                  </w:r>
                </w:p>
              </w:tc>
              <w:tc>
                <w:tcPr>
                  <w:tcW w:w="5490" w:type="dxa"/>
                  <w:shd w:val="clear" w:color="auto" w:fill="auto"/>
                </w:tcPr>
                <w:p w14:paraId="38250909" w14:textId="77777777" w:rsidR="006A6C3A" w:rsidRPr="00B74B56" w:rsidRDefault="006A6C3A" w:rsidP="006A6C3A">
                  <w:pPr>
                    <w:keepNext/>
                    <w:tabs>
                      <w:tab w:val="left" w:pos="360"/>
                    </w:tabs>
                    <w:outlineLvl w:val="1"/>
                    <w:rPr>
                      <w:rFonts w:eastAsia="SimSun" w:cs="Arial"/>
                      <w:b/>
                    </w:rPr>
                  </w:pPr>
                  <w:r w:rsidRPr="00B74B56">
                    <w:rPr>
                      <w:rFonts w:eastAsia="SimSun" w:cs="Arial"/>
                      <w:b/>
                    </w:rPr>
                    <w:t xml:space="preserve">Protocol Posting Date: </w:t>
                  </w:r>
                  <w:r w:rsidR="00D410D4">
                    <w:rPr>
                      <w:rFonts w:eastAsia="SimSun" w:cs="Arial"/>
                    </w:rPr>
                    <w:t>February 2020</w:t>
                  </w:r>
                </w:p>
              </w:tc>
            </w:tr>
          </w:tbl>
          <w:p w14:paraId="2BC73B67" w14:textId="77777777" w:rsidR="006A6C3A" w:rsidRDefault="006A6C3A" w:rsidP="006A6C3A"/>
          <w:p w14:paraId="153E99B0" w14:textId="77777777" w:rsidR="006A6C3A" w:rsidRPr="003279B5" w:rsidRDefault="006A6C3A" w:rsidP="006A6C3A">
            <w:pPr>
              <w:rPr>
                <w:b/>
              </w:rPr>
            </w:pPr>
            <w:r w:rsidRPr="003279B5">
              <w:rPr>
                <w:b/>
              </w:rPr>
              <w:t>Accreditation Requirements</w:t>
            </w:r>
          </w:p>
          <w:p w14:paraId="1D9AC26A" w14:textId="50E7FFF2" w:rsidR="00A706F1" w:rsidRPr="00A706F1" w:rsidRDefault="006A6C3A" w:rsidP="00442350">
            <w:pPr>
              <w:rPr>
                <w:rFonts w:eastAsia="SimSun" w:cs="Arial"/>
                <w:b/>
                <w:sz w:val="22"/>
                <w:szCs w:val="24"/>
                <w:lang w:eastAsia="es-ES_tradnl"/>
              </w:rPr>
            </w:pPr>
            <w:r>
              <w:t xml:space="preserve">The use of this protocol is recommended for clinical care purposes but is </w:t>
            </w:r>
            <w:r w:rsidRPr="008710D6">
              <w:rPr>
                <w:u w:val="single"/>
              </w:rPr>
              <w:t xml:space="preserve">not </w:t>
            </w:r>
            <w:r>
              <w:t>required for accreditation purposes.</w:t>
            </w:r>
            <w:r>
              <w:rPr>
                <w:color w:val="000000"/>
              </w:rPr>
              <w:t xml:space="preserve"> </w:t>
            </w:r>
          </w:p>
        </w:tc>
        <w:tc>
          <w:tcPr>
            <w:tcW w:w="1109" w:type="dxa"/>
            <w:shd w:val="clear" w:color="auto" w:fill="auto"/>
          </w:tcPr>
          <w:p w14:paraId="55212F4D" w14:textId="68B80911" w:rsidR="00A706F1" w:rsidRPr="00A706F1" w:rsidRDefault="00A706F1" w:rsidP="00A706F1">
            <w:pPr>
              <w:keepNext/>
              <w:tabs>
                <w:tab w:val="left" w:pos="360"/>
              </w:tabs>
              <w:outlineLvl w:val="1"/>
              <w:rPr>
                <w:rFonts w:eastAsia="SimSun" w:cs="Arial"/>
                <w:b/>
                <w:sz w:val="22"/>
                <w:szCs w:val="24"/>
                <w:lang w:eastAsia="es-ES_tradnl"/>
              </w:rPr>
            </w:pPr>
          </w:p>
        </w:tc>
      </w:tr>
    </w:tbl>
    <w:p w14:paraId="733F59F4" w14:textId="77777777" w:rsidR="006A6C3A" w:rsidRPr="00442350" w:rsidRDefault="006A6C3A" w:rsidP="00442350">
      <w:pPr>
        <w:rPr>
          <w:rFonts w:eastAsia="Calibri" w:cs="Arial"/>
        </w:rPr>
      </w:pPr>
    </w:p>
    <w:p w14:paraId="606AD283" w14:textId="77777777" w:rsidR="006A6C3A" w:rsidRPr="00442350" w:rsidRDefault="006A6C3A" w:rsidP="00442350">
      <w:pPr>
        <w:rPr>
          <w:rFonts w:eastAsia="Calibri" w:cs="Arial"/>
        </w:rPr>
      </w:pPr>
    </w:p>
    <w:p w14:paraId="7D1AC294" w14:textId="77777777" w:rsidR="001E70D4" w:rsidRPr="0048565C" w:rsidRDefault="001E70D4" w:rsidP="001E70D4">
      <w:pPr>
        <w:keepNext/>
        <w:tabs>
          <w:tab w:val="left" w:pos="360"/>
        </w:tabs>
        <w:outlineLvl w:val="1"/>
        <w:rPr>
          <w:rFonts w:eastAsia="Calibri" w:cs="Arial"/>
          <w:b/>
        </w:rPr>
      </w:pPr>
      <w:r w:rsidRPr="0048565C">
        <w:rPr>
          <w:rFonts w:eastAsia="Calibri" w:cs="Arial"/>
          <w:b/>
          <w:color w:val="000000"/>
        </w:rPr>
        <w:t xml:space="preserve">For accreditation purposes, this protocol should be used </w:t>
      </w:r>
      <w:r w:rsidRPr="0048565C">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1E70D4" w:rsidRPr="00C433E0" w14:paraId="16471F0C" w14:textId="77777777" w:rsidTr="00C433E0">
        <w:tc>
          <w:tcPr>
            <w:tcW w:w="2970" w:type="dxa"/>
            <w:shd w:val="clear" w:color="auto" w:fill="C0C0C0"/>
          </w:tcPr>
          <w:p w14:paraId="06A7A38D" w14:textId="77777777" w:rsidR="001E70D4" w:rsidRPr="0048565C" w:rsidRDefault="001E70D4" w:rsidP="00DE4341">
            <w:pPr>
              <w:rPr>
                <w:rFonts w:eastAsia="SimSun" w:cs="Arial"/>
                <w:b/>
              </w:rPr>
            </w:pPr>
            <w:r w:rsidRPr="0048565C">
              <w:rPr>
                <w:rFonts w:eastAsia="SimSun" w:cs="Arial"/>
                <w:b/>
              </w:rPr>
              <w:t>Procedure</w:t>
            </w:r>
          </w:p>
        </w:tc>
        <w:tc>
          <w:tcPr>
            <w:tcW w:w="7200" w:type="dxa"/>
            <w:shd w:val="clear" w:color="auto" w:fill="C0C0C0"/>
          </w:tcPr>
          <w:p w14:paraId="683A0E65" w14:textId="77777777" w:rsidR="001E70D4" w:rsidRPr="0048565C" w:rsidRDefault="001E70D4" w:rsidP="00DE4341">
            <w:pPr>
              <w:rPr>
                <w:rFonts w:eastAsia="SimSun" w:cs="Arial"/>
                <w:b/>
              </w:rPr>
            </w:pPr>
            <w:r w:rsidRPr="0048565C">
              <w:rPr>
                <w:rFonts w:eastAsia="SimSun" w:cs="Arial"/>
                <w:b/>
              </w:rPr>
              <w:t>Description</w:t>
            </w:r>
          </w:p>
        </w:tc>
      </w:tr>
      <w:tr w:rsidR="001E70D4" w:rsidRPr="00C433E0" w14:paraId="18EB2A1F" w14:textId="77777777" w:rsidTr="00C433E0">
        <w:tc>
          <w:tcPr>
            <w:tcW w:w="2970" w:type="dxa"/>
          </w:tcPr>
          <w:p w14:paraId="417EC77B" w14:textId="7740B487" w:rsidR="001E70D4" w:rsidRPr="00142F46" w:rsidRDefault="007C466B" w:rsidP="00DE4341">
            <w:pPr>
              <w:rPr>
                <w:rFonts w:eastAsia="SimSun" w:cs="Arial"/>
              </w:rPr>
            </w:pPr>
            <w:r>
              <w:rPr>
                <w:rFonts w:eastAsia="SimSun" w:cs="Arial"/>
              </w:rPr>
              <w:t>Biopsy</w:t>
            </w:r>
          </w:p>
        </w:tc>
        <w:tc>
          <w:tcPr>
            <w:tcW w:w="7200" w:type="dxa"/>
          </w:tcPr>
          <w:p w14:paraId="37B79566" w14:textId="01D16513" w:rsidR="001E70D4" w:rsidRPr="00142F46" w:rsidRDefault="001E70D4" w:rsidP="00442350">
            <w:pPr>
              <w:pStyle w:val="Footer"/>
              <w:tabs>
                <w:tab w:val="clear" w:pos="4320"/>
                <w:tab w:val="clear" w:pos="8640"/>
              </w:tabs>
              <w:rPr>
                <w:rFonts w:eastAsia="SimSun" w:cs="Arial"/>
              </w:rPr>
            </w:pPr>
            <w:r w:rsidRPr="00142F46">
              <w:rPr>
                <w:rFonts w:eastAsia="Calibri" w:cs="Arial"/>
              </w:rPr>
              <w:t xml:space="preserve">Includes specimens designated </w:t>
            </w:r>
            <w:r w:rsidR="007C466B" w:rsidRPr="00845FBC">
              <w:rPr>
                <w:rFonts w:cs="Arial"/>
              </w:rPr>
              <w:t>Core needle biopsy</w:t>
            </w:r>
            <w:r w:rsidR="007C466B">
              <w:rPr>
                <w:rFonts w:cs="Arial"/>
              </w:rPr>
              <w:t>, c</w:t>
            </w:r>
            <w:r w:rsidR="007C466B" w:rsidRPr="00845FBC">
              <w:rPr>
                <w:rFonts w:cs="Arial"/>
              </w:rPr>
              <w:t>urettage</w:t>
            </w:r>
            <w:r w:rsidR="007C466B">
              <w:rPr>
                <w:rFonts w:cs="Arial"/>
              </w:rPr>
              <w:t>, e</w:t>
            </w:r>
            <w:r w:rsidR="007C466B" w:rsidRPr="00845FBC">
              <w:rPr>
                <w:rFonts w:cs="Arial"/>
              </w:rPr>
              <w:t>xcisional biopsy</w:t>
            </w:r>
            <w:r w:rsidR="007C466B">
              <w:rPr>
                <w:rFonts w:cs="Arial"/>
              </w:rPr>
              <w:t xml:space="preserve">, and others </w:t>
            </w:r>
          </w:p>
        </w:tc>
      </w:tr>
      <w:tr w:rsidR="001E70D4" w:rsidRPr="00C433E0" w14:paraId="6303B152" w14:textId="77777777" w:rsidTr="00C433E0">
        <w:tc>
          <w:tcPr>
            <w:tcW w:w="2970" w:type="dxa"/>
            <w:shd w:val="clear" w:color="auto" w:fill="C0C0C0"/>
          </w:tcPr>
          <w:p w14:paraId="10BBA65B" w14:textId="77777777" w:rsidR="001E70D4" w:rsidRPr="00C433E0" w:rsidRDefault="001F32D9" w:rsidP="00DE4341">
            <w:pPr>
              <w:rPr>
                <w:rFonts w:eastAsia="SimSun" w:cs="Arial"/>
                <w:b/>
              </w:rPr>
            </w:pPr>
            <w:r>
              <w:rPr>
                <w:rFonts w:eastAsia="SimSun" w:cs="Arial"/>
                <w:b/>
              </w:rPr>
              <w:t>Tumor T</w:t>
            </w:r>
            <w:r w:rsidR="001E70D4" w:rsidRPr="00C433E0">
              <w:rPr>
                <w:rFonts w:eastAsia="SimSun" w:cs="Arial"/>
                <w:b/>
              </w:rPr>
              <w:t>ype</w:t>
            </w:r>
          </w:p>
        </w:tc>
        <w:tc>
          <w:tcPr>
            <w:tcW w:w="7200" w:type="dxa"/>
            <w:shd w:val="clear" w:color="auto" w:fill="C0C0C0"/>
          </w:tcPr>
          <w:p w14:paraId="09E9A24A" w14:textId="77777777" w:rsidR="001E70D4" w:rsidRPr="00C433E0" w:rsidRDefault="001E70D4" w:rsidP="00DE4341">
            <w:pPr>
              <w:rPr>
                <w:rFonts w:eastAsia="SimSun" w:cs="Arial"/>
                <w:b/>
              </w:rPr>
            </w:pPr>
            <w:r w:rsidRPr="00C433E0">
              <w:rPr>
                <w:rFonts w:eastAsia="SimSun" w:cs="Arial"/>
                <w:b/>
              </w:rPr>
              <w:t>Description</w:t>
            </w:r>
          </w:p>
        </w:tc>
      </w:tr>
      <w:tr w:rsidR="001E70D4" w:rsidRPr="00C433E0" w14:paraId="200D847A" w14:textId="77777777" w:rsidTr="00C433E0">
        <w:tc>
          <w:tcPr>
            <w:tcW w:w="2970" w:type="dxa"/>
          </w:tcPr>
          <w:p w14:paraId="1FB678B9" w14:textId="77777777" w:rsidR="001E70D4" w:rsidRPr="00C433E0" w:rsidRDefault="00CA00DE" w:rsidP="00CD16A6">
            <w:pPr>
              <w:rPr>
                <w:rFonts w:eastAsia="SimSun" w:cs="Arial"/>
              </w:rPr>
            </w:pPr>
            <w:r>
              <w:rPr>
                <w:rFonts w:eastAsia="SimSun" w:cs="Arial"/>
              </w:rPr>
              <w:t>Primary m</w:t>
            </w:r>
            <w:r w:rsidR="00624679">
              <w:rPr>
                <w:rFonts w:eastAsia="SimSun" w:cs="Arial"/>
              </w:rPr>
              <w:t>alignant bone tumors</w:t>
            </w:r>
            <w:r w:rsidR="00624679" w:rsidRPr="00C433E0">
              <w:rPr>
                <w:rFonts w:eastAsia="SimSun" w:cs="Arial"/>
              </w:rPr>
              <w:t xml:space="preserve"> </w:t>
            </w:r>
          </w:p>
        </w:tc>
        <w:tc>
          <w:tcPr>
            <w:tcW w:w="7200" w:type="dxa"/>
          </w:tcPr>
          <w:p w14:paraId="36421432" w14:textId="77777777" w:rsidR="001E70D4" w:rsidRPr="00C433E0" w:rsidRDefault="001E70D4" w:rsidP="00AE5189">
            <w:pPr>
              <w:rPr>
                <w:rFonts w:eastAsia="SimSun" w:cs="Arial"/>
              </w:rPr>
            </w:pPr>
            <w:r w:rsidRPr="00C433E0">
              <w:rPr>
                <w:rFonts w:eastAsia="SimSun" w:cs="Arial"/>
              </w:rPr>
              <w:t xml:space="preserve">Includes </w:t>
            </w:r>
            <w:r w:rsidR="00C25B95">
              <w:rPr>
                <w:rFonts w:eastAsia="SimSun" w:cs="Arial"/>
              </w:rPr>
              <w:t>chondrogenic tumors, osteogenic t</w:t>
            </w:r>
            <w:r w:rsidR="00C433E0" w:rsidRPr="00C433E0">
              <w:rPr>
                <w:rFonts w:eastAsia="SimSun" w:cs="Arial"/>
              </w:rPr>
              <w:t xml:space="preserve">umors, </w:t>
            </w:r>
            <w:proofErr w:type="spellStart"/>
            <w:r w:rsidR="00C25B95">
              <w:rPr>
                <w:rFonts w:eastAsia="SimSun" w:cs="Arial"/>
              </w:rPr>
              <w:t>f</w:t>
            </w:r>
            <w:r w:rsidR="00C433E0" w:rsidRPr="00C433E0">
              <w:rPr>
                <w:rFonts w:eastAsia="SimSun" w:cs="Arial"/>
              </w:rPr>
              <w:t>ibrogenic</w:t>
            </w:r>
            <w:proofErr w:type="spellEnd"/>
            <w:r w:rsidR="00C433E0" w:rsidRPr="00C433E0">
              <w:rPr>
                <w:rFonts w:eastAsia="SimSun" w:cs="Arial"/>
              </w:rPr>
              <w:t xml:space="preserve"> </w:t>
            </w:r>
            <w:r w:rsidR="00C25B95">
              <w:rPr>
                <w:rFonts w:eastAsia="SimSun" w:cs="Arial"/>
              </w:rPr>
              <w:t>t</w:t>
            </w:r>
            <w:r w:rsidR="00C433E0" w:rsidRPr="00C433E0">
              <w:rPr>
                <w:rFonts w:eastAsia="SimSun" w:cs="Arial"/>
              </w:rPr>
              <w:t xml:space="preserve">umors, </w:t>
            </w:r>
            <w:r w:rsidR="00C25B95">
              <w:rPr>
                <w:rFonts w:eastAsia="SimSun" w:cs="Arial"/>
              </w:rPr>
              <w:t>osteoclastic giant c</w:t>
            </w:r>
            <w:r w:rsidR="00C433E0" w:rsidRPr="00C433E0">
              <w:rPr>
                <w:rFonts w:eastAsia="SimSun" w:cs="Arial"/>
              </w:rPr>
              <w:t xml:space="preserve">ell </w:t>
            </w:r>
            <w:r w:rsidR="00C25B95">
              <w:rPr>
                <w:rFonts w:eastAsia="SimSun" w:cs="Arial"/>
              </w:rPr>
              <w:t>rich t</w:t>
            </w:r>
            <w:r w:rsidR="00C433E0" w:rsidRPr="00C433E0">
              <w:rPr>
                <w:rFonts w:eastAsia="SimSun" w:cs="Arial"/>
              </w:rPr>
              <w:t xml:space="preserve">umors, </w:t>
            </w:r>
            <w:r w:rsidR="00C25B95">
              <w:rPr>
                <w:rFonts w:eastAsia="SimSun" w:cs="Arial"/>
              </w:rPr>
              <w:t>n</w:t>
            </w:r>
            <w:r w:rsidR="00C433E0" w:rsidRPr="00C433E0">
              <w:rPr>
                <w:rFonts w:eastAsia="SimSun" w:cs="Arial"/>
              </w:rPr>
              <w:t xml:space="preserve">otochordal </w:t>
            </w:r>
            <w:r w:rsidR="00C25B95">
              <w:rPr>
                <w:rFonts w:eastAsia="SimSun" w:cs="Arial"/>
              </w:rPr>
              <w:t>t</w:t>
            </w:r>
            <w:r w:rsidR="00C433E0" w:rsidRPr="00C433E0">
              <w:rPr>
                <w:rFonts w:eastAsia="SimSun" w:cs="Arial"/>
              </w:rPr>
              <w:t>umors,</w:t>
            </w:r>
            <w:r w:rsidR="00C25B95">
              <w:rPr>
                <w:rFonts w:eastAsia="SimSun" w:cs="Arial"/>
              </w:rPr>
              <w:t xml:space="preserve"> v</w:t>
            </w:r>
            <w:r w:rsidR="00C433E0" w:rsidRPr="00C433E0">
              <w:rPr>
                <w:rFonts w:eastAsia="SimSun" w:cs="Arial"/>
              </w:rPr>
              <w:t xml:space="preserve">ascular </w:t>
            </w:r>
            <w:r w:rsidR="00C25B95">
              <w:rPr>
                <w:rFonts w:eastAsia="SimSun" w:cs="Arial"/>
              </w:rPr>
              <w:t>t</w:t>
            </w:r>
            <w:r w:rsidR="00C433E0" w:rsidRPr="00C433E0">
              <w:rPr>
                <w:rFonts w:eastAsia="SimSun" w:cs="Arial"/>
              </w:rPr>
              <w:t xml:space="preserve">umors, </w:t>
            </w:r>
            <w:r w:rsidR="00C25B95">
              <w:rPr>
                <w:rFonts w:eastAsia="SimSun" w:cs="Arial"/>
              </w:rPr>
              <w:t>m</w:t>
            </w:r>
            <w:r w:rsidR="00C433E0" w:rsidRPr="00C433E0">
              <w:rPr>
                <w:rFonts w:eastAsia="SimSun" w:cs="Arial"/>
              </w:rPr>
              <w:t xml:space="preserve">yogenic </w:t>
            </w:r>
            <w:r w:rsidR="00C25B95">
              <w:rPr>
                <w:rFonts w:eastAsia="SimSun" w:cs="Arial"/>
              </w:rPr>
              <w:t>t</w:t>
            </w:r>
            <w:r w:rsidR="00C433E0" w:rsidRPr="00C433E0">
              <w:rPr>
                <w:rFonts w:eastAsia="SimSun" w:cs="Arial"/>
              </w:rPr>
              <w:t>umors,</w:t>
            </w:r>
            <w:r w:rsidR="00CA00DE">
              <w:rPr>
                <w:rFonts w:eastAsia="SimSun" w:cs="Arial"/>
              </w:rPr>
              <w:t xml:space="preserve"> and</w:t>
            </w:r>
            <w:r w:rsidR="00C25B95">
              <w:rPr>
                <w:rFonts w:eastAsia="SimSun" w:cs="Arial"/>
              </w:rPr>
              <w:t xml:space="preserve"> l</w:t>
            </w:r>
            <w:r w:rsidR="00C433E0" w:rsidRPr="00C433E0">
              <w:rPr>
                <w:rFonts w:eastAsia="SimSun" w:cs="Arial"/>
              </w:rPr>
              <w:t xml:space="preserve">ipogenic </w:t>
            </w:r>
            <w:r w:rsidR="00C25B95">
              <w:rPr>
                <w:rFonts w:eastAsia="SimSun" w:cs="Arial"/>
              </w:rPr>
              <w:t>t</w:t>
            </w:r>
            <w:r w:rsidR="00C433E0" w:rsidRPr="00C433E0">
              <w:rPr>
                <w:rFonts w:eastAsia="SimSun" w:cs="Arial"/>
              </w:rPr>
              <w:t>umors</w:t>
            </w:r>
          </w:p>
        </w:tc>
      </w:tr>
    </w:tbl>
    <w:p w14:paraId="41A00CA5" w14:textId="77777777" w:rsidR="001E70D4" w:rsidRPr="00C433E0" w:rsidRDefault="001E70D4" w:rsidP="001E70D4">
      <w:pPr>
        <w:rPr>
          <w:rFonts w:eastAsia="Calibri" w:cs="Arial"/>
        </w:rPr>
      </w:pPr>
    </w:p>
    <w:p w14:paraId="3411E4FE" w14:textId="77777777" w:rsidR="007C466B" w:rsidRPr="00B74B56" w:rsidRDefault="007C466B" w:rsidP="007C466B">
      <w:pPr>
        <w:rPr>
          <w:rFonts w:eastAsia="Calibri" w:cs="Arial"/>
          <w:b/>
          <w:kern w:val="18"/>
        </w:rPr>
      </w:pPr>
      <w:r>
        <w:rPr>
          <w:rFonts w:eastAsia="Calibri" w:cs="Arial"/>
          <w:b/>
          <w:kern w:val="18"/>
        </w:rPr>
        <w:t>The following</w:t>
      </w:r>
      <w:r w:rsidRPr="00B74B56">
        <w:rPr>
          <w:rFonts w:eastAsia="Calibri" w:cs="Arial"/>
          <w:b/>
          <w:kern w:val="18"/>
        </w:rPr>
        <w:t xml:space="preserve">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w:t>
      </w:r>
      <w:r w:rsidRPr="00B74B56">
        <w:rPr>
          <w:rFonts w:eastAsia="Calibri" w:cs="Arial"/>
          <w:b/>
          <w:kern w:val="18"/>
        </w:rPr>
        <w:t xml:space="preserve"> 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1E70D4" w:rsidRPr="00C433E0" w14:paraId="3C8CE8A6" w14:textId="77777777" w:rsidTr="00C433E0">
        <w:tc>
          <w:tcPr>
            <w:tcW w:w="10170" w:type="dxa"/>
            <w:shd w:val="clear" w:color="auto" w:fill="C0C0C0"/>
          </w:tcPr>
          <w:p w14:paraId="2D8AAFF4" w14:textId="77777777" w:rsidR="001E70D4" w:rsidRPr="00C433E0" w:rsidRDefault="001E70D4" w:rsidP="00DE4341">
            <w:pPr>
              <w:rPr>
                <w:rFonts w:eastAsia="SimSun" w:cs="Arial"/>
                <w:b/>
              </w:rPr>
            </w:pPr>
            <w:r w:rsidRPr="00C433E0">
              <w:rPr>
                <w:rFonts w:eastAsia="SimSun" w:cs="Arial"/>
                <w:b/>
              </w:rPr>
              <w:t>Procedure</w:t>
            </w:r>
          </w:p>
        </w:tc>
      </w:tr>
      <w:tr w:rsidR="007C466B" w:rsidRPr="00C433E0" w14:paraId="3CF963D8" w14:textId="77777777" w:rsidTr="00C433E0">
        <w:tc>
          <w:tcPr>
            <w:tcW w:w="10170" w:type="dxa"/>
          </w:tcPr>
          <w:p w14:paraId="04C60D50" w14:textId="778931A4" w:rsidR="007C466B" w:rsidRPr="00C433E0" w:rsidRDefault="007C466B" w:rsidP="007C466B">
            <w:pPr>
              <w:rPr>
                <w:rFonts w:eastAsia="SimSun" w:cs="Arial"/>
                <w:color w:val="000000"/>
              </w:rPr>
            </w:pPr>
            <w:r>
              <w:t xml:space="preserve">Resection (consider </w:t>
            </w:r>
            <w:r w:rsidRPr="00812B3A">
              <w:t>B</w:t>
            </w:r>
            <w:r>
              <w:t xml:space="preserve">one </w:t>
            </w:r>
            <w:r w:rsidRPr="00812B3A">
              <w:t>Resection</w:t>
            </w:r>
            <w:r>
              <w:t xml:space="preserve"> protocol)</w:t>
            </w:r>
          </w:p>
        </w:tc>
      </w:tr>
      <w:tr w:rsidR="001E70D4" w:rsidRPr="00C433E0" w14:paraId="0BA1DC8A" w14:textId="77777777" w:rsidTr="00C433E0">
        <w:trPr>
          <w:trHeight w:val="152"/>
        </w:trPr>
        <w:tc>
          <w:tcPr>
            <w:tcW w:w="10170" w:type="dxa"/>
          </w:tcPr>
          <w:p w14:paraId="46782EA2" w14:textId="77777777" w:rsidR="001E70D4" w:rsidRPr="00C433E0" w:rsidRDefault="001E70D4" w:rsidP="00DD7C11">
            <w:pPr>
              <w:rPr>
                <w:rFonts w:eastAsia="SimSun" w:cs="Arial"/>
                <w:color w:val="000000"/>
              </w:rPr>
            </w:pPr>
            <w:r w:rsidRPr="00C433E0">
              <w:rPr>
                <w:rFonts w:eastAsia="SimSun" w:cs="Arial"/>
                <w:color w:val="000000"/>
              </w:rPr>
              <w:t>Primary resection specimen with no residual cancer (</w:t>
            </w:r>
            <w:proofErr w:type="spellStart"/>
            <w:r w:rsidRPr="00C433E0">
              <w:rPr>
                <w:rFonts w:eastAsia="SimSun" w:cs="Arial"/>
                <w:color w:val="000000"/>
              </w:rPr>
              <w:t>eg</w:t>
            </w:r>
            <w:proofErr w:type="spellEnd"/>
            <w:r w:rsidR="00DD7C11">
              <w:rPr>
                <w:rFonts w:eastAsia="SimSun" w:cs="Arial"/>
                <w:color w:val="000000"/>
              </w:rPr>
              <w:t>,</w:t>
            </w:r>
            <w:r w:rsidRPr="00C433E0">
              <w:rPr>
                <w:rFonts w:eastAsia="SimSun" w:cs="Arial"/>
                <w:color w:val="000000"/>
              </w:rPr>
              <w:t xml:space="preserve"> following neoadjuvant therapy)</w:t>
            </w:r>
          </w:p>
        </w:tc>
      </w:tr>
      <w:tr w:rsidR="001E70D4" w:rsidRPr="00C433E0" w14:paraId="2FEA0E52" w14:textId="77777777" w:rsidTr="00C433E0">
        <w:tc>
          <w:tcPr>
            <w:tcW w:w="10170" w:type="dxa"/>
          </w:tcPr>
          <w:p w14:paraId="5B964BE2" w14:textId="77777777" w:rsidR="001E70D4" w:rsidRPr="00C433E0" w:rsidRDefault="001E70D4" w:rsidP="00DE4341">
            <w:pPr>
              <w:rPr>
                <w:rFonts w:eastAsia="SimSun" w:cs="Arial"/>
                <w:color w:val="000000"/>
              </w:rPr>
            </w:pPr>
            <w:r w:rsidRPr="00C433E0">
              <w:rPr>
                <w:rFonts w:eastAsia="SimSun" w:cs="Arial"/>
              </w:rPr>
              <w:t>Cytologic specimens</w:t>
            </w:r>
          </w:p>
        </w:tc>
      </w:tr>
      <w:tr w:rsidR="007C466B" w:rsidRPr="00C433E0" w14:paraId="68501591" w14:textId="77777777" w:rsidTr="009B3B71">
        <w:tc>
          <w:tcPr>
            <w:tcW w:w="10170" w:type="dxa"/>
            <w:shd w:val="clear" w:color="auto" w:fill="C0C0C0"/>
          </w:tcPr>
          <w:p w14:paraId="08776AFD" w14:textId="77777777" w:rsidR="007C466B" w:rsidRPr="00C433E0" w:rsidRDefault="007C466B" w:rsidP="009B3B71">
            <w:pPr>
              <w:rPr>
                <w:rFonts w:eastAsia="SimSun" w:cs="Arial"/>
                <w:b/>
              </w:rPr>
            </w:pPr>
            <w:r>
              <w:rPr>
                <w:rFonts w:eastAsia="SimSun" w:cs="Arial"/>
                <w:b/>
              </w:rPr>
              <w:t>Tumor T</w:t>
            </w:r>
            <w:r w:rsidRPr="00C433E0">
              <w:rPr>
                <w:rFonts w:eastAsia="SimSun" w:cs="Arial"/>
                <w:b/>
              </w:rPr>
              <w:t>ype</w:t>
            </w:r>
          </w:p>
        </w:tc>
      </w:tr>
      <w:tr w:rsidR="007C466B" w:rsidRPr="00C433E0" w14:paraId="4FBE18ED" w14:textId="77777777" w:rsidTr="009B3B71">
        <w:tc>
          <w:tcPr>
            <w:tcW w:w="10170" w:type="dxa"/>
          </w:tcPr>
          <w:p w14:paraId="63585B94" w14:textId="77777777" w:rsidR="007C466B" w:rsidRPr="0048565C" w:rsidRDefault="007C466B" w:rsidP="009B3B71">
            <w:pPr>
              <w:rPr>
                <w:rFonts w:eastAsia="SimSun" w:cs="Arial"/>
              </w:rPr>
            </w:pPr>
            <w:r>
              <w:rPr>
                <w:rFonts w:eastAsia="SimSun" w:cs="Arial"/>
              </w:rPr>
              <w:t>Plasma cell neoplasms (consider the Plasma Cell Neoplasms protocol)</w:t>
            </w:r>
          </w:p>
        </w:tc>
      </w:tr>
      <w:tr w:rsidR="007C466B" w:rsidRPr="00B51FD5" w14:paraId="07F08E30" w14:textId="77777777" w:rsidTr="009B3B71">
        <w:tc>
          <w:tcPr>
            <w:tcW w:w="10170" w:type="dxa"/>
            <w:tcBorders>
              <w:top w:val="single" w:sz="4" w:space="0" w:color="auto"/>
              <w:left w:val="single" w:sz="4" w:space="0" w:color="auto"/>
              <w:bottom w:val="single" w:sz="4" w:space="0" w:color="auto"/>
              <w:right w:val="single" w:sz="4" w:space="0" w:color="auto"/>
            </w:tcBorders>
          </w:tcPr>
          <w:p w14:paraId="4ACF25F9" w14:textId="77777777" w:rsidR="007C466B" w:rsidRPr="00C433E0" w:rsidRDefault="007C466B" w:rsidP="009B3B71">
            <w:pPr>
              <w:rPr>
                <w:rFonts w:eastAsia="SimSun" w:cs="Arial"/>
              </w:rPr>
            </w:pPr>
            <w:r w:rsidRPr="00CA00DE">
              <w:rPr>
                <w:rFonts w:eastAsia="SimSun" w:cs="Arial"/>
              </w:rPr>
              <w:t>Lymphoma (consider the Hodgkin or non-Hodgkin Lymphoma protocols)</w:t>
            </w:r>
          </w:p>
        </w:tc>
      </w:tr>
      <w:tr w:rsidR="007C466B" w:rsidRPr="00C433E0" w14:paraId="2BF734AE" w14:textId="77777777" w:rsidTr="009B3B71">
        <w:tc>
          <w:tcPr>
            <w:tcW w:w="10170" w:type="dxa"/>
          </w:tcPr>
          <w:p w14:paraId="328B7AEA" w14:textId="77777777" w:rsidR="007C466B" w:rsidRPr="00C433E0" w:rsidRDefault="007C466B" w:rsidP="009B3B71">
            <w:pPr>
              <w:rPr>
                <w:rFonts w:eastAsia="SimSun" w:cs="Arial"/>
              </w:rPr>
            </w:pPr>
            <w:r>
              <w:rPr>
                <w:rFonts w:eastAsia="SimSun" w:cs="Arial"/>
              </w:rPr>
              <w:t xml:space="preserve">Pediatric </w:t>
            </w:r>
            <w:r w:rsidRPr="00C433E0">
              <w:rPr>
                <w:rFonts w:eastAsia="SimSun" w:cs="Arial"/>
              </w:rPr>
              <w:t>Ewing sarcoma</w:t>
            </w:r>
            <w:r>
              <w:rPr>
                <w:rFonts w:eastAsia="SimSun" w:cs="Arial"/>
              </w:rPr>
              <w:t xml:space="preserve"> (consider the Ewing Sarcoma protocol)</w:t>
            </w:r>
          </w:p>
        </w:tc>
      </w:tr>
      <w:tr w:rsidR="007C466B" w:rsidRPr="00B51FD5" w14:paraId="11CB722C" w14:textId="77777777" w:rsidTr="009B3B71">
        <w:tc>
          <w:tcPr>
            <w:tcW w:w="10170" w:type="dxa"/>
          </w:tcPr>
          <w:p w14:paraId="45ACD09A" w14:textId="77777777" w:rsidR="007C466B" w:rsidRPr="003549A1" w:rsidRDefault="007C466B" w:rsidP="009B3B71">
            <w:r>
              <w:t>Soft tissue s</w:t>
            </w:r>
            <w:r w:rsidRPr="003549A1">
              <w:t>arcoma (consider the Soft Tissue protocol)</w:t>
            </w:r>
          </w:p>
        </w:tc>
      </w:tr>
    </w:tbl>
    <w:p w14:paraId="280B5D57" w14:textId="77777777" w:rsidR="00142F46" w:rsidRDefault="00142F46" w:rsidP="00A706F1">
      <w:pPr>
        <w:tabs>
          <w:tab w:val="left" w:pos="0"/>
        </w:tabs>
        <w:rPr>
          <w:rFonts w:cs="Arial"/>
          <w:b/>
          <w:kern w:val="18"/>
          <w:szCs w:val="24"/>
        </w:rPr>
      </w:pPr>
    </w:p>
    <w:p w14:paraId="5708881A" w14:textId="77777777" w:rsidR="004102BC" w:rsidRPr="00A706F1" w:rsidRDefault="004102BC" w:rsidP="004102BC">
      <w:pPr>
        <w:tabs>
          <w:tab w:val="center" w:pos="5040"/>
        </w:tabs>
        <w:rPr>
          <w:rFonts w:eastAsia="Calibri" w:cs="Arial"/>
          <w:b/>
          <w:kern w:val="18"/>
        </w:rPr>
      </w:pPr>
      <w:r w:rsidRPr="00A706F1">
        <w:rPr>
          <w:rFonts w:eastAsia="Calibri" w:cs="Arial"/>
          <w:b/>
          <w:kern w:val="18"/>
        </w:rPr>
        <w:t>Authors</w:t>
      </w:r>
    </w:p>
    <w:p w14:paraId="7D5A41CE" w14:textId="77777777" w:rsidR="004102BC" w:rsidRPr="00845FBC" w:rsidRDefault="004102BC" w:rsidP="004102BC">
      <w:pPr>
        <w:rPr>
          <w:rFonts w:cs="Arial"/>
        </w:rPr>
      </w:pPr>
      <w:r>
        <w:rPr>
          <w:rFonts w:eastAsia="Calibri" w:cs="Arial"/>
          <w:kern w:val="18"/>
        </w:rPr>
        <w:t>Javier A. Laurini, MD</w:t>
      </w:r>
      <w:r w:rsidRPr="00A706F1">
        <w:rPr>
          <w:rFonts w:eastAsia="Calibri" w:cs="Arial"/>
          <w:kern w:val="18"/>
        </w:rPr>
        <w:t>*</w:t>
      </w:r>
      <w:r w:rsidR="00DD7C11">
        <w:rPr>
          <w:rFonts w:eastAsia="Calibri" w:cs="Arial"/>
          <w:kern w:val="18"/>
        </w:rPr>
        <w:t>;</w:t>
      </w:r>
      <w:r w:rsidRPr="00A706F1">
        <w:rPr>
          <w:rFonts w:eastAsia="Calibri" w:cs="Arial"/>
          <w:kern w:val="18"/>
        </w:rPr>
        <w:t xml:space="preserve"> </w:t>
      </w:r>
      <w:r>
        <w:rPr>
          <w:rFonts w:eastAsia="Calibri" w:cs="Arial"/>
          <w:kern w:val="18"/>
        </w:rPr>
        <w:t xml:space="preserve">Cristina R. </w:t>
      </w:r>
      <w:proofErr w:type="spellStart"/>
      <w:r>
        <w:rPr>
          <w:rFonts w:eastAsia="Calibri" w:cs="Arial"/>
          <w:kern w:val="18"/>
        </w:rPr>
        <w:t>Antonescu</w:t>
      </w:r>
      <w:proofErr w:type="spellEnd"/>
      <w:r>
        <w:rPr>
          <w:rFonts w:eastAsia="Calibri" w:cs="Arial"/>
          <w:kern w:val="18"/>
        </w:rPr>
        <w:t>,</w:t>
      </w:r>
      <w:r w:rsidRPr="00A706F1">
        <w:rPr>
          <w:rFonts w:eastAsia="Calibri" w:cs="Arial"/>
          <w:kern w:val="18"/>
        </w:rPr>
        <w:t xml:space="preserve"> </w:t>
      </w:r>
      <w:r w:rsidR="00DD7C11">
        <w:rPr>
          <w:rFonts w:eastAsia="Calibri" w:cs="Arial"/>
          <w:kern w:val="18"/>
        </w:rPr>
        <w:t xml:space="preserve">MD; </w:t>
      </w:r>
      <w:proofErr w:type="spellStart"/>
      <w:r w:rsidRPr="00A706F1">
        <w:rPr>
          <w:rFonts w:eastAsia="Calibri" w:cs="Arial"/>
          <w:kern w:val="18"/>
        </w:rPr>
        <w:t>Kumarasen</w:t>
      </w:r>
      <w:proofErr w:type="spellEnd"/>
      <w:r w:rsidRPr="00A706F1">
        <w:rPr>
          <w:rFonts w:eastAsia="Calibri" w:cs="Arial"/>
          <w:kern w:val="18"/>
        </w:rPr>
        <w:t xml:space="preserve"> Cooper</w:t>
      </w:r>
      <w:r w:rsidR="00DD7C11">
        <w:rPr>
          <w:rFonts w:eastAsia="Calibri" w:cs="Arial"/>
          <w:kern w:val="18"/>
        </w:rPr>
        <w:t>,</w:t>
      </w:r>
      <w:r>
        <w:rPr>
          <w:rFonts w:eastAsia="Calibri" w:cs="Arial"/>
          <w:kern w:val="18"/>
        </w:rPr>
        <w:t xml:space="preserve"> MBChB</w:t>
      </w:r>
      <w:r w:rsidR="00DD7C11">
        <w:rPr>
          <w:rFonts w:eastAsia="Calibri" w:cs="Arial"/>
          <w:kern w:val="18"/>
        </w:rPr>
        <w:t>,</w:t>
      </w:r>
      <w:r w:rsidRPr="00A706F1">
        <w:rPr>
          <w:rFonts w:eastAsia="Calibri" w:cs="Arial"/>
          <w:kern w:val="18"/>
        </w:rPr>
        <w:t xml:space="preserve"> DPhil</w:t>
      </w:r>
      <w:r w:rsidR="00DD7C11">
        <w:rPr>
          <w:rFonts w:eastAsia="Calibri" w:cs="Arial"/>
          <w:kern w:val="18"/>
        </w:rPr>
        <w:t>;</w:t>
      </w:r>
      <w:r w:rsidRPr="00A706F1">
        <w:t xml:space="preserve"> </w:t>
      </w:r>
      <w:r w:rsidRPr="00A706F1">
        <w:rPr>
          <w:rFonts w:eastAsia="Calibri" w:cs="Arial"/>
          <w:kern w:val="18"/>
        </w:rPr>
        <w:t>Francis H. Gannon</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w:t>
      </w:r>
      <w:r w:rsidRPr="00A706F1">
        <w:rPr>
          <w:rFonts w:eastAsia="Calibri" w:cs="Arial"/>
          <w:kern w:val="18"/>
        </w:rPr>
        <w:t>Jennifer Leigh Hunt</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t xml:space="preserve"> </w:t>
      </w:r>
      <w:r w:rsidRPr="00A706F1">
        <w:rPr>
          <w:rFonts w:eastAsia="Calibri" w:cs="Arial"/>
          <w:kern w:val="18"/>
        </w:rPr>
        <w:t>Carrie Y. Inwards</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Michael Jeffrey Klein</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w:t>
      </w:r>
      <w:r w:rsidRPr="00A706F1">
        <w:rPr>
          <w:rFonts w:eastAsia="Calibri" w:cs="Arial"/>
          <w:kern w:val="18"/>
        </w:rPr>
        <w:t xml:space="preserve">Jeffrey S. </w:t>
      </w:r>
      <w:proofErr w:type="spellStart"/>
      <w:r w:rsidRPr="00A706F1">
        <w:rPr>
          <w:rFonts w:eastAsia="Calibri" w:cs="Arial"/>
          <w:kern w:val="18"/>
        </w:rPr>
        <w:t>Kneisl</w:t>
      </w:r>
      <w:proofErr w:type="spellEnd"/>
      <w:r w:rsidR="00DD7C11">
        <w:rPr>
          <w:rFonts w:eastAsia="Calibri" w:cs="Arial"/>
          <w:kern w:val="18"/>
        </w:rPr>
        <w:t>,</w:t>
      </w:r>
      <w:r w:rsidRPr="00A706F1">
        <w:rPr>
          <w:rFonts w:eastAsia="Calibri" w:cs="Arial"/>
          <w:kern w:val="18"/>
        </w:rPr>
        <w:t xml:space="preserve"> MD</w:t>
      </w:r>
      <w:r w:rsidR="00DD7C11">
        <w:rPr>
          <w:rFonts w:eastAsia="Calibri" w:cs="Arial"/>
          <w:kern w:val="18"/>
        </w:rPr>
        <w:t>;</w:t>
      </w:r>
      <w:r w:rsidRPr="0021253C">
        <w:rPr>
          <w:rFonts w:cs="Arial"/>
        </w:rPr>
        <w:t xml:space="preserve"> </w:t>
      </w:r>
      <w:r w:rsidRPr="001E70D4">
        <w:rPr>
          <w:rFonts w:cs="Arial"/>
        </w:rPr>
        <w:t xml:space="preserve">Thomas </w:t>
      </w:r>
      <w:proofErr w:type="spellStart"/>
      <w:r w:rsidRPr="001E70D4">
        <w:rPr>
          <w:rFonts w:cs="Arial"/>
        </w:rPr>
        <w:t>Krausz</w:t>
      </w:r>
      <w:proofErr w:type="spellEnd"/>
      <w:r w:rsidR="00DD7C11">
        <w:rPr>
          <w:rFonts w:cs="Arial"/>
        </w:rPr>
        <w:t>,</w:t>
      </w:r>
      <w:r w:rsidRPr="001E70D4">
        <w:rPr>
          <w:rFonts w:cs="Arial"/>
        </w:rPr>
        <w:t xml:space="preserve"> MD</w:t>
      </w:r>
      <w:r w:rsidR="00DD7C11">
        <w:rPr>
          <w:rFonts w:cs="Arial"/>
        </w:rPr>
        <w:t>;</w:t>
      </w:r>
      <w:r>
        <w:rPr>
          <w:rFonts w:eastAsia="Calibri" w:cs="Arial"/>
          <w:kern w:val="18"/>
        </w:rPr>
        <w:t xml:space="preserve"> </w:t>
      </w:r>
      <w:r w:rsidRPr="00845FBC">
        <w:rPr>
          <w:rFonts w:cs="Arial"/>
        </w:rPr>
        <w:t>Alexander Lazar</w:t>
      </w:r>
      <w:r w:rsidR="00DD7C11">
        <w:rPr>
          <w:rFonts w:cs="Arial"/>
        </w:rPr>
        <w:t>,</w:t>
      </w:r>
      <w:r w:rsidRPr="00845FBC">
        <w:rPr>
          <w:rFonts w:cs="Arial"/>
        </w:rPr>
        <w:t xml:space="preserve"> MD</w:t>
      </w:r>
      <w:r w:rsidR="00DD7C11">
        <w:rPr>
          <w:rFonts w:cs="Arial"/>
        </w:rPr>
        <w:t>,</w:t>
      </w:r>
      <w:r w:rsidRPr="00845FBC">
        <w:rPr>
          <w:rFonts w:cs="Arial"/>
        </w:rPr>
        <w:t xml:space="preserve"> PhD</w:t>
      </w:r>
      <w:r w:rsidR="00DD7C11">
        <w:rPr>
          <w:rFonts w:cs="Arial"/>
        </w:rPr>
        <w:t>;</w:t>
      </w:r>
      <w:r>
        <w:rPr>
          <w:rFonts w:cs="Arial"/>
        </w:rPr>
        <w:t xml:space="preserve"> Anthony G. Montag</w:t>
      </w:r>
      <w:r w:rsidR="00DD7C11">
        <w:rPr>
          <w:rFonts w:cs="Arial"/>
        </w:rPr>
        <w:t>,</w:t>
      </w:r>
      <w:r w:rsidRPr="00A706F1">
        <w:rPr>
          <w:rFonts w:cs="Arial"/>
        </w:rPr>
        <w:t xml:space="preserve"> MD</w:t>
      </w:r>
      <w:r w:rsidR="00DD7C11">
        <w:rPr>
          <w:rFonts w:cs="Arial"/>
        </w:rPr>
        <w:t>;</w:t>
      </w:r>
      <w:r>
        <w:rPr>
          <w:rFonts w:cs="Arial"/>
        </w:rPr>
        <w:t xml:space="preserve"> </w:t>
      </w:r>
      <w:r w:rsidR="00176D28">
        <w:rPr>
          <w:rFonts w:cs="Arial"/>
        </w:rPr>
        <w:t>Jordan Olson, MD</w:t>
      </w:r>
      <w:r w:rsidR="00DD7C11">
        <w:rPr>
          <w:rFonts w:cs="Arial"/>
        </w:rPr>
        <w:t>;</w:t>
      </w:r>
      <w:r w:rsidR="00176D28">
        <w:rPr>
          <w:rFonts w:cs="Arial"/>
        </w:rPr>
        <w:t xml:space="preserve"> </w:t>
      </w:r>
      <w:r>
        <w:rPr>
          <w:rFonts w:cs="Arial"/>
        </w:rPr>
        <w:t>Terrance D. Peabody</w:t>
      </w:r>
      <w:r w:rsidR="00DD7C11">
        <w:rPr>
          <w:rFonts w:cs="Arial"/>
        </w:rPr>
        <w:t>,</w:t>
      </w:r>
      <w:r w:rsidRPr="00A706F1">
        <w:rPr>
          <w:rFonts w:cs="Arial"/>
        </w:rPr>
        <w:t xml:space="preserve"> MD</w:t>
      </w:r>
      <w:r w:rsidR="00DD7C11">
        <w:rPr>
          <w:rFonts w:cs="Arial"/>
        </w:rPr>
        <w:t>;</w:t>
      </w:r>
      <w:r>
        <w:rPr>
          <w:rFonts w:cs="Arial"/>
        </w:rPr>
        <w:t xml:space="preserve"> </w:t>
      </w:r>
      <w:r w:rsidRPr="00A706F1">
        <w:rPr>
          <w:rFonts w:cs="Arial"/>
        </w:rPr>
        <w:t>John D. Reith</w:t>
      </w:r>
      <w:r w:rsidR="00DD7C11">
        <w:rPr>
          <w:rFonts w:cs="Arial"/>
        </w:rPr>
        <w:t>,</w:t>
      </w:r>
      <w:r w:rsidRPr="00A706F1">
        <w:rPr>
          <w:rFonts w:cs="Arial"/>
        </w:rPr>
        <w:t xml:space="preserve"> MD</w:t>
      </w:r>
      <w:r w:rsidR="00DD7C11">
        <w:rPr>
          <w:rFonts w:cs="Arial"/>
        </w:rPr>
        <w:t>;</w:t>
      </w:r>
      <w:r>
        <w:rPr>
          <w:rFonts w:cs="Arial"/>
        </w:rPr>
        <w:t xml:space="preserve"> Andrew E. Rosenberg</w:t>
      </w:r>
      <w:r w:rsidR="00DD7C11">
        <w:rPr>
          <w:rFonts w:cs="Arial"/>
        </w:rPr>
        <w:t>,</w:t>
      </w:r>
      <w:r w:rsidRPr="00A706F1">
        <w:rPr>
          <w:rFonts w:cs="Arial"/>
        </w:rPr>
        <w:t xml:space="preserve"> MD</w:t>
      </w:r>
      <w:r w:rsidR="00DD7C11">
        <w:rPr>
          <w:rFonts w:cs="Arial"/>
        </w:rPr>
        <w:t>;</w:t>
      </w:r>
      <w:r>
        <w:rPr>
          <w:rFonts w:cs="Arial"/>
        </w:rPr>
        <w:t xml:space="preserve"> </w:t>
      </w:r>
      <w:r w:rsidRPr="00A706F1">
        <w:rPr>
          <w:rFonts w:cs="Arial"/>
        </w:rPr>
        <w:t>Brian P. Rubin</w:t>
      </w:r>
      <w:r w:rsidR="00DD7C11">
        <w:rPr>
          <w:rFonts w:cs="Arial"/>
        </w:rPr>
        <w:t>,</w:t>
      </w:r>
      <w:r w:rsidRPr="00A706F1">
        <w:rPr>
          <w:rFonts w:cs="Arial"/>
        </w:rPr>
        <w:t xml:space="preserve"> MD</w:t>
      </w:r>
      <w:r w:rsidR="00DD7C11">
        <w:rPr>
          <w:rFonts w:cs="Arial"/>
        </w:rPr>
        <w:t>,</w:t>
      </w:r>
      <w:r w:rsidRPr="00A706F1">
        <w:rPr>
          <w:rFonts w:cs="Arial"/>
        </w:rPr>
        <w:t xml:space="preserve"> PhD</w:t>
      </w:r>
      <w:r>
        <w:rPr>
          <w:rFonts w:cs="Arial"/>
        </w:rPr>
        <w:t xml:space="preserve"> </w:t>
      </w:r>
    </w:p>
    <w:p w14:paraId="0A9B7F6A" w14:textId="77777777" w:rsidR="004102BC" w:rsidRDefault="004102BC" w:rsidP="004102BC">
      <w:pPr>
        <w:rPr>
          <w:rFonts w:eastAsia="Calibri" w:cs="Arial"/>
          <w:kern w:val="18"/>
        </w:rPr>
      </w:pPr>
    </w:p>
    <w:p w14:paraId="0A73B77D" w14:textId="77777777" w:rsidR="004102BC" w:rsidRPr="001E70D4" w:rsidRDefault="004102BC" w:rsidP="004102BC">
      <w:pPr>
        <w:rPr>
          <w:rFonts w:eastAsia="Calibri" w:cs="Arial"/>
          <w:kern w:val="18"/>
        </w:rPr>
      </w:pPr>
      <w:r w:rsidRPr="001E70D4">
        <w:rPr>
          <w:rFonts w:eastAsia="Calibri" w:cs="Arial"/>
          <w:kern w:val="18"/>
        </w:rPr>
        <w:t>With guidance from the CAP Cancer and CAP Pathology Electronic Reporting Committees.</w:t>
      </w:r>
    </w:p>
    <w:p w14:paraId="1452EFCF" w14:textId="77777777" w:rsidR="004102BC" w:rsidRPr="001E70D4" w:rsidRDefault="004102BC" w:rsidP="00611A0D">
      <w:pPr>
        <w:spacing w:before="60"/>
        <w:rPr>
          <w:rFonts w:eastAsia="Calibri" w:cs="Arial"/>
          <w:i/>
          <w:kern w:val="18"/>
          <w:sz w:val="18"/>
          <w:szCs w:val="18"/>
        </w:rPr>
      </w:pPr>
      <w:r w:rsidRPr="001E70D4">
        <w:rPr>
          <w:rFonts w:eastAsia="Calibri" w:cs="Arial"/>
          <w:i/>
          <w:kern w:val="18"/>
          <w:sz w:val="18"/>
          <w:szCs w:val="18"/>
        </w:rPr>
        <w:t xml:space="preserve">* Denotes primary author. </w:t>
      </w:r>
      <w:r w:rsidRPr="001E70D4">
        <w:rPr>
          <w:rFonts w:eastAsia="Calibri" w:cs="Arial"/>
          <w:i/>
          <w:kern w:val="20"/>
          <w:sz w:val="18"/>
          <w:szCs w:val="18"/>
        </w:rPr>
        <w:t>A</w:t>
      </w:r>
      <w:r w:rsidRPr="001E70D4">
        <w:rPr>
          <w:rFonts w:eastAsia="Calibri" w:cs="Arial"/>
          <w:i/>
          <w:kern w:val="18"/>
          <w:sz w:val="18"/>
          <w:szCs w:val="18"/>
        </w:rPr>
        <w:t>ll other contributing authors are listed alphabetically.</w:t>
      </w:r>
    </w:p>
    <w:p w14:paraId="241A784C" w14:textId="77777777" w:rsidR="00A706F1" w:rsidRPr="00A706F1" w:rsidRDefault="00A706F1" w:rsidP="00442350">
      <w:pPr>
        <w:tabs>
          <w:tab w:val="left" w:pos="0"/>
        </w:tabs>
        <w:rPr>
          <w:rFonts w:eastAsia="Calibri" w:cs="Arial"/>
          <w:b/>
          <w:kern w:val="18"/>
        </w:rPr>
      </w:pPr>
    </w:p>
    <w:p w14:paraId="3E16B832" w14:textId="77777777" w:rsidR="00DD7C11" w:rsidRPr="00A706F1" w:rsidRDefault="00DD7C11" w:rsidP="00A706F1">
      <w:pPr>
        <w:tabs>
          <w:tab w:val="center" w:pos="5040"/>
        </w:tabs>
        <w:rPr>
          <w:rFonts w:eastAsia="Calibri" w:cs="Arial"/>
          <w:b/>
          <w:kern w:val="18"/>
        </w:rPr>
      </w:pPr>
    </w:p>
    <w:p w14:paraId="08A51FF9" w14:textId="1A242102" w:rsidR="001E70D4" w:rsidRPr="001E70D4" w:rsidRDefault="00E03385" w:rsidP="001E70D4">
      <w:pPr>
        <w:pStyle w:val="Head2"/>
        <w:rPr>
          <w:rFonts w:cs="Arial"/>
          <w:szCs w:val="26"/>
        </w:rPr>
      </w:pPr>
      <w:r>
        <w:rPr>
          <w:rFonts w:cs="Arial"/>
          <w:szCs w:val="26"/>
        </w:rPr>
        <w:t>Summary of Changes</w:t>
      </w:r>
    </w:p>
    <w:p w14:paraId="41C843B6" w14:textId="55F3EADB" w:rsidR="00162810" w:rsidRDefault="00162810" w:rsidP="007C466B">
      <w:pPr>
        <w:rPr>
          <w:rFonts w:cs="Arial"/>
        </w:rPr>
      </w:pPr>
      <w:r>
        <w:rPr>
          <w:rFonts w:cs="Arial"/>
        </w:rPr>
        <w:t>4.</w:t>
      </w:r>
      <w:r w:rsidR="00442350">
        <w:rPr>
          <w:rFonts w:cs="Arial"/>
        </w:rPr>
        <w:t>0</w:t>
      </w:r>
      <w:r>
        <w:rPr>
          <w:rFonts w:cs="Arial"/>
        </w:rPr>
        <w:t>.</w:t>
      </w:r>
      <w:r w:rsidR="00442350">
        <w:rPr>
          <w:rFonts w:cs="Arial"/>
        </w:rPr>
        <w:t>1</w:t>
      </w:r>
      <w:r>
        <w:rPr>
          <w:rFonts w:cs="Arial"/>
        </w:rPr>
        <w:t>.0</w:t>
      </w:r>
    </w:p>
    <w:p w14:paraId="3ADA760F" w14:textId="593B1100" w:rsidR="007C466B" w:rsidRDefault="007C466B" w:rsidP="007C466B">
      <w:pPr>
        <w:rPr>
          <w:rFonts w:cs="Arial"/>
        </w:rPr>
      </w:pPr>
      <w:r>
        <w:rPr>
          <w:rFonts w:cs="Arial"/>
        </w:rPr>
        <w:t>Biopsy and resection procedures separated into individual protocols</w:t>
      </w:r>
    </w:p>
    <w:p w14:paraId="280AC4EE" w14:textId="009789AB" w:rsidR="00C11FF2" w:rsidRPr="00C11FF2" w:rsidRDefault="00C11FF2" w:rsidP="00C11FF2">
      <w:pPr>
        <w:pStyle w:val="Heading2"/>
        <w:tabs>
          <w:tab w:val="left" w:pos="7710"/>
        </w:tabs>
        <w:rPr>
          <w:rFonts w:eastAsia="MS Mincho" w:cs="Arial"/>
          <w:b w:val="0"/>
          <w:bCs/>
        </w:rPr>
      </w:pPr>
      <w:bookmarkStart w:id="0" w:name="_GoBack"/>
      <w:r w:rsidRPr="00C11FF2">
        <w:rPr>
          <w:rFonts w:cs="Arial"/>
          <w:b w:val="0"/>
          <w:bCs/>
        </w:rPr>
        <w:t xml:space="preserve">Modified list of </w:t>
      </w:r>
      <w:r w:rsidRPr="00C11FF2">
        <w:rPr>
          <w:rFonts w:eastAsia="MS Mincho" w:cs="Arial"/>
          <w:b w:val="0"/>
          <w:bCs/>
        </w:rPr>
        <w:t>WHO Classification of Malignant Bone Tumors</w:t>
      </w:r>
      <w:r>
        <w:rPr>
          <w:rFonts w:eastAsia="MS Mincho" w:cs="Arial"/>
          <w:b w:val="0"/>
          <w:bCs/>
        </w:rPr>
        <w:t xml:space="preserve"> to remove non-malignant types</w:t>
      </w:r>
    </w:p>
    <w:bookmarkEnd w:id="0"/>
    <w:p w14:paraId="4A081D51" w14:textId="403198FB" w:rsidR="00C11FF2" w:rsidRPr="00C11FF2" w:rsidRDefault="00C11FF2" w:rsidP="007C466B">
      <w:pPr>
        <w:rPr>
          <w:rFonts w:cs="Arial"/>
          <w:bCs/>
        </w:rPr>
      </w:pPr>
    </w:p>
    <w:p w14:paraId="69EFE83A" w14:textId="77777777" w:rsidR="00D410D4" w:rsidRPr="00845FBC" w:rsidRDefault="00D410D4" w:rsidP="00DA1119">
      <w:pPr>
        <w:rPr>
          <w:rFonts w:cs="Arial"/>
        </w:rPr>
      </w:pPr>
    </w:p>
    <w:p w14:paraId="78E63EF7" w14:textId="77777777" w:rsidR="00DA1119" w:rsidRPr="00845FBC" w:rsidRDefault="00DA1119" w:rsidP="00B336E3">
      <w:pPr>
        <w:rPr>
          <w:rFonts w:cs="Arial"/>
        </w:rPr>
      </w:pPr>
    </w:p>
    <w:p w14:paraId="340A8523" w14:textId="77777777" w:rsidR="00B336E3" w:rsidRPr="00845FBC" w:rsidRDefault="00B336E3" w:rsidP="00B336E3">
      <w:pPr>
        <w:pStyle w:val="Head"/>
        <w:rPr>
          <w:rFonts w:cs="Arial"/>
        </w:rPr>
        <w:sectPr w:rsidR="00B336E3" w:rsidRPr="00845FBC" w:rsidSect="0072709F">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936" w:left="1080" w:header="720" w:footer="936" w:gutter="0"/>
          <w:cols w:space="720"/>
          <w:titlePg/>
        </w:sectPr>
      </w:pPr>
    </w:p>
    <w:p w14:paraId="12A26FDA" w14:textId="77777777" w:rsidR="00B336E3" w:rsidRPr="00845FBC" w:rsidRDefault="00B336E3" w:rsidP="00B336E3">
      <w:pPr>
        <w:pStyle w:val="Head2"/>
        <w:rPr>
          <w:rFonts w:cs="Arial"/>
        </w:rPr>
      </w:pPr>
      <w:r w:rsidRPr="00845FBC">
        <w:rPr>
          <w:rFonts w:cs="Arial"/>
        </w:rPr>
        <w:lastRenderedPageBreak/>
        <w:t>Surgical Pathology</w:t>
      </w:r>
      <w:r w:rsidR="0072709F" w:rsidRPr="00845FBC">
        <w:rPr>
          <w:rFonts w:cs="Arial"/>
        </w:rPr>
        <w:t xml:space="preserve"> Cancer Case Summary</w:t>
      </w:r>
    </w:p>
    <w:p w14:paraId="7CA9B364" w14:textId="77777777" w:rsidR="00B336E3" w:rsidRPr="00845FBC" w:rsidRDefault="00B336E3" w:rsidP="00B336E3">
      <w:pPr>
        <w:rPr>
          <w:rFonts w:cs="Arial"/>
        </w:rPr>
      </w:pPr>
    </w:p>
    <w:p w14:paraId="1554022F" w14:textId="4464FCF3" w:rsidR="00B336E3" w:rsidRPr="00845FBC" w:rsidRDefault="00B336E3" w:rsidP="00B336E3">
      <w:pPr>
        <w:rPr>
          <w:rFonts w:cs="Arial"/>
        </w:rPr>
      </w:pPr>
      <w:r w:rsidRPr="00845FBC">
        <w:rPr>
          <w:rFonts w:cs="Arial"/>
        </w:rPr>
        <w:t xml:space="preserve">Protocol posting date: </w:t>
      </w:r>
      <w:r w:rsidR="00D410D4">
        <w:rPr>
          <w:rFonts w:cs="Arial"/>
        </w:rPr>
        <w:t>February 2020</w:t>
      </w:r>
    </w:p>
    <w:p w14:paraId="52E48C7B" w14:textId="77777777" w:rsidR="001718B6" w:rsidRPr="00845FBC" w:rsidRDefault="001718B6" w:rsidP="00B336E3">
      <w:pPr>
        <w:rPr>
          <w:rFonts w:cs="Arial"/>
        </w:rPr>
      </w:pPr>
    </w:p>
    <w:p w14:paraId="24EE287F" w14:textId="77777777" w:rsidR="00B336E3" w:rsidRPr="00845FBC" w:rsidRDefault="00B336E3" w:rsidP="00B336E3">
      <w:pPr>
        <w:pStyle w:val="Heading1"/>
        <w:rPr>
          <w:rFonts w:cs="Arial"/>
        </w:rPr>
      </w:pPr>
      <w:r w:rsidRPr="00845FBC">
        <w:rPr>
          <w:rFonts w:cs="Arial"/>
        </w:rPr>
        <w:t>BONE: Biopsy</w:t>
      </w:r>
    </w:p>
    <w:p w14:paraId="5F94537F" w14:textId="77777777" w:rsidR="00A73113" w:rsidRDefault="00A73113" w:rsidP="00CD16A6"/>
    <w:p w14:paraId="5854144A" w14:textId="77777777" w:rsidR="00623068" w:rsidRDefault="00623068" w:rsidP="00623068">
      <w:pPr>
        <w:rPr>
          <w:rFonts w:cs="Arial"/>
          <w:b/>
        </w:rPr>
      </w:pPr>
      <w:r w:rsidRPr="00F31942">
        <w:rPr>
          <w:rFonts w:cs="Arial"/>
          <w:b/>
        </w:rPr>
        <w:t>Note</w:t>
      </w:r>
      <w:r>
        <w:rPr>
          <w:rFonts w:cs="Arial"/>
          <w:b/>
        </w:rPr>
        <w:t>s:</w:t>
      </w:r>
    </w:p>
    <w:p w14:paraId="2C9B3CF7" w14:textId="77777777" w:rsidR="00623068" w:rsidRDefault="00623068" w:rsidP="00623068">
      <w:pPr>
        <w:rPr>
          <w:rFonts w:cs="Arial"/>
          <w:b/>
        </w:rPr>
      </w:pPr>
      <w:r w:rsidRPr="00F31942">
        <w:rPr>
          <w:rFonts w:cs="Arial"/>
          <w:b/>
        </w:rPr>
        <w:t xml:space="preserve">This </w:t>
      </w:r>
      <w:r>
        <w:rPr>
          <w:rFonts w:cs="Arial"/>
          <w:b/>
        </w:rPr>
        <w:t>case s</w:t>
      </w:r>
      <w:r w:rsidRPr="00F31942">
        <w:rPr>
          <w:rFonts w:cs="Arial"/>
          <w:b/>
        </w:rPr>
        <w:t xml:space="preserve">ummary is recommended for reporting biopsy specimens but is </w:t>
      </w:r>
      <w:bookmarkStart w:id="1" w:name="_Hlk529452986"/>
      <w:r w:rsidRPr="00F31942">
        <w:rPr>
          <w:rFonts w:cs="Arial"/>
          <w:b/>
        </w:rPr>
        <w:t xml:space="preserve">NOT REQUIRED </w:t>
      </w:r>
      <w:bookmarkEnd w:id="1"/>
      <w:r w:rsidRPr="00F31942">
        <w:rPr>
          <w:rFonts w:cs="Arial"/>
          <w:b/>
        </w:rPr>
        <w:t>for accreditation purposes.</w:t>
      </w:r>
      <w:r w:rsidRPr="00354ABD">
        <w:rPr>
          <w:rFonts w:cs="Arial"/>
          <w:b/>
        </w:rPr>
        <w:t xml:space="preserve"> Core data elements are bolded to help identify routinely reported elements.</w:t>
      </w:r>
    </w:p>
    <w:p w14:paraId="46E6071A" w14:textId="77777777" w:rsidR="00B737DA" w:rsidRPr="00176D28" w:rsidRDefault="00B737DA" w:rsidP="00CD16A6"/>
    <w:p w14:paraId="01AB4186" w14:textId="77777777" w:rsidR="00B336E3" w:rsidRPr="00845FBC" w:rsidRDefault="00B336E3" w:rsidP="00B336E3">
      <w:pPr>
        <w:pStyle w:val="Heading2"/>
        <w:rPr>
          <w:rFonts w:cs="Arial"/>
          <w:kern w:val="20"/>
        </w:rPr>
      </w:pPr>
      <w:r w:rsidRPr="00845FBC">
        <w:rPr>
          <w:rFonts w:cs="Arial"/>
          <w:kern w:val="20"/>
        </w:rPr>
        <w:t>Select a single response unless otherwise indicated.</w:t>
      </w:r>
    </w:p>
    <w:p w14:paraId="21FD5353" w14:textId="77777777" w:rsidR="00B336E3" w:rsidRPr="00845FBC" w:rsidRDefault="00B336E3" w:rsidP="00B336E3">
      <w:pPr>
        <w:pStyle w:val="Heading2"/>
        <w:rPr>
          <w:rFonts w:cs="Arial"/>
        </w:rPr>
      </w:pPr>
    </w:p>
    <w:p w14:paraId="0E725FFD" w14:textId="77777777" w:rsidR="00B336E3" w:rsidRPr="00845FBC" w:rsidRDefault="00B336E3" w:rsidP="00B336E3">
      <w:pPr>
        <w:pStyle w:val="Heading2"/>
        <w:rPr>
          <w:rFonts w:cs="Arial"/>
        </w:rPr>
      </w:pPr>
      <w:r w:rsidRPr="00845FBC">
        <w:rPr>
          <w:rFonts w:cs="Arial"/>
        </w:rPr>
        <w:t>Procedure</w:t>
      </w:r>
      <w:r w:rsidR="00EA185B">
        <w:rPr>
          <w:rFonts w:cs="Arial"/>
        </w:rPr>
        <w:t xml:space="preserve"> (Note A)</w:t>
      </w:r>
    </w:p>
    <w:p w14:paraId="54D9264E" w14:textId="77777777" w:rsidR="00B336E3" w:rsidRPr="00845FBC" w:rsidRDefault="00B336E3" w:rsidP="00B336E3">
      <w:pPr>
        <w:pStyle w:val="Footer"/>
        <w:tabs>
          <w:tab w:val="clear" w:pos="4320"/>
          <w:tab w:val="clear" w:pos="8640"/>
        </w:tabs>
        <w:rPr>
          <w:rFonts w:cs="Arial"/>
        </w:rPr>
      </w:pPr>
      <w:r w:rsidRPr="00845FBC">
        <w:rPr>
          <w:rFonts w:cs="Arial"/>
        </w:rPr>
        <w:t>___ Core needle biopsy</w:t>
      </w:r>
    </w:p>
    <w:p w14:paraId="299F5D6C" w14:textId="77777777" w:rsidR="00B336E3" w:rsidRPr="00845FBC" w:rsidRDefault="00B336E3" w:rsidP="00B336E3">
      <w:pPr>
        <w:rPr>
          <w:rFonts w:cs="Arial"/>
        </w:rPr>
      </w:pPr>
      <w:r w:rsidRPr="00845FBC">
        <w:rPr>
          <w:rFonts w:cs="Arial"/>
        </w:rPr>
        <w:t>___ Curettage</w:t>
      </w:r>
    </w:p>
    <w:p w14:paraId="61CFBEF7" w14:textId="77777777" w:rsidR="00B336E3" w:rsidRPr="00845FBC" w:rsidRDefault="00B336E3" w:rsidP="00B336E3">
      <w:pPr>
        <w:rPr>
          <w:rFonts w:cs="Arial"/>
        </w:rPr>
      </w:pPr>
      <w:r w:rsidRPr="00845FBC">
        <w:rPr>
          <w:rFonts w:cs="Arial"/>
        </w:rPr>
        <w:t>___ Excisional biopsy</w:t>
      </w:r>
    </w:p>
    <w:p w14:paraId="79DDF58D" w14:textId="77777777" w:rsidR="00B336E3" w:rsidRPr="00845FBC" w:rsidRDefault="00B336E3" w:rsidP="00B336E3">
      <w:pPr>
        <w:rPr>
          <w:rFonts w:cs="Arial"/>
        </w:rPr>
      </w:pPr>
      <w:r w:rsidRPr="00845FBC">
        <w:rPr>
          <w:rFonts w:cs="Arial"/>
        </w:rPr>
        <w:t xml:space="preserve">___ Other (specify): </w:t>
      </w:r>
      <w:r w:rsidRPr="00845FBC">
        <w:rPr>
          <w:rFonts w:cs="Arial"/>
          <w:kern w:val="20"/>
        </w:rPr>
        <w:t>____________________________</w:t>
      </w:r>
    </w:p>
    <w:p w14:paraId="53220AAC" w14:textId="77777777" w:rsidR="00B336E3" w:rsidRPr="00845FBC" w:rsidRDefault="00B336E3" w:rsidP="00B336E3">
      <w:pPr>
        <w:rPr>
          <w:rFonts w:cs="Arial"/>
        </w:rPr>
      </w:pPr>
      <w:r w:rsidRPr="00845FBC">
        <w:rPr>
          <w:rFonts w:cs="Arial"/>
        </w:rPr>
        <w:t>___ Not specified</w:t>
      </w:r>
    </w:p>
    <w:p w14:paraId="5C004A6A" w14:textId="77777777" w:rsidR="00B336E3" w:rsidRPr="00845FBC" w:rsidRDefault="00B336E3" w:rsidP="00B336E3">
      <w:pPr>
        <w:pStyle w:val="Footer"/>
        <w:tabs>
          <w:tab w:val="clear" w:pos="4320"/>
          <w:tab w:val="clear" w:pos="8640"/>
        </w:tabs>
        <w:rPr>
          <w:rFonts w:cs="Arial"/>
        </w:rPr>
      </w:pPr>
    </w:p>
    <w:p w14:paraId="1233ADDC" w14:textId="29E54921" w:rsidR="002250DB" w:rsidRDefault="002250DB" w:rsidP="002250DB">
      <w:pPr>
        <w:pStyle w:val="Heading2"/>
        <w:rPr>
          <w:rFonts w:cs="Arial"/>
          <w:color w:val="000000"/>
        </w:rPr>
      </w:pPr>
      <w:r>
        <w:rPr>
          <w:rFonts w:cs="Arial"/>
          <w:color w:val="000000"/>
        </w:rPr>
        <w:t xml:space="preserve">Tumor Site </w:t>
      </w:r>
      <w:r w:rsidRPr="00845FBC">
        <w:rPr>
          <w:rFonts w:cs="Arial"/>
          <w:color w:val="000000"/>
        </w:rPr>
        <w:t xml:space="preserve">(Note </w:t>
      </w:r>
      <w:r w:rsidR="00EA185B">
        <w:rPr>
          <w:rFonts w:cs="Arial"/>
          <w:color w:val="000000"/>
        </w:rPr>
        <w:t>B</w:t>
      </w:r>
      <w:r w:rsidRPr="00845FBC">
        <w:rPr>
          <w:rFonts w:cs="Arial"/>
          <w:color w:val="000000"/>
        </w:rPr>
        <w:t>)</w:t>
      </w:r>
    </w:p>
    <w:p w14:paraId="63A1933B" w14:textId="77777777" w:rsidR="002250DB" w:rsidRDefault="002250DB" w:rsidP="002250DB">
      <w:pPr>
        <w:rPr>
          <w:rFonts w:cs="Arial"/>
        </w:rPr>
      </w:pPr>
      <w:r>
        <w:rPr>
          <w:rFonts w:cs="Arial"/>
        </w:rPr>
        <w:t>___ Appendicular skeleton (specify bone, if known): __________________</w:t>
      </w:r>
    </w:p>
    <w:p w14:paraId="489A351F" w14:textId="77777777" w:rsidR="002250DB" w:rsidRDefault="002250DB" w:rsidP="002250DB">
      <w:pPr>
        <w:rPr>
          <w:rFonts w:cs="Arial"/>
        </w:rPr>
      </w:pPr>
      <w:r>
        <w:rPr>
          <w:rFonts w:cs="Arial"/>
        </w:rPr>
        <w:t>___ Spine (specify bone, if known): _________________________</w:t>
      </w:r>
    </w:p>
    <w:p w14:paraId="5EF4B54F" w14:textId="77777777" w:rsidR="002250DB" w:rsidRDefault="002250DB" w:rsidP="002250DB">
      <w:pPr>
        <w:rPr>
          <w:rFonts w:cs="Arial"/>
        </w:rPr>
      </w:pPr>
      <w:r>
        <w:rPr>
          <w:rFonts w:cs="Arial"/>
        </w:rPr>
        <w:t>___ Pelvis (specify bone, if known): _________________________</w:t>
      </w:r>
    </w:p>
    <w:p w14:paraId="6CDC89BD" w14:textId="77777777" w:rsidR="002250DB" w:rsidRDefault="002250DB" w:rsidP="002250DB">
      <w:pPr>
        <w:rPr>
          <w:rFonts w:cs="Arial"/>
        </w:rPr>
      </w:pPr>
      <w:r w:rsidRPr="00845FBC">
        <w:rPr>
          <w:rFonts w:cs="Arial"/>
        </w:rPr>
        <w:t>___ Not specified</w:t>
      </w:r>
    </w:p>
    <w:p w14:paraId="639D0308" w14:textId="77777777" w:rsidR="002250DB" w:rsidRDefault="002250DB" w:rsidP="00B336E3">
      <w:pPr>
        <w:pStyle w:val="Heading2"/>
        <w:rPr>
          <w:rFonts w:cs="Arial"/>
        </w:rPr>
      </w:pPr>
    </w:p>
    <w:p w14:paraId="198A2EFD" w14:textId="77777777" w:rsidR="00932EA9" w:rsidRDefault="00B336E3" w:rsidP="00B336E3">
      <w:pPr>
        <w:pStyle w:val="Heading2"/>
        <w:rPr>
          <w:rFonts w:cs="Arial"/>
        </w:rPr>
      </w:pPr>
      <w:r w:rsidRPr="00845FBC">
        <w:rPr>
          <w:rFonts w:cs="Arial"/>
        </w:rPr>
        <w:t xml:space="preserve">Tumor </w:t>
      </w:r>
      <w:r w:rsidR="002250DB">
        <w:rPr>
          <w:rFonts w:cs="Arial"/>
        </w:rPr>
        <w:t>Location</w:t>
      </w:r>
      <w:r w:rsidR="009B3B71">
        <w:rPr>
          <w:rFonts w:cs="Arial"/>
        </w:rPr>
        <w:t xml:space="preserve"> and Extent</w:t>
      </w:r>
      <w:r w:rsidR="00932EA9">
        <w:rPr>
          <w:rFonts w:cs="Arial"/>
        </w:rPr>
        <w:t xml:space="preserve"> </w:t>
      </w:r>
      <w:r w:rsidR="00932EA9" w:rsidRPr="00845FBC">
        <w:rPr>
          <w:rFonts w:cs="Arial"/>
        </w:rPr>
        <w:t>(select all that apply</w:t>
      </w:r>
      <w:r w:rsidR="00932EA9" w:rsidRPr="00845FBC">
        <w:rPr>
          <w:rFonts w:cs="Arial"/>
          <w:color w:val="000000"/>
        </w:rPr>
        <w:t>)</w:t>
      </w:r>
      <w:r w:rsidR="00932EA9">
        <w:rPr>
          <w:rFonts w:cs="Arial"/>
          <w:color w:val="000000"/>
        </w:rPr>
        <w:t xml:space="preserve"> (Note C)</w:t>
      </w:r>
    </w:p>
    <w:p w14:paraId="653954A8" w14:textId="77777777" w:rsidR="00932EA9" w:rsidRPr="00845FBC" w:rsidRDefault="00932EA9" w:rsidP="00932EA9">
      <w:pPr>
        <w:pStyle w:val="Footer"/>
        <w:tabs>
          <w:tab w:val="clear" w:pos="4320"/>
          <w:tab w:val="clear" w:pos="8640"/>
        </w:tabs>
        <w:rPr>
          <w:rFonts w:cs="Arial"/>
        </w:rPr>
      </w:pPr>
      <w:r w:rsidRPr="00845FBC">
        <w:rPr>
          <w:rFonts w:cs="Arial"/>
        </w:rPr>
        <w:t>___ Epiphysis or apophysis</w:t>
      </w:r>
    </w:p>
    <w:p w14:paraId="6371AC70" w14:textId="77777777" w:rsidR="00932EA9" w:rsidRPr="00845FBC" w:rsidRDefault="00932EA9" w:rsidP="00932EA9">
      <w:pPr>
        <w:rPr>
          <w:rFonts w:cs="Arial"/>
        </w:rPr>
      </w:pPr>
      <w:r w:rsidRPr="00845FBC">
        <w:rPr>
          <w:rFonts w:cs="Arial"/>
        </w:rPr>
        <w:t>___ Metaphysis</w:t>
      </w:r>
    </w:p>
    <w:p w14:paraId="1AF124C0" w14:textId="77777777" w:rsidR="00932EA9" w:rsidRPr="00845FBC" w:rsidRDefault="00932EA9" w:rsidP="00932EA9">
      <w:pPr>
        <w:rPr>
          <w:rFonts w:cs="Arial"/>
        </w:rPr>
      </w:pPr>
      <w:r w:rsidRPr="00845FBC">
        <w:rPr>
          <w:rFonts w:cs="Arial"/>
        </w:rPr>
        <w:t>___ Diaphysis</w:t>
      </w:r>
    </w:p>
    <w:p w14:paraId="301B87FB" w14:textId="77777777" w:rsidR="00932EA9" w:rsidRPr="00845FBC" w:rsidRDefault="00932EA9" w:rsidP="00932EA9">
      <w:pPr>
        <w:rPr>
          <w:rFonts w:cs="Arial"/>
        </w:rPr>
      </w:pPr>
      <w:r w:rsidRPr="00845FBC">
        <w:rPr>
          <w:rFonts w:cs="Arial"/>
        </w:rPr>
        <w:t>___ Cortex</w:t>
      </w:r>
    </w:p>
    <w:p w14:paraId="2B3C84CC" w14:textId="77777777" w:rsidR="00932EA9" w:rsidRPr="00845FBC" w:rsidRDefault="00932EA9" w:rsidP="00932EA9">
      <w:pPr>
        <w:rPr>
          <w:rFonts w:cs="Arial"/>
        </w:rPr>
      </w:pPr>
      <w:r w:rsidRPr="00845FBC">
        <w:rPr>
          <w:rFonts w:cs="Arial"/>
        </w:rPr>
        <w:t>___ Medullary cavity</w:t>
      </w:r>
    </w:p>
    <w:p w14:paraId="4BBF4D11" w14:textId="77777777" w:rsidR="00932EA9" w:rsidRPr="00845FBC" w:rsidRDefault="00932EA9" w:rsidP="00932EA9">
      <w:pPr>
        <w:rPr>
          <w:rFonts w:cs="Arial"/>
        </w:rPr>
      </w:pPr>
      <w:r w:rsidRPr="00845FBC">
        <w:rPr>
          <w:rFonts w:cs="Arial"/>
        </w:rPr>
        <w:t xml:space="preserve">___ Surface </w:t>
      </w:r>
    </w:p>
    <w:p w14:paraId="2CF1B0F5" w14:textId="77777777" w:rsidR="00B336E3" w:rsidRPr="00845FBC" w:rsidRDefault="00B336E3" w:rsidP="00B336E3">
      <w:pPr>
        <w:rPr>
          <w:rFonts w:cs="Arial"/>
        </w:rPr>
      </w:pPr>
      <w:r w:rsidRPr="00845FBC">
        <w:rPr>
          <w:rFonts w:cs="Arial"/>
        </w:rPr>
        <w:t>___ Tumor involves joint</w:t>
      </w:r>
    </w:p>
    <w:p w14:paraId="4F1E7E85" w14:textId="77777777" w:rsidR="00B336E3" w:rsidRPr="00845FBC" w:rsidRDefault="00B336E3" w:rsidP="00B336E3">
      <w:pPr>
        <w:rPr>
          <w:rFonts w:cs="Arial"/>
        </w:rPr>
      </w:pPr>
      <w:r w:rsidRPr="00845FBC">
        <w:rPr>
          <w:rFonts w:cs="Arial"/>
        </w:rPr>
        <w:t>___ Tumor extension into soft tissue</w:t>
      </w:r>
    </w:p>
    <w:p w14:paraId="5FE89426" w14:textId="77777777" w:rsidR="00B336E3" w:rsidRPr="00845FBC" w:rsidRDefault="00B336E3" w:rsidP="00B336E3">
      <w:pPr>
        <w:rPr>
          <w:rFonts w:cs="Arial"/>
          <w:u w:val="single"/>
        </w:rPr>
      </w:pPr>
      <w:r w:rsidRPr="00845FBC">
        <w:rPr>
          <w:rFonts w:cs="Arial"/>
        </w:rPr>
        <w:t>___ Cannot be determined</w:t>
      </w:r>
    </w:p>
    <w:p w14:paraId="78885BDB" w14:textId="77777777" w:rsidR="00B336E3" w:rsidRPr="00845FBC" w:rsidRDefault="00B336E3" w:rsidP="00B336E3">
      <w:pPr>
        <w:rPr>
          <w:rFonts w:cs="Arial"/>
        </w:rPr>
      </w:pPr>
    </w:p>
    <w:p w14:paraId="2238C989" w14:textId="7152C57B" w:rsidR="00B336E3" w:rsidRPr="00845FBC" w:rsidRDefault="00B336E3" w:rsidP="00B336E3">
      <w:pPr>
        <w:pStyle w:val="Heading2"/>
        <w:rPr>
          <w:rFonts w:cs="Arial"/>
        </w:rPr>
      </w:pPr>
      <w:r w:rsidRPr="00845FBC">
        <w:rPr>
          <w:rFonts w:cs="Arial"/>
        </w:rPr>
        <w:t xml:space="preserve">Histologic Type (World Health Organization [WHO] classification of </w:t>
      </w:r>
      <w:r w:rsidR="00C174E8">
        <w:rPr>
          <w:rFonts w:cs="Arial"/>
        </w:rPr>
        <w:t xml:space="preserve">malignant </w:t>
      </w:r>
      <w:r w:rsidRPr="00845FBC">
        <w:rPr>
          <w:rFonts w:cs="Arial"/>
        </w:rPr>
        <w:t>bone tumors)</w:t>
      </w:r>
      <w:r w:rsidR="00776309" w:rsidRPr="00845FBC">
        <w:rPr>
          <w:rFonts w:cs="Arial"/>
        </w:rPr>
        <w:t xml:space="preserve"> </w:t>
      </w:r>
      <w:r w:rsidRPr="00845FBC">
        <w:rPr>
          <w:rFonts w:cs="Arial"/>
          <w:color w:val="000000"/>
        </w:rPr>
        <w:t xml:space="preserve">(Note </w:t>
      </w:r>
      <w:r w:rsidR="00EA185B">
        <w:rPr>
          <w:rFonts w:cs="Arial"/>
          <w:color w:val="000000"/>
        </w:rPr>
        <w:t>D</w:t>
      </w:r>
      <w:r w:rsidRPr="00845FBC">
        <w:rPr>
          <w:rFonts w:cs="Arial"/>
          <w:color w:val="000000"/>
        </w:rPr>
        <w:t>)</w:t>
      </w:r>
    </w:p>
    <w:p w14:paraId="779852AD" w14:textId="77777777" w:rsidR="00B336E3" w:rsidRPr="00845FBC" w:rsidRDefault="00B336E3" w:rsidP="00B336E3">
      <w:pPr>
        <w:keepNext/>
        <w:rPr>
          <w:rFonts w:cs="Arial"/>
        </w:rPr>
      </w:pPr>
      <w:r w:rsidRPr="00845FBC">
        <w:rPr>
          <w:rFonts w:cs="Arial"/>
        </w:rPr>
        <w:t>Specify:</w:t>
      </w:r>
      <w:r w:rsidRPr="00845FBC">
        <w:rPr>
          <w:rFonts w:cs="Arial"/>
          <w:kern w:val="20"/>
        </w:rPr>
        <w:t xml:space="preserve"> ____________________________</w:t>
      </w:r>
    </w:p>
    <w:p w14:paraId="29A8A2BF" w14:textId="77777777" w:rsidR="00B336E3" w:rsidRPr="00845FBC" w:rsidRDefault="00B336E3" w:rsidP="00B336E3">
      <w:pPr>
        <w:rPr>
          <w:rFonts w:cs="Arial"/>
        </w:rPr>
      </w:pPr>
      <w:r w:rsidRPr="00845FBC">
        <w:rPr>
          <w:rFonts w:cs="Arial"/>
        </w:rPr>
        <w:t>___ Cannot be determined</w:t>
      </w:r>
    </w:p>
    <w:p w14:paraId="45784271" w14:textId="77777777" w:rsidR="00B336E3" w:rsidRPr="00845FBC" w:rsidRDefault="00B336E3" w:rsidP="00B336E3">
      <w:pPr>
        <w:rPr>
          <w:rFonts w:cs="Arial"/>
        </w:rPr>
      </w:pPr>
    </w:p>
    <w:p w14:paraId="3199C6B6" w14:textId="5FE966CC" w:rsidR="00B336E3" w:rsidRPr="00442350" w:rsidRDefault="00B336E3" w:rsidP="00B336E3">
      <w:pPr>
        <w:pStyle w:val="Heading2"/>
        <w:rPr>
          <w:rFonts w:cs="Arial"/>
          <w:b w:val="0"/>
          <w:bCs/>
          <w:color w:val="000000"/>
          <w:vertAlign w:val="superscript"/>
        </w:rPr>
      </w:pPr>
      <w:r w:rsidRPr="00442350">
        <w:rPr>
          <w:rFonts w:cs="Arial"/>
          <w:b w:val="0"/>
          <w:bCs/>
        </w:rPr>
        <w:t xml:space="preserve">Mitotic Rate </w:t>
      </w:r>
      <w:r w:rsidRPr="00442350">
        <w:rPr>
          <w:rFonts w:cs="Arial"/>
          <w:b w:val="0"/>
          <w:bCs/>
          <w:color w:val="000000"/>
        </w:rPr>
        <w:t xml:space="preserve">(Note </w:t>
      </w:r>
      <w:r w:rsidR="00EA185B" w:rsidRPr="00442350">
        <w:rPr>
          <w:rFonts w:cs="Arial"/>
          <w:b w:val="0"/>
          <w:bCs/>
          <w:color w:val="000000"/>
        </w:rPr>
        <w:t>E</w:t>
      </w:r>
      <w:r w:rsidRPr="00442350">
        <w:rPr>
          <w:rFonts w:cs="Arial"/>
          <w:b w:val="0"/>
          <w:bCs/>
          <w:color w:val="000000"/>
        </w:rPr>
        <w:t>)</w:t>
      </w:r>
    </w:p>
    <w:p w14:paraId="73690FE7" w14:textId="18199766" w:rsidR="00B336E3" w:rsidRPr="00845FBC" w:rsidRDefault="00B336E3" w:rsidP="00B336E3">
      <w:pPr>
        <w:rPr>
          <w:rFonts w:cs="Arial"/>
        </w:rPr>
      </w:pPr>
      <w:r w:rsidRPr="00845FBC">
        <w:rPr>
          <w:rFonts w:cs="Arial"/>
        </w:rPr>
        <w:t>Specify: ___ /10 high-power fields (HPF)</w:t>
      </w:r>
    </w:p>
    <w:p w14:paraId="2093FE51" w14:textId="77777777" w:rsidR="00B336E3" w:rsidRPr="00845FBC" w:rsidRDefault="00B336E3" w:rsidP="00845FBC">
      <w:pPr>
        <w:ind w:left="180"/>
        <w:rPr>
          <w:rFonts w:cs="Arial"/>
        </w:rPr>
      </w:pPr>
      <w:r w:rsidRPr="00845FBC">
        <w:rPr>
          <w:rFonts w:cs="Arial"/>
        </w:rPr>
        <w:t xml:space="preserve"> (1 HPF x 400 = 0.1734 mm</w:t>
      </w:r>
      <w:r w:rsidRPr="00845FBC">
        <w:rPr>
          <w:rFonts w:cs="Arial"/>
          <w:vertAlign w:val="superscript"/>
        </w:rPr>
        <w:t>2</w:t>
      </w:r>
      <w:r w:rsidRPr="00845FBC">
        <w:rPr>
          <w:rFonts w:cs="Arial"/>
        </w:rPr>
        <w:t>; X40 objective; most proliferative area)</w:t>
      </w:r>
    </w:p>
    <w:p w14:paraId="68902464" w14:textId="77777777" w:rsidR="00B336E3" w:rsidRPr="00845FBC" w:rsidRDefault="00B336E3" w:rsidP="00B336E3">
      <w:pPr>
        <w:rPr>
          <w:rFonts w:cs="Arial"/>
        </w:rPr>
      </w:pPr>
    </w:p>
    <w:p w14:paraId="7CD10EA7" w14:textId="28D1DE20" w:rsidR="00B336E3" w:rsidRPr="00845FBC" w:rsidRDefault="00B336E3" w:rsidP="00B336E3">
      <w:pPr>
        <w:pStyle w:val="Heading2"/>
        <w:rPr>
          <w:rFonts w:cs="Arial"/>
        </w:rPr>
      </w:pPr>
      <w:r w:rsidRPr="00845FBC">
        <w:rPr>
          <w:rFonts w:cs="Arial"/>
        </w:rPr>
        <w:t xml:space="preserve">Necrosis </w:t>
      </w:r>
      <w:r w:rsidRPr="00845FBC">
        <w:rPr>
          <w:rFonts w:cs="Arial"/>
          <w:color w:val="000000"/>
        </w:rPr>
        <w:t xml:space="preserve">(Note </w:t>
      </w:r>
      <w:r w:rsidR="00EA185B">
        <w:rPr>
          <w:rFonts w:cs="Arial"/>
          <w:color w:val="000000"/>
        </w:rPr>
        <w:t>A</w:t>
      </w:r>
      <w:r w:rsidRPr="00845FBC">
        <w:rPr>
          <w:rFonts w:cs="Arial"/>
          <w:color w:val="000000"/>
        </w:rPr>
        <w:t>)</w:t>
      </w:r>
    </w:p>
    <w:p w14:paraId="7B2C264F" w14:textId="77777777" w:rsidR="00B336E3" w:rsidRPr="00845FBC" w:rsidRDefault="00B336E3" w:rsidP="00B336E3">
      <w:pPr>
        <w:pStyle w:val="Footer"/>
        <w:keepNext/>
        <w:tabs>
          <w:tab w:val="clear" w:pos="4320"/>
          <w:tab w:val="clear" w:pos="8640"/>
        </w:tabs>
        <w:rPr>
          <w:rFonts w:cs="Arial"/>
        </w:rPr>
      </w:pPr>
      <w:r w:rsidRPr="00845FBC">
        <w:rPr>
          <w:rFonts w:cs="Arial"/>
        </w:rPr>
        <w:t>___ Not identified</w:t>
      </w:r>
    </w:p>
    <w:p w14:paraId="67C69876" w14:textId="77777777" w:rsidR="00B336E3" w:rsidRPr="00845FBC" w:rsidRDefault="00B336E3" w:rsidP="00B336E3">
      <w:pPr>
        <w:keepNext/>
        <w:rPr>
          <w:rFonts w:cs="Arial"/>
        </w:rPr>
      </w:pPr>
      <w:r w:rsidRPr="00845FBC">
        <w:rPr>
          <w:rFonts w:cs="Arial"/>
        </w:rPr>
        <w:t>___ Present</w:t>
      </w:r>
    </w:p>
    <w:p w14:paraId="48D3D922" w14:textId="77777777" w:rsidR="00B336E3" w:rsidRPr="00845FBC" w:rsidRDefault="00B336E3" w:rsidP="00B336E3">
      <w:pPr>
        <w:keepNext/>
        <w:rPr>
          <w:rFonts w:cs="Arial"/>
        </w:rPr>
      </w:pPr>
      <w:r w:rsidRPr="00845FBC">
        <w:rPr>
          <w:rFonts w:cs="Arial"/>
        </w:rPr>
        <w:tab/>
        <w:t>Extent: ___%</w:t>
      </w:r>
    </w:p>
    <w:p w14:paraId="023DC745" w14:textId="77777777" w:rsidR="00B336E3" w:rsidRPr="00845FBC" w:rsidRDefault="00B336E3" w:rsidP="00B336E3">
      <w:pPr>
        <w:rPr>
          <w:rFonts w:cs="Arial"/>
        </w:rPr>
      </w:pPr>
      <w:r w:rsidRPr="00845FBC">
        <w:rPr>
          <w:rFonts w:cs="Arial"/>
        </w:rPr>
        <w:t>___ Cannot be determined</w:t>
      </w:r>
    </w:p>
    <w:p w14:paraId="17125459" w14:textId="77777777" w:rsidR="00B336E3" w:rsidRPr="00845FBC" w:rsidRDefault="00B336E3" w:rsidP="00B336E3">
      <w:pPr>
        <w:rPr>
          <w:rFonts w:cs="Arial"/>
        </w:rPr>
      </w:pPr>
    </w:p>
    <w:p w14:paraId="353A893E" w14:textId="164342B3" w:rsidR="00B336E3" w:rsidRPr="00845FBC" w:rsidRDefault="00B336E3" w:rsidP="00776309">
      <w:pPr>
        <w:pStyle w:val="Heading2"/>
        <w:rPr>
          <w:rFonts w:cs="Arial"/>
        </w:rPr>
      </w:pPr>
      <w:r w:rsidRPr="00845FBC">
        <w:rPr>
          <w:rFonts w:cs="Arial"/>
        </w:rPr>
        <w:t xml:space="preserve">Histologic Grade </w:t>
      </w:r>
      <w:r w:rsidRPr="00845FBC">
        <w:rPr>
          <w:rFonts w:cs="Arial"/>
          <w:color w:val="000000"/>
        </w:rPr>
        <w:t xml:space="preserve">(Note </w:t>
      </w:r>
      <w:r w:rsidR="00EA185B">
        <w:rPr>
          <w:rFonts w:cs="Arial"/>
          <w:color w:val="000000"/>
        </w:rPr>
        <w:t>F</w:t>
      </w:r>
      <w:r w:rsidRPr="00845FBC">
        <w:rPr>
          <w:rFonts w:cs="Arial"/>
          <w:color w:val="000000"/>
        </w:rPr>
        <w:t>)</w:t>
      </w:r>
    </w:p>
    <w:p w14:paraId="21AFCEC4" w14:textId="77777777" w:rsidR="00B23439" w:rsidRPr="00845FBC" w:rsidRDefault="00B23439" w:rsidP="00B23439">
      <w:pPr>
        <w:tabs>
          <w:tab w:val="left" w:pos="4200"/>
          <w:tab w:val="left" w:pos="9240"/>
        </w:tabs>
        <w:rPr>
          <w:rFonts w:cs="Arial"/>
        </w:rPr>
      </w:pPr>
      <w:r w:rsidRPr="00845FBC">
        <w:rPr>
          <w:rFonts w:cs="Arial"/>
        </w:rPr>
        <w:t>___ G1: Well differentiated</w:t>
      </w:r>
      <w:r w:rsidR="00E64C46" w:rsidRPr="00845FBC">
        <w:rPr>
          <w:rFonts w:cs="Arial"/>
        </w:rPr>
        <w:t>, low grade</w:t>
      </w:r>
    </w:p>
    <w:p w14:paraId="709BF45D" w14:textId="77777777" w:rsidR="00B23439" w:rsidRPr="00845FBC" w:rsidRDefault="00B23439" w:rsidP="00B336E3">
      <w:pPr>
        <w:tabs>
          <w:tab w:val="left" w:pos="4200"/>
          <w:tab w:val="left" w:pos="9240"/>
        </w:tabs>
        <w:rPr>
          <w:rFonts w:cs="Arial"/>
        </w:rPr>
      </w:pPr>
      <w:r w:rsidRPr="00845FBC">
        <w:rPr>
          <w:rFonts w:cs="Arial"/>
        </w:rPr>
        <w:t>___ G2: Mode</w:t>
      </w:r>
      <w:r w:rsidR="00E64C46" w:rsidRPr="00845FBC">
        <w:rPr>
          <w:rFonts w:cs="Arial"/>
        </w:rPr>
        <w:t xml:space="preserve">rately </w:t>
      </w:r>
      <w:r w:rsidRPr="00845FBC">
        <w:rPr>
          <w:rFonts w:cs="Arial"/>
        </w:rPr>
        <w:t>differentiated</w:t>
      </w:r>
      <w:r w:rsidR="00E64C46" w:rsidRPr="00845FBC">
        <w:rPr>
          <w:rFonts w:cs="Arial"/>
        </w:rPr>
        <w:t>, high grade</w:t>
      </w:r>
    </w:p>
    <w:p w14:paraId="29FA98B6" w14:textId="77777777" w:rsidR="00E64C46" w:rsidRPr="00845FBC" w:rsidRDefault="00E64C46" w:rsidP="00E64C46">
      <w:pPr>
        <w:tabs>
          <w:tab w:val="left" w:pos="4200"/>
          <w:tab w:val="left" w:pos="9240"/>
        </w:tabs>
        <w:rPr>
          <w:rFonts w:cs="Arial"/>
        </w:rPr>
      </w:pPr>
      <w:r w:rsidRPr="00845FBC">
        <w:rPr>
          <w:rFonts w:cs="Arial"/>
        </w:rPr>
        <w:t>___ G3: Poorly differentiated, high grade</w:t>
      </w:r>
    </w:p>
    <w:p w14:paraId="0DC13A96" w14:textId="77777777" w:rsidR="00427EE5" w:rsidRDefault="00427EE5" w:rsidP="00427EE5">
      <w:pPr>
        <w:tabs>
          <w:tab w:val="left" w:pos="4200"/>
          <w:tab w:val="left" w:pos="9240"/>
        </w:tabs>
        <w:rPr>
          <w:rFonts w:cs="Arial"/>
        </w:rPr>
      </w:pPr>
      <w:r w:rsidRPr="00845FBC">
        <w:rPr>
          <w:rFonts w:cs="Arial"/>
        </w:rPr>
        <w:t xml:space="preserve">___ GX: Cannot </w:t>
      </w:r>
      <w:r>
        <w:rPr>
          <w:rFonts w:cs="Arial"/>
        </w:rPr>
        <w:t>be assessed</w:t>
      </w:r>
    </w:p>
    <w:p w14:paraId="48F1565F" w14:textId="77777777" w:rsidR="009244CE" w:rsidRPr="00845FBC" w:rsidRDefault="009244CE" w:rsidP="00427EE5">
      <w:pPr>
        <w:tabs>
          <w:tab w:val="left" w:pos="4200"/>
          <w:tab w:val="left" w:pos="9240"/>
        </w:tabs>
        <w:rPr>
          <w:rFonts w:cs="Arial"/>
        </w:rPr>
      </w:pPr>
      <w:r>
        <w:rPr>
          <w:rFonts w:cs="Arial"/>
        </w:rPr>
        <w:lastRenderedPageBreak/>
        <w:t>___ Not applicable</w:t>
      </w:r>
    </w:p>
    <w:p w14:paraId="6D8B5818" w14:textId="77777777" w:rsidR="00B336E3" w:rsidRPr="00845FBC" w:rsidRDefault="00B336E3" w:rsidP="00B336E3">
      <w:pPr>
        <w:tabs>
          <w:tab w:val="left" w:pos="4200"/>
          <w:tab w:val="left" w:pos="9240"/>
        </w:tabs>
        <w:rPr>
          <w:rFonts w:cs="Arial"/>
        </w:rPr>
      </w:pPr>
    </w:p>
    <w:p w14:paraId="15BF8BE7" w14:textId="39FC431A" w:rsidR="00B336E3" w:rsidRPr="00442350" w:rsidRDefault="00F607D8" w:rsidP="00845FBC">
      <w:pPr>
        <w:pStyle w:val="Heading2"/>
        <w:rPr>
          <w:rFonts w:cs="Arial"/>
          <w:b w:val="0"/>
          <w:bCs/>
        </w:rPr>
      </w:pPr>
      <w:r w:rsidRPr="00442350">
        <w:rPr>
          <w:rFonts w:cs="Arial"/>
          <w:b w:val="0"/>
          <w:bCs/>
        </w:rPr>
        <w:t>Lymphov</w:t>
      </w:r>
      <w:r w:rsidR="00B336E3" w:rsidRPr="00442350">
        <w:rPr>
          <w:rFonts w:cs="Arial"/>
          <w:b w:val="0"/>
          <w:bCs/>
        </w:rPr>
        <w:t xml:space="preserve">ascular Invasion </w:t>
      </w:r>
      <w:r w:rsidR="00B336E3" w:rsidRPr="00442350">
        <w:rPr>
          <w:rFonts w:cs="Arial"/>
          <w:b w:val="0"/>
          <w:bCs/>
          <w:color w:val="000000"/>
        </w:rPr>
        <w:t xml:space="preserve">(Note </w:t>
      </w:r>
      <w:r w:rsidR="00EA185B" w:rsidRPr="00442350">
        <w:rPr>
          <w:rFonts w:cs="Arial"/>
          <w:b w:val="0"/>
          <w:bCs/>
          <w:color w:val="000000"/>
        </w:rPr>
        <w:t>G</w:t>
      </w:r>
      <w:r w:rsidR="00B336E3" w:rsidRPr="00442350">
        <w:rPr>
          <w:rFonts w:cs="Arial"/>
          <w:b w:val="0"/>
          <w:bCs/>
          <w:color w:val="000000"/>
        </w:rPr>
        <w:t>)</w:t>
      </w:r>
    </w:p>
    <w:p w14:paraId="7066E812" w14:textId="1DA70534" w:rsidR="00B336E3" w:rsidRPr="00845FBC" w:rsidRDefault="00B336E3" w:rsidP="00845FBC">
      <w:pPr>
        <w:pStyle w:val="Footer"/>
        <w:keepNext/>
        <w:tabs>
          <w:tab w:val="clear" w:pos="4320"/>
          <w:tab w:val="clear" w:pos="8640"/>
        </w:tabs>
        <w:rPr>
          <w:rFonts w:cs="Arial"/>
        </w:rPr>
      </w:pPr>
      <w:r w:rsidRPr="00845FBC">
        <w:rPr>
          <w:rFonts w:cs="Arial"/>
        </w:rPr>
        <w:t>___ Not identified</w:t>
      </w:r>
    </w:p>
    <w:p w14:paraId="36E1DB7F" w14:textId="2B7F5DAE" w:rsidR="00B336E3" w:rsidRPr="00845FBC" w:rsidRDefault="00B336E3" w:rsidP="00845FBC">
      <w:pPr>
        <w:pStyle w:val="Footer"/>
        <w:keepNext/>
        <w:tabs>
          <w:tab w:val="clear" w:pos="4320"/>
          <w:tab w:val="clear" w:pos="8640"/>
        </w:tabs>
        <w:rPr>
          <w:rFonts w:cs="Arial"/>
        </w:rPr>
      </w:pPr>
      <w:r w:rsidRPr="00845FBC">
        <w:rPr>
          <w:rFonts w:cs="Arial"/>
        </w:rPr>
        <w:t>___ Present</w:t>
      </w:r>
    </w:p>
    <w:p w14:paraId="11AE72C7" w14:textId="5039A21E" w:rsidR="00B336E3" w:rsidRPr="00845FBC" w:rsidRDefault="00B336E3" w:rsidP="00B336E3">
      <w:pPr>
        <w:rPr>
          <w:rFonts w:cs="Arial"/>
        </w:rPr>
      </w:pPr>
      <w:r w:rsidRPr="00845FBC">
        <w:rPr>
          <w:rFonts w:cs="Arial"/>
        </w:rPr>
        <w:t xml:space="preserve">___ </w:t>
      </w:r>
      <w:r w:rsidR="002C1308" w:rsidRPr="00845FBC">
        <w:rPr>
          <w:rFonts w:cs="Arial"/>
        </w:rPr>
        <w:t>Cannot be determined</w:t>
      </w:r>
    </w:p>
    <w:p w14:paraId="6C75F563" w14:textId="77777777" w:rsidR="00B336E3" w:rsidRPr="00845FBC" w:rsidRDefault="00B336E3" w:rsidP="00B336E3">
      <w:pPr>
        <w:pStyle w:val="Footer"/>
        <w:tabs>
          <w:tab w:val="clear" w:pos="4320"/>
          <w:tab w:val="clear" w:pos="8640"/>
        </w:tabs>
        <w:rPr>
          <w:rFonts w:cs="Arial"/>
        </w:rPr>
      </w:pPr>
    </w:p>
    <w:p w14:paraId="0453C08B" w14:textId="4E0D44CB" w:rsidR="00B336E3" w:rsidRPr="00442350" w:rsidRDefault="00B336E3" w:rsidP="00B336E3">
      <w:pPr>
        <w:pStyle w:val="Heading2"/>
        <w:rPr>
          <w:rFonts w:cs="Arial"/>
          <w:b w:val="0"/>
          <w:bCs/>
        </w:rPr>
      </w:pPr>
      <w:r w:rsidRPr="00442350">
        <w:rPr>
          <w:rFonts w:cs="Arial"/>
          <w:b w:val="0"/>
          <w:bCs/>
        </w:rPr>
        <w:t>Additional Pathologic Findings</w:t>
      </w:r>
    </w:p>
    <w:p w14:paraId="1C0E456D" w14:textId="6E150F29" w:rsidR="00B336E3" w:rsidRPr="00845FBC" w:rsidRDefault="00B336E3" w:rsidP="00B336E3">
      <w:pPr>
        <w:rPr>
          <w:rFonts w:cs="Arial"/>
        </w:rPr>
      </w:pPr>
      <w:r w:rsidRPr="00845FBC">
        <w:rPr>
          <w:rFonts w:cs="Arial"/>
        </w:rPr>
        <w:t xml:space="preserve">Specify: </w:t>
      </w:r>
      <w:r w:rsidRPr="00845FBC">
        <w:rPr>
          <w:rFonts w:cs="Arial"/>
          <w:kern w:val="20"/>
        </w:rPr>
        <w:t>____________________________</w:t>
      </w:r>
    </w:p>
    <w:p w14:paraId="6A8A3186" w14:textId="77777777" w:rsidR="00B336E3" w:rsidRPr="00845FBC" w:rsidRDefault="00B336E3" w:rsidP="00B336E3">
      <w:pPr>
        <w:rPr>
          <w:rFonts w:cs="Arial"/>
        </w:rPr>
      </w:pPr>
    </w:p>
    <w:p w14:paraId="529AD418" w14:textId="38F39BEB" w:rsidR="00B336E3" w:rsidRPr="00845FBC" w:rsidRDefault="00B336E3" w:rsidP="00B336E3">
      <w:pPr>
        <w:pStyle w:val="Heading2"/>
        <w:rPr>
          <w:rFonts w:cs="Arial"/>
        </w:rPr>
      </w:pPr>
      <w:r w:rsidRPr="00845FBC">
        <w:rPr>
          <w:rFonts w:cs="Arial"/>
        </w:rPr>
        <w:t xml:space="preserve">Ancillary Studies </w:t>
      </w:r>
      <w:r w:rsidR="00CC3B6D" w:rsidRPr="00845FBC">
        <w:rPr>
          <w:rFonts w:cs="Arial"/>
        </w:rPr>
        <w:t>(if applicable)</w:t>
      </w:r>
    </w:p>
    <w:p w14:paraId="18C78492" w14:textId="77777777" w:rsidR="00B336E3" w:rsidRPr="00845FBC" w:rsidRDefault="00B336E3" w:rsidP="00B336E3">
      <w:pPr>
        <w:rPr>
          <w:rFonts w:cs="Arial"/>
        </w:rPr>
      </w:pPr>
    </w:p>
    <w:p w14:paraId="3935A570" w14:textId="77777777" w:rsidR="00B336E3" w:rsidRPr="00845FBC" w:rsidRDefault="00B336E3" w:rsidP="00AC32AD">
      <w:pPr>
        <w:pStyle w:val="Heading3"/>
        <w:keepLines/>
        <w:tabs>
          <w:tab w:val="left" w:pos="1080"/>
        </w:tabs>
      </w:pPr>
      <w:r w:rsidRPr="00442350">
        <w:rPr>
          <w:rFonts w:cs="Arial"/>
          <w:u w:val="none"/>
        </w:rPr>
        <w:t>Immunohistochemistry</w:t>
      </w:r>
      <w:r w:rsidR="00AC32AD" w:rsidRPr="00523AB4">
        <w:rPr>
          <w:rFonts w:cs="Arial"/>
          <w:u w:val="none"/>
        </w:rPr>
        <w:t xml:space="preserve"> </w:t>
      </w:r>
      <w:r w:rsidR="00AC32AD" w:rsidRPr="00AC32AD">
        <w:rPr>
          <w:rFonts w:cs="Arial"/>
          <w:u w:val="none"/>
        </w:rPr>
        <w:t>(s</w:t>
      </w:r>
      <w:r w:rsidRPr="00AC32AD">
        <w:rPr>
          <w:u w:val="none"/>
        </w:rPr>
        <w:t>pecify</w:t>
      </w:r>
      <w:r w:rsidR="00AC32AD" w:rsidRPr="00AC32AD">
        <w:rPr>
          <w:u w:val="none"/>
        </w:rPr>
        <w:t>)</w:t>
      </w:r>
      <w:r w:rsidRPr="00AC32AD">
        <w:rPr>
          <w:u w:val="none"/>
        </w:rPr>
        <w:t>: ____________________________</w:t>
      </w:r>
    </w:p>
    <w:p w14:paraId="5A188FB4" w14:textId="77777777" w:rsidR="00B336E3" w:rsidRPr="00845FBC" w:rsidRDefault="00B336E3" w:rsidP="00B336E3">
      <w:pPr>
        <w:keepNext/>
        <w:keepLines/>
        <w:tabs>
          <w:tab w:val="left" w:pos="1080"/>
        </w:tabs>
        <w:rPr>
          <w:rFonts w:cs="Arial"/>
        </w:rPr>
      </w:pPr>
      <w:r w:rsidRPr="00845FBC">
        <w:rPr>
          <w:rFonts w:cs="Arial"/>
        </w:rPr>
        <w:t>___ Not performed</w:t>
      </w:r>
    </w:p>
    <w:p w14:paraId="7B4DDA4F" w14:textId="77777777" w:rsidR="00B336E3" w:rsidRPr="00845FBC" w:rsidRDefault="00B336E3" w:rsidP="00B336E3">
      <w:pPr>
        <w:keepNext/>
        <w:keepLines/>
        <w:tabs>
          <w:tab w:val="left" w:pos="1080"/>
        </w:tabs>
        <w:rPr>
          <w:rFonts w:cs="Arial"/>
        </w:rPr>
      </w:pPr>
    </w:p>
    <w:p w14:paraId="74BCF471" w14:textId="77777777" w:rsidR="00B336E3" w:rsidRPr="00523AB4" w:rsidRDefault="00B336E3" w:rsidP="00B336E3">
      <w:pPr>
        <w:rPr>
          <w:rFonts w:cs="Arial"/>
          <w:kern w:val="20"/>
        </w:rPr>
      </w:pPr>
      <w:r w:rsidRPr="00442350">
        <w:rPr>
          <w:rFonts w:cs="Arial"/>
          <w:kern w:val="20"/>
        </w:rPr>
        <w:t>Cytogenetics</w:t>
      </w:r>
      <w:r w:rsidR="00AC32AD" w:rsidRPr="00523AB4">
        <w:rPr>
          <w:rFonts w:cs="Arial"/>
          <w:kern w:val="20"/>
        </w:rPr>
        <w:t xml:space="preserve"> (s</w:t>
      </w:r>
      <w:r w:rsidRPr="00523AB4">
        <w:rPr>
          <w:rFonts w:cs="Arial"/>
          <w:kern w:val="20"/>
        </w:rPr>
        <w:t>pecify</w:t>
      </w:r>
      <w:r w:rsidR="00AC32AD" w:rsidRPr="00523AB4">
        <w:rPr>
          <w:rFonts w:cs="Arial"/>
          <w:kern w:val="20"/>
        </w:rPr>
        <w:t>)</w:t>
      </w:r>
      <w:r w:rsidRPr="00523AB4">
        <w:rPr>
          <w:rFonts w:cs="Arial"/>
          <w:kern w:val="20"/>
        </w:rPr>
        <w:t xml:space="preserve">: </w:t>
      </w:r>
      <w:r w:rsidRPr="00523AB4">
        <w:rPr>
          <w:rFonts w:cs="Arial"/>
        </w:rPr>
        <w:t>____________________________</w:t>
      </w:r>
    </w:p>
    <w:p w14:paraId="0FFA9B0D" w14:textId="77777777" w:rsidR="00B336E3" w:rsidRPr="00523AB4" w:rsidRDefault="00B336E3" w:rsidP="00B336E3">
      <w:pPr>
        <w:rPr>
          <w:rFonts w:cs="Arial"/>
          <w:kern w:val="20"/>
        </w:rPr>
      </w:pPr>
      <w:r w:rsidRPr="00523AB4">
        <w:rPr>
          <w:rFonts w:cs="Arial"/>
          <w:kern w:val="20"/>
        </w:rPr>
        <w:t>___ Not performed</w:t>
      </w:r>
    </w:p>
    <w:p w14:paraId="1C1AE8EA" w14:textId="77777777" w:rsidR="00B336E3" w:rsidRPr="00523AB4" w:rsidRDefault="00B336E3" w:rsidP="00B336E3">
      <w:pPr>
        <w:rPr>
          <w:rFonts w:cs="Arial"/>
          <w:kern w:val="20"/>
        </w:rPr>
      </w:pPr>
    </w:p>
    <w:p w14:paraId="4F660C68" w14:textId="77777777" w:rsidR="00B336E3" w:rsidRPr="00523AB4" w:rsidRDefault="00B336E3" w:rsidP="00B336E3">
      <w:pPr>
        <w:rPr>
          <w:rFonts w:cs="Arial"/>
          <w:kern w:val="20"/>
        </w:rPr>
      </w:pPr>
      <w:r w:rsidRPr="00442350">
        <w:rPr>
          <w:rFonts w:cs="Arial"/>
          <w:kern w:val="20"/>
        </w:rPr>
        <w:t>Molecular Pathology</w:t>
      </w:r>
      <w:r w:rsidR="00AC32AD" w:rsidRPr="00523AB4">
        <w:rPr>
          <w:rFonts w:cs="Arial"/>
          <w:kern w:val="20"/>
        </w:rPr>
        <w:t xml:space="preserve"> (s</w:t>
      </w:r>
      <w:r w:rsidRPr="00523AB4">
        <w:rPr>
          <w:rFonts w:cs="Arial"/>
          <w:kern w:val="20"/>
        </w:rPr>
        <w:t>pecify</w:t>
      </w:r>
      <w:r w:rsidR="00AC32AD" w:rsidRPr="00523AB4">
        <w:rPr>
          <w:rFonts w:cs="Arial"/>
          <w:kern w:val="20"/>
        </w:rPr>
        <w:t>)</w:t>
      </w:r>
      <w:r w:rsidRPr="00523AB4">
        <w:rPr>
          <w:rFonts w:cs="Arial"/>
          <w:kern w:val="20"/>
        </w:rPr>
        <w:t xml:space="preserve">: </w:t>
      </w:r>
      <w:r w:rsidRPr="00523AB4">
        <w:rPr>
          <w:rFonts w:cs="Arial"/>
        </w:rPr>
        <w:t>____________________________</w:t>
      </w:r>
    </w:p>
    <w:p w14:paraId="18F6E2DA" w14:textId="77777777" w:rsidR="00B336E3" w:rsidRPr="00523AB4" w:rsidRDefault="00B336E3" w:rsidP="00B336E3">
      <w:pPr>
        <w:rPr>
          <w:rFonts w:cs="Arial"/>
        </w:rPr>
      </w:pPr>
      <w:r w:rsidRPr="00523AB4">
        <w:rPr>
          <w:rFonts w:cs="Arial"/>
          <w:kern w:val="20"/>
        </w:rPr>
        <w:t>___ Not performed</w:t>
      </w:r>
    </w:p>
    <w:p w14:paraId="52697C57" w14:textId="77777777" w:rsidR="00B336E3" w:rsidRPr="00523AB4" w:rsidRDefault="00B336E3" w:rsidP="00B336E3">
      <w:pPr>
        <w:tabs>
          <w:tab w:val="left" w:pos="4200"/>
          <w:tab w:val="left" w:pos="9240"/>
        </w:tabs>
        <w:ind w:left="360" w:hanging="360"/>
        <w:rPr>
          <w:rFonts w:cs="Arial"/>
          <w:b/>
        </w:rPr>
      </w:pPr>
    </w:p>
    <w:p w14:paraId="33D409D2" w14:textId="4F1E8A5C" w:rsidR="00B336E3" w:rsidRPr="00442350" w:rsidRDefault="00B336E3" w:rsidP="00B336E3">
      <w:pPr>
        <w:pStyle w:val="Heading2"/>
        <w:rPr>
          <w:rFonts w:cs="Arial"/>
          <w:b w:val="0"/>
          <w:bCs/>
        </w:rPr>
      </w:pPr>
      <w:r w:rsidRPr="00442350">
        <w:rPr>
          <w:rFonts w:cs="Arial"/>
          <w:b w:val="0"/>
          <w:bCs/>
        </w:rPr>
        <w:t xml:space="preserve">Radiographic Findings </w:t>
      </w:r>
      <w:r w:rsidRPr="00442350">
        <w:rPr>
          <w:rFonts w:cs="Arial"/>
          <w:b w:val="0"/>
          <w:bCs/>
          <w:color w:val="000000"/>
        </w:rPr>
        <w:t xml:space="preserve">(Note </w:t>
      </w:r>
      <w:r w:rsidR="007140EC">
        <w:rPr>
          <w:rFonts w:cs="Arial"/>
          <w:b w:val="0"/>
          <w:bCs/>
          <w:color w:val="000000"/>
        </w:rPr>
        <w:t>C</w:t>
      </w:r>
      <w:r w:rsidRPr="00442350">
        <w:rPr>
          <w:rFonts w:cs="Arial"/>
          <w:b w:val="0"/>
          <w:bCs/>
          <w:color w:val="000000"/>
        </w:rPr>
        <w:t>)</w:t>
      </w:r>
    </w:p>
    <w:p w14:paraId="68898C90" w14:textId="61AED212" w:rsidR="00B336E3" w:rsidRPr="00845FBC" w:rsidRDefault="00B336E3" w:rsidP="00B336E3">
      <w:pPr>
        <w:rPr>
          <w:rFonts w:cs="Arial"/>
        </w:rPr>
      </w:pPr>
      <w:r w:rsidRPr="00845FBC">
        <w:rPr>
          <w:rFonts w:cs="Arial"/>
        </w:rPr>
        <w:t>Specify: __________________________________</w:t>
      </w:r>
    </w:p>
    <w:p w14:paraId="7FE250E4" w14:textId="0ABDF6E7" w:rsidR="00B336E3" w:rsidRPr="00845FBC" w:rsidRDefault="00B336E3" w:rsidP="00B336E3">
      <w:pPr>
        <w:rPr>
          <w:rFonts w:cs="Arial"/>
        </w:rPr>
      </w:pPr>
      <w:r w:rsidRPr="00845FBC">
        <w:rPr>
          <w:rFonts w:cs="Arial"/>
        </w:rPr>
        <w:t>___ Not available</w:t>
      </w:r>
    </w:p>
    <w:p w14:paraId="28464034" w14:textId="77777777" w:rsidR="00B336E3" w:rsidRPr="00845FBC" w:rsidRDefault="00B336E3" w:rsidP="00B336E3">
      <w:pPr>
        <w:rPr>
          <w:rFonts w:cs="Arial"/>
        </w:rPr>
      </w:pPr>
    </w:p>
    <w:p w14:paraId="2A19CAA8" w14:textId="34B5A0C9" w:rsidR="00B336E3" w:rsidRPr="00442350" w:rsidRDefault="00B336E3" w:rsidP="00B336E3">
      <w:pPr>
        <w:pStyle w:val="Heading2"/>
        <w:rPr>
          <w:rFonts w:cs="Arial"/>
          <w:b w:val="0"/>
          <w:bCs/>
        </w:rPr>
      </w:pPr>
      <w:r w:rsidRPr="00442350">
        <w:rPr>
          <w:rFonts w:cs="Arial"/>
          <w:b w:val="0"/>
          <w:bCs/>
        </w:rPr>
        <w:t>Comment(s)</w:t>
      </w:r>
    </w:p>
    <w:p w14:paraId="3A80589D" w14:textId="77777777" w:rsidR="00391E51" w:rsidRDefault="00391E51" w:rsidP="00391E51"/>
    <w:p w14:paraId="68D440BF" w14:textId="77777777" w:rsidR="00391E51" w:rsidRDefault="00391E51" w:rsidP="00391E51">
      <w:pPr>
        <w:sectPr w:rsidR="00391E51" w:rsidSect="0072709F">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14:paraId="31C4C4B1" w14:textId="77777777" w:rsidR="00391E51" w:rsidRPr="00932EA9" w:rsidRDefault="00391E51" w:rsidP="00442350"/>
    <w:p w14:paraId="28AB5564" w14:textId="77777777" w:rsidR="00B336E3" w:rsidRPr="00845FBC" w:rsidRDefault="00B336E3" w:rsidP="00B336E3">
      <w:pPr>
        <w:pStyle w:val="Head2"/>
        <w:rPr>
          <w:rFonts w:cs="Arial"/>
        </w:rPr>
      </w:pPr>
      <w:r w:rsidRPr="00845FBC">
        <w:rPr>
          <w:rFonts w:cs="Arial"/>
        </w:rPr>
        <w:t>Explanatory Notes</w:t>
      </w:r>
    </w:p>
    <w:p w14:paraId="4FF7AC9A" w14:textId="77777777" w:rsidR="00B336E3" w:rsidRPr="00845FBC" w:rsidRDefault="00B336E3" w:rsidP="00B336E3">
      <w:pPr>
        <w:rPr>
          <w:rFonts w:cs="Arial"/>
        </w:rPr>
      </w:pPr>
    </w:p>
    <w:p w14:paraId="6BA57087" w14:textId="77777777" w:rsidR="00EA185B" w:rsidRDefault="00EA185B" w:rsidP="00EA185B">
      <w:pPr>
        <w:rPr>
          <w:rFonts w:cs="Arial"/>
        </w:rPr>
      </w:pPr>
      <w:r w:rsidRPr="00845FBC">
        <w:rPr>
          <w:rFonts w:cs="Arial"/>
        </w:rPr>
        <w:t xml:space="preserve">These recommendations are used for all primary malignant tumors of bone except hematopoietic neoplasms, </w:t>
      </w:r>
      <w:proofErr w:type="spellStart"/>
      <w:r>
        <w:rPr>
          <w:rFonts w:cs="Arial"/>
        </w:rPr>
        <w:t>ie</w:t>
      </w:r>
      <w:proofErr w:type="spellEnd"/>
      <w:r>
        <w:rPr>
          <w:rFonts w:cs="Arial"/>
        </w:rPr>
        <w:t>,</w:t>
      </w:r>
      <w:r w:rsidRPr="00845FBC">
        <w:rPr>
          <w:rFonts w:cs="Arial"/>
        </w:rPr>
        <w:t xml:space="preserve"> lymphoma and plasma cell neoplasms. </w:t>
      </w:r>
    </w:p>
    <w:p w14:paraId="44DACA0D" w14:textId="77777777" w:rsidR="00EA185B" w:rsidRDefault="00EA185B" w:rsidP="00EA185B">
      <w:pPr>
        <w:pStyle w:val="Heading2"/>
        <w:rPr>
          <w:rFonts w:cs="Arial"/>
        </w:rPr>
      </w:pPr>
    </w:p>
    <w:p w14:paraId="18863ADA" w14:textId="77777777" w:rsidR="00EA185B" w:rsidRPr="00C32B64" w:rsidRDefault="00EA185B" w:rsidP="00EA185B">
      <w:pPr>
        <w:pStyle w:val="Heading2"/>
        <w:rPr>
          <w:rFonts w:cs="Arial"/>
        </w:rPr>
      </w:pPr>
      <w:r>
        <w:rPr>
          <w:rFonts w:cs="Arial"/>
        </w:rPr>
        <w:t>A</w:t>
      </w:r>
      <w:r w:rsidRPr="00845FBC">
        <w:rPr>
          <w:rFonts w:cs="Arial"/>
        </w:rPr>
        <w:t xml:space="preserve">.  </w:t>
      </w:r>
      <w:r>
        <w:rPr>
          <w:rFonts w:cs="Arial"/>
        </w:rPr>
        <w:t xml:space="preserve">Procedure / </w:t>
      </w:r>
      <w:r w:rsidRPr="00C32B64">
        <w:rPr>
          <w:rFonts w:cs="Arial"/>
        </w:rPr>
        <w:t>Tissue Processing</w:t>
      </w:r>
    </w:p>
    <w:p w14:paraId="708C86C6" w14:textId="77777777" w:rsidR="00EA185B" w:rsidRPr="00845FBC" w:rsidRDefault="00EA185B" w:rsidP="00EA185B">
      <w:pPr>
        <w:rPr>
          <w:rFonts w:cs="Arial"/>
        </w:rPr>
      </w:pPr>
      <w:r w:rsidRPr="00845FBC">
        <w:rPr>
          <w:rFonts w:cs="Arial"/>
        </w:rPr>
        <w:t>The following is a list of guidelines to be used in defining what type of procedure has been performed. This is based on the surgeon’s intent and not based on the pathologic assessment of the margins.</w:t>
      </w:r>
    </w:p>
    <w:p w14:paraId="5A1B4201" w14:textId="77777777" w:rsidR="00EA185B" w:rsidRPr="00845FBC" w:rsidRDefault="00EA185B" w:rsidP="00EA185B">
      <w:pPr>
        <w:rPr>
          <w:rFonts w:cs="Arial"/>
        </w:rPr>
      </w:pPr>
    </w:p>
    <w:p w14:paraId="62C005BD" w14:textId="77777777" w:rsidR="00EA185B" w:rsidRPr="00C32B64" w:rsidRDefault="00EA185B" w:rsidP="00EA185B">
      <w:pPr>
        <w:pStyle w:val="Heading3"/>
        <w:numPr>
          <w:ilvl w:val="0"/>
          <w:numId w:val="12"/>
        </w:numPr>
        <w:rPr>
          <w:rFonts w:cs="Arial"/>
          <w:u w:val="none"/>
        </w:rPr>
      </w:pPr>
      <w:r w:rsidRPr="00C32B64">
        <w:rPr>
          <w:rFonts w:cs="Arial"/>
          <w:b/>
          <w:u w:val="none"/>
        </w:rPr>
        <w:t>Intralesional Resection</w:t>
      </w:r>
      <w:r w:rsidRPr="00C32B64">
        <w:rPr>
          <w:rFonts w:cs="Arial"/>
          <w:bCs/>
          <w:u w:val="none"/>
        </w:rPr>
        <w:t xml:space="preserve">: </w:t>
      </w:r>
      <w:r w:rsidRPr="00C32B64">
        <w:rPr>
          <w:rFonts w:cs="Arial"/>
          <w:u w:val="none"/>
        </w:rPr>
        <w:t xml:space="preserve">Leaving gross tumor behind. Partial debulking or curettage are examples. </w:t>
      </w:r>
    </w:p>
    <w:p w14:paraId="7BA91AA5" w14:textId="77777777" w:rsidR="00EA185B" w:rsidRPr="00845FBC" w:rsidRDefault="00EA185B" w:rsidP="00EA185B">
      <w:pPr>
        <w:rPr>
          <w:rFonts w:cs="Arial"/>
        </w:rPr>
      </w:pPr>
    </w:p>
    <w:p w14:paraId="217016DE" w14:textId="77777777" w:rsidR="00EA185B" w:rsidRPr="00C32B64" w:rsidRDefault="00EA185B" w:rsidP="00EA185B">
      <w:pPr>
        <w:pStyle w:val="Heading3"/>
        <w:numPr>
          <w:ilvl w:val="0"/>
          <w:numId w:val="12"/>
        </w:numPr>
        <w:rPr>
          <w:rFonts w:cs="Arial"/>
          <w:u w:val="none"/>
        </w:rPr>
      </w:pPr>
      <w:r w:rsidRPr="00C32B64">
        <w:rPr>
          <w:rFonts w:cs="Arial"/>
          <w:b/>
          <w:u w:val="none"/>
        </w:rPr>
        <w:t>Marginal Resection:</w:t>
      </w:r>
      <w:r>
        <w:rPr>
          <w:rFonts w:cs="Arial"/>
          <w:bCs/>
          <w:u w:val="none"/>
        </w:rPr>
        <w:t xml:space="preserve"> </w:t>
      </w:r>
      <w:r w:rsidRPr="00C32B64">
        <w:rPr>
          <w:rFonts w:cs="Arial"/>
          <w:u w:val="none"/>
        </w:rPr>
        <w:t xml:space="preserve">Removing the tumor and its </w:t>
      </w:r>
      <w:proofErr w:type="spellStart"/>
      <w:r w:rsidRPr="00C32B64">
        <w:rPr>
          <w:rFonts w:cs="Arial"/>
          <w:u w:val="none"/>
        </w:rPr>
        <w:t>pseudocapsule</w:t>
      </w:r>
      <w:proofErr w:type="spellEnd"/>
      <w:r w:rsidRPr="00C32B64">
        <w:rPr>
          <w:rFonts w:cs="Arial"/>
          <w:u w:val="none"/>
        </w:rPr>
        <w:t xml:space="preserve"> with a relatively small amount of adjacent tissue. There is no gross tumor at the margin; however, microscopic tumor may be present. Note that occasionally, a surgeon will perform an “excisional” biopsy, which effectively accomplishes the same thing as a marginal resection.</w:t>
      </w:r>
    </w:p>
    <w:p w14:paraId="6429FDEA" w14:textId="77777777" w:rsidR="00EA185B" w:rsidRPr="00C32B64" w:rsidRDefault="00EA185B" w:rsidP="00EA185B">
      <w:pPr>
        <w:rPr>
          <w:rFonts w:cs="Arial"/>
          <w:b/>
        </w:rPr>
      </w:pPr>
    </w:p>
    <w:p w14:paraId="39FEEDD9" w14:textId="77777777" w:rsidR="00EA185B" w:rsidRPr="00C32B64" w:rsidRDefault="00EA185B" w:rsidP="00EA185B">
      <w:pPr>
        <w:pStyle w:val="Heading3"/>
        <w:numPr>
          <w:ilvl w:val="0"/>
          <w:numId w:val="12"/>
        </w:numPr>
        <w:rPr>
          <w:rFonts w:cs="Arial"/>
          <w:u w:val="none"/>
        </w:rPr>
      </w:pPr>
      <w:r w:rsidRPr="00C32B64">
        <w:rPr>
          <w:rFonts w:cs="Arial"/>
          <w:b/>
          <w:u w:val="none"/>
        </w:rPr>
        <w:t>Segmental/Wide Resection</w:t>
      </w:r>
      <w:r w:rsidRPr="00C32B64">
        <w:rPr>
          <w:rFonts w:cs="Arial"/>
          <w:bCs/>
          <w:u w:val="none"/>
        </w:rPr>
        <w:t xml:space="preserve">: </w:t>
      </w:r>
      <w:r w:rsidRPr="00C32B64">
        <w:rPr>
          <w:rFonts w:cs="Arial"/>
          <w:u w:val="none"/>
        </w:rPr>
        <w:t xml:space="preserve">An </w:t>
      </w:r>
      <w:proofErr w:type="spellStart"/>
      <w:r w:rsidRPr="00C32B64">
        <w:rPr>
          <w:rFonts w:cs="Arial"/>
          <w:u w:val="none"/>
        </w:rPr>
        <w:t>intracompartmental</w:t>
      </w:r>
      <w:proofErr w:type="spellEnd"/>
      <w:r w:rsidRPr="00C32B64">
        <w:rPr>
          <w:rFonts w:cs="Arial"/>
          <w:u w:val="none"/>
        </w:rPr>
        <w:t xml:space="preserve"> resection. A single piece of bone is resected, including the lesion and a cuff of normal bone. </w:t>
      </w:r>
    </w:p>
    <w:p w14:paraId="03F770A2" w14:textId="77777777" w:rsidR="00EA185B" w:rsidRPr="00A16DE0" w:rsidRDefault="00EA185B" w:rsidP="00EA185B">
      <w:pPr>
        <w:rPr>
          <w:rFonts w:cs="Arial"/>
        </w:rPr>
      </w:pPr>
    </w:p>
    <w:p w14:paraId="46A89F50" w14:textId="77777777" w:rsidR="00EA185B" w:rsidRPr="00C32B64" w:rsidRDefault="00EA185B" w:rsidP="00EA185B">
      <w:pPr>
        <w:pStyle w:val="Heading3"/>
        <w:numPr>
          <w:ilvl w:val="0"/>
          <w:numId w:val="12"/>
        </w:numPr>
        <w:rPr>
          <w:rFonts w:cs="Arial"/>
          <w:bCs/>
          <w:u w:val="none"/>
        </w:rPr>
      </w:pPr>
      <w:r w:rsidRPr="00C32B64">
        <w:rPr>
          <w:rFonts w:cs="Arial"/>
          <w:b/>
          <w:u w:val="none"/>
        </w:rPr>
        <w:t>Radical Resection:</w:t>
      </w:r>
      <w:r w:rsidRPr="00C32B64">
        <w:rPr>
          <w:rFonts w:cs="Arial"/>
          <w:bCs/>
          <w:u w:val="none"/>
        </w:rPr>
        <w:t xml:space="preserve"> The removal of an entire bone, or the excision of the adjacent muscle groups if the tumor is </w:t>
      </w:r>
      <w:proofErr w:type="spellStart"/>
      <w:r w:rsidRPr="00C32B64">
        <w:rPr>
          <w:rFonts w:cs="Arial"/>
          <w:bCs/>
          <w:u w:val="none"/>
        </w:rPr>
        <w:t>extracompartmental</w:t>
      </w:r>
      <w:proofErr w:type="spellEnd"/>
    </w:p>
    <w:p w14:paraId="4DF49D33" w14:textId="77777777" w:rsidR="00EA185B" w:rsidRDefault="00EA185B" w:rsidP="00EA185B">
      <w:pPr>
        <w:pStyle w:val="Heading2"/>
        <w:rPr>
          <w:rFonts w:cs="Arial"/>
          <w:b w:val="0"/>
          <w:bCs/>
          <w:u w:val="single"/>
        </w:rPr>
      </w:pPr>
    </w:p>
    <w:p w14:paraId="3C3F7EE6" w14:textId="77777777" w:rsidR="00EA185B" w:rsidRPr="00C32B64" w:rsidRDefault="00EA185B" w:rsidP="00EA185B">
      <w:pPr>
        <w:pStyle w:val="Heading2"/>
        <w:rPr>
          <w:rFonts w:cs="Arial"/>
          <w:b w:val="0"/>
          <w:bCs/>
          <w:u w:val="single"/>
        </w:rPr>
      </w:pPr>
      <w:r w:rsidRPr="00C32B64">
        <w:rPr>
          <w:rFonts w:cs="Arial"/>
          <w:b w:val="0"/>
          <w:bCs/>
          <w:u w:val="single"/>
        </w:rPr>
        <w:t>Fixation</w:t>
      </w:r>
    </w:p>
    <w:p w14:paraId="6AF4216F" w14:textId="77777777" w:rsidR="00EA185B" w:rsidRPr="00845FBC" w:rsidRDefault="00EA185B" w:rsidP="00EA185B">
      <w:pPr>
        <w:rPr>
          <w:rFonts w:cs="Arial"/>
        </w:rPr>
      </w:pPr>
      <w:r w:rsidRPr="00845FBC">
        <w:rPr>
          <w:rFonts w:cs="Arial"/>
        </w:rPr>
        <w:t xml:space="preserve">Tissue specimens from bone tumors optimally are received fresh/unfixed because of the importance of ancillary studies, such as cytogenetics, which require fresh tissue. </w:t>
      </w:r>
    </w:p>
    <w:p w14:paraId="32B37E09" w14:textId="77777777" w:rsidR="00EA185B" w:rsidRPr="00845FBC" w:rsidRDefault="00EA185B" w:rsidP="00EA185B">
      <w:pPr>
        <w:rPr>
          <w:rFonts w:cs="Arial"/>
        </w:rPr>
      </w:pPr>
    </w:p>
    <w:p w14:paraId="2AF6E986" w14:textId="77777777" w:rsidR="00EA185B" w:rsidRPr="00C32B64" w:rsidRDefault="00EA185B" w:rsidP="00EA185B">
      <w:pPr>
        <w:pStyle w:val="Heading2"/>
        <w:rPr>
          <w:rFonts w:cs="Arial"/>
          <w:b w:val="0"/>
          <w:bCs/>
          <w:u w:val="single"/>
        </w:rPr>
      </w:pPr>
      <w:r w:rsidRPr="00C32B64">
        <w:rPr>
          <w:rFonts w:cs="Arial"/>
          <w:b w:val="0"/>
          <w:bCs/>
          <w:u w:val="single"/>
        </w:rPr>
        <w:t>Tissue Submission for Histologic Evaluation</w:t>
      </w:r>
    </w:p>
    <w:p w14:paraId="5D6993BE" w14:textId="366D58D7" w:rsidR="00EA185B" w:rsidRPr="00845FBC" w:rsidRDefault="00EA185B" w:rsidP="00EA185B">
      <w:pPr>
        <w:rPr>
          <w:rFonts w:cs="Arial"/>
        </w:rPr>
      </w:pPr>
      <w:r w:rsidRPr="00845FBC">
        <w:rPr>
          <w:rFonts w:cs="Arial"/>
        </w:rP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w:t>
      </w:r>
      <w:r>
        <w:rPr>
          <w:rFonts w:cs="Arial"/>
        </w:rPr>
        <w:t xml:space="preserve"> need to </w:t>
      </w:r>
      <w:r w:rsidRPr="00845FBC">
        <w:rPr>
          <w:rFonts w:cs="Arial"/>
        </w:rPr>
        <w:t>submit more than 1 section of necrotic tumor (always with a transition to viable tumor), with the exception of chemotherapy effect on osteosarcomas and Ewing sarcoma.</w:t>
      </w:r>
      <w:r w:rsidR="009B3B71">
        <w:rPr>
          <w:rFonts w:cs="Arial"/>
          <w:vertAlign w:val="superscript"/>
        </w:rPr>
        <w:t>1,2</w:t>
      </w:r>
      <w:r w:rsidRPr="00845FBC">
        <w:rPr>
          <w:rFonts w:cs="Arial"/>
        </w:rPr>
        <w:t xml:space="preserve">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w:t>
      </w:r>
      <w:r>
        <w:rPr>
          <w:rFonts w:cs="Arial"/>
        </w:rPr>
        <w:t xml:space="preserve">general, most tumors require 12 </w:t>
      </w:r>
      <w:r w:rsidRPr="00845FBC">
        <w:rPr>
          <w:rFonts w:cs="Arial"/>
        </w:rPr>
        <w:t xml:space="preserve">sections or fewer, excluding margins. Tumors with greater </w:t>
      </w:r>
      <w:r>
        <w:rPr>
          <w:rFonts w:cs="Arial"/>
        </w:rPr>
        <w:t xml:space="preserve">areas of heterogeneity may need </w:t>
      </w:r>
      <w:r w:rsidRPr="00845FBC">
        <w:rPr>
          <w:rFonts w:cs="Arial"/>
        </w:rPr>
        <w:t xml:space="preserve">to be sampled more thoroughly. </w:t>
      </w:r>
    </w:p>
    <w:p w14:paraId="3655C69A" w14:textId="77777777" w:rsidR="00EA185B" w:rsidRPr="00845FBC" w:rsidRDefault="00EA185B" w:rsidP="00EA185B">
      <w:pPr>
        <w:rPr>
          <w:rFonts w:cs="Arial"/>
        </w:rPr>
      </w:pPr>
    </w:p>
    <w:p w14:paraId="13B0CEFA" w14:textId="77777777" w:rsidR="00EA185B" w:rsidRPr="00845FBC" w:rsidRDefault="00EA185B" w:rsidP="00EA185B">
      <w:pPr>
        <w:rPr>
          <w:rFonts w:cs="Arial"/>
        </w:rPr>
      </w:pPr>
      <w:r w:rsidRPr="00845FBC">
        <w:rPr>
          <w:rFonts w:cs="Arial"/>
        </w:rPr>
        <w:t>Fresh tissue for special studies should be submitted at the time the specimen is received. Note that classification of many subtypes of sarcoma is not dependent upon special studies, such as cytogenetics or molecular genetics, but frozen tissue may be needed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0100F5CF" w14:textId="77777777" w:rsidR="00EA185B" w:rsidRPr="00845FBC" w:rsidRDefault="00EA185B" w:rsidP="00EA185B">
      <w:pPr>
        <w:rPr>
          <w:rFonts w:cs="Arial"/>
        </w:rPr>
      </w:pPr>
    </w:p>
    <w:p w14:paraId="1CE2C764" w14:textId="77777777" w:rsidR="00EA185B" w:rsidRPr="00C32B64" w:rsidRDefault="00EA185B" w:rsidP="00EA185B">
      <w:pPr>
        <w:pStyle w:val="Heading2"/>
        <w:rPr>
          <w:rFonts w:cs="Arial"/>
          <w:b w:val="0"/>
          <w:bCs/>
          <w:u w:val="single"/>
        </w:rPr>
      </w:pPr>
      <w:r w:rsidRPr="00C32B64">
        <w:rPr>
          <w:rFonts w:cs="Arial"/>
          <w:b w:val="0"/>
          <w:bCs/>
          <w:u w:val="single"/>
        </w:rPr>
        <w:t>Molecular Studies</w:t>
      </w:r>
    </w:p>
    <w:p w14:paraId="4307FBDB" w14:textId="77777777" w:rsidR="00EA185B" w:rsidRPr="00845FBC" w:rsidRDefault="00EA185B" w:rsidP="00EA185B">
      <w:pPr>
        <w:rPr>
          <w:rFonts w:cs="Arial"/>
        </w:rPr>
      </w:pPr>
      <w:r w:rsidRPr="00845FBC">
        <w:rPr>
          <w:rFonts w:cs="Arial"/>
        </w:rPr>
        <w:t>It is important to snap freeze a small portion of tissue whenever possible. This tiss</w:t>
      </w:r>
      <w:r>
        <w:rPr>
          <w:rFonts w:cs="Arial"/>
        </w:rPr>
        <w:t xml:space="preserve">ue can be used for a variety of </w:t>
      </w:r>
      <w:r w:rsidRPr="00845FBC">
        <w:rPr>
          <w:rFonts w:cs="Arial"/>
        </w:rPr>
        <w:t>molecular assays for tumor-specific molecular translocations (see Table 1) that help in classifying bone tumors.</w:t>
      </w:r>
      <w:r w:rsidRPr="00815700">
        <w:rPr>
          <w:rFonts w:cs="Arial"/>
          <w:vertAlign w:val="superscript"/>
        </w:rPr>
        <w:t>3,4</w:t>
      </w:r>
      <w:r w:rsidRPr="00845FBC">
        <w:rPr>
          <w:rFonts w:cs="Arial"/>
        </w:rPr>
        <w:t xml:space="preserve"> In addition, treatment protocols increasingly require fresh tissue for corre</w:t>
      </w:r>
      <w:r>
        <w:rPr>
          <w:rFonts w:cs="Arial"/>
        </w:rPr>
        <w:t xml:space="preserve">lative studies. Approximately 1 </w:t>
      </w:r>
      <w:r w:rsidRPr="00845FBC">
        <w:rPr>
          <w:rFonts w:cs="Arial"/>
        </w:rPr>
        <w:t>cm</w:t>
      </w:r>
      <w:r w:rsidRPr="00845FBC">
        <w:rPr>
          <w:rFonts w:cs="Arial"/>
          <w:vertAlign w:val="superscript"/>
        </w:rPr>
        <w:t xml:space="preserve">3 </w:t>
      </w:r>
      <w:r w:rsidRPr="00845FBC">
        <w:rPr>
          <w:rFonts w:cs="Arial"/>
        </w:rPr>
        <w:t>of fresh tissue (less is acceptable for small specimens, including core biopsies) should be cut into small, 0.2</w:t>
      </w:r>
      <w:r>
        <w:rPr>
          <w:rFonts w:cs="Arial"/>
        </w:rPr>
        <w:t>-</w:t>
      </w:r>
      <w:r w:rsidRPr="00845FBC">
        <w:rPr>
          <w:rFonts w:cs="Arial"/>
        </w:rPr>
        <w:t xml:space="preserve">cm fragments, reserving </w:t>
      </w:r>
      <w:proofErr w:type="gramStart"/>
      <w:r w:rsidRPr="00845FBC">
        <w:rPr>
          <w:rFonts w:cs="Arial"/>
        </w:rPr>
        <w:t>sufficient</w:t>
      </w:r>
      <w:proofErr w:type="gramEnd"/>
      <w:r w:rsidRPr="00845FBC">
        <w:rPr>
          <w:rFonts w:cs="Arial"/>
        </w:rPr>
        <w:t xml:space="preserve"> tissue for histologic examination. This frozen tis</w:t>
      </w:r>
      <w:r>
        <w:rPr>
          <w:rFonts w:cs="Arial"/>
        </w:rPr>
        <w:t>sue should ideally be stored at minus (-)</w:t>
      </w:r>
      <w:r w:rsidRPr="00845FBC">
        <w:rPr>
          <w:rFonts w:cs="Arial"/>
        </w:rPr>
        <w:t>70</w:t>
      </w:r>
      <w:r w:rsidRPr="00845FBC">
        <w:rPr>
          <w:rFonts w:cs="Arial"/>
          <w:vertAlign w:val="superscript"/>
        </w:rPr>
        <w:t>o</w:t>
      </w:r>
      <w:r w:rsidRPr="00845FBC">
        <w:rPr>
          <w:rFonts w:cs="Arial"/>
        </w:rPr>
        <w:t>C and can be shipped on dry ice to facilities that perform molecular analysis.</w:t>
      </w:r>
    </w:p>
    <w:p w14:paraId="2455CC33" w14:textId="77777777" w:rsidR="00EA185B" w:rsidRPr="00845FBC" w:rsidRDefault="00EA185B" w:rsidP="00EA185B">
      <w:pPr>
        <w:rPr>
          <w:rFonts w:cs="Arial"/>
        </w:rPr>
      </w:pPr>
    </w:p>
    <w:p w14:paraId="0A879533" w14:textId="77777777" w:rsidR="00EA185B" w:rsidRPr="00845FBC" w:rsidRDefault="00EA185B" w:rsidP="00EA185B">
      <w:pPr>
        <w:pStyle w:val="Heading2"/>
        <w:spacing w:after="60"/>
        <w:rPr>
          <w:rFonts w:cs="Arial"/>
        </w:rPr>
      </w:pPr>
      <w:r w:rsidRPr="00845FBC">
        <w:rPr>
          <w:rFonts w:cs="Arial"/>
        </w:rPr>
        <w:lastRenderedPageBreak/>
        <w:t>Table 1. Characteristic Cytogenetic and Molecular Events of Bone Tumors</w:t>
      </w:r>
    </w:p>
    <w:tbl>
      <w:tblPr>
        <w:tblW w:w="0" w:type="auto"/>
        <w:tblInd w:w="-1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180"/>
        <w:gridCol w:w="1900"/>
        <w:gridCol w:w="3235"/>
        <w:gridCol w:w="2340"/>
      </w:tblGrid>
      <w:tr w:rsidR="00EA185B" w:rsidRPr="00845FBC" w14:paraId="498B1AFB" w14:textId="77777777" w:rsidTr="009B3B71">
        <w:trPr>
          <w:cantSplit/>
          <w:trHeight w:val="210"/>
          <w:tblHeader/>
        </w:trPr>
        <w:tc>
          <w:tcPr>
            <w:tcW w:w="3080" w:type="dxa"/>
            <w:gridSpan w:val="2"/>
            <w:tcBorders>
              <w:top w:val="single" w:sz="4" w:space="0" w:color="auto"/>
              <w:bottom w:val="single" w:sz="4" w:space="0" w:color="auto"/>
            </w:tcBorders>
            <w:vAlign w:val="bottom"/>
          </w:tcPr>
          <w:p w14:paraId="0E7382BF" w14:textId="77777777" w:rsidR="00EA185B" w:rsidRPr="00845FBC" w:rsidRDefault="00EA185B" w:rsidP="009B3B71">
            <w:pPr>
              <w:keepNext/>
              <w:keepLines/>
              <w:spacing w:before="60" w:after="60"/>
              <w:rPr>
                <w:rFonts w:eastAsia="Arial Unicode MS" w:cs="Arial"/>
                <w:b/>
              </w:rPr>
            </w:pPr>
            <w:r w:rsidRPr="00845FBC">
              <w:rPr>
                <w:rFonts w:cs="Arial"/>
                <w:b/>
              </w:rPr>
              <w:t>Histologic Type </w:t>
            </w:r>
          </w:p>
        </w:tc>
        <w:tc>
          <w:tcPr>
            <w:tcW w:w="3235" w:type="dxa"/>
            <w:tcBorders>
              <w:top w:val="single" w:sz="4" w:space="0" w:color="auto"/>
              <w:bottom w:val="single" w:sz="4" w:space="0" w:color="auto"/>
            </w:tcBorders>
            <w:vAlign w:val="bottom"/>
          </w:tcPr>
          <w:p w14:paraId="006B9C3A" w14:textId="77777777" w:rsidR="00EA185B" w:rsidRPr="00845FBC" w:rsidRDefault="00EA185B" w:rsidP="009B3B71">
            <w:pPr>
              <w:keepNext/>
              <w:keepLines/>
              <w:spacing w:before="60" w:after="60"/>
              <w:rPr>
                <w:rFonts w:eastAsia="Arial Unicode MS" w:cs="Arial"/>
                <w:b/>
              </w:rPr>
            </w:pPr>
            <w:r w:rsidRPr="00845FBC">
              <w:rPr>
                <w:rFonts w:cs="Arial"/>
                <w:b/>
              </w:rPr>
              <w:t>Cytogenetic Events</w:t>
            </w:r>
          </w:p>
        </w:tc>
        <w:tc>
          <w:tcPr>
            <w:tcW w:w="2340" w:type="dxa"/>
            <w:tcBorders>
              <w:top w:val="single" w:sz="4" w:space="0" w:color="auto"/>
              <w:bottom w:val="single" w:sz="4" w:space="0" w:color="auto"/>
            </w:tcBorders>
            <w:vAlign w:val="bottom"/>
          </w:tcPr>
          <w:p w14:paraId="3B551172" w14:textId="77777777" w:rsidR="00EA185B" w:rsidRPr="00845FBC" w:rsidRDefault="00EA185B" w:rsidP="009B3B71">
            <w:pPr>
              <w:keepNext/>
              <w:keepLines/>
              <w:spacing w:before="60" w:after="60"/>
              <w:rPr>
                <w:rFonts w:eastAsia="Arial Unicode MS" w:cs="Arial"/>
                <w:b/>
              </w:rPr>
            </w:pPr>
            <w:r w:rsidRPr="00845FBC">
              <w:rPr>
                <w:rFonts w:cs="Arial"/>
                <w:b/>
              </w:rPr>
              <w:t>Molecular Events</w:t>
            </w:r>
          </w:p>
        </w:tc>
      </w:tr>
      <w:tr w:rsidR="00EA185B" w:rsidRPr="00845FBC" w14:paraId="6BD50862" w14:textId="77777777" w:rsidTr="009B3B71">
        <w:trPr>
          <w:trHeight w:val="225"/>
        </w:trPr>
        <w:tc>
          <w:tcPr>
            <w:tcW w:w="3080" w:type="dxa"/>
            <w:gridSpan w:val="2"/>
            <w:tcBorders>
              <w:top w:val="single" w:sz="4" w:space="0" w:color="auto"/>
            </w:tcBorders>
            <w:vAlign w:val="bottom"/>
          </w:tcPr>
          <w:p w14:paraId="7896E8F2" w14:textId="77777777" w:rsidR="00EA185B" w:rsidRPr="00845FBC" w:rsidRDefault="00EA185B" w:rsidP="009B3B71">
            <w:pPr>
              <w:pStyle w:val="NormalTableText"/>
              <w:keepNext/>
              <w:keepLines/>
              <w:spacing w:before="60"/>
              <w:rPr>
                <w:rFonts w:cs="Arial"/>
                <w:szCs w:val="18"/>
              </w:rPr>
            </w:pPr>
            <w:r w:rsidRPr="00845FBC">
              <w:rPr>
                <w:rFonts w:cs="Arial"/>
                <w:szCs w:val="18"/>
              </w:rPr>
              <w:t>Chondrosarcoma of bone</w:t>
            </w:r>
          </w:p>
        </w:tc>
        <w:tc>
          <w:tcPr>
            <w:tcW w:w="3235" w:type="dxa"/>
            <w:tcBorders>
              <w:top w:val="single" w:sz="4" w:space="0" w:color="auto"/>
            </w:tcBorders>
            <w:vAlign w:val="bottom"/>
          </w:tcPr>
          <w:p w14:paraId="50737CFB" w14:textId="77777777" w:rsidR="00EA185B" w:rsidRPr="00845FBC" w:rsidRDefault="00EA185B" w:rsidP="009B3B71">
            <w:pPr>
              <w:pStyle w:val="NormalTableText"/>
              <w:keepNext/>
              <w:keepLines/>
              <w:spacing w:before="60"/>
              <w:rPr>
                <w:rFonts w:cs="Arial"/>
                <w:szCs w:val="18"/>
              </w:rPr>
            </w:pPr>
            <w:r w:rsidRPr="00845FBC">
              <w:rPr>
                <w:rFonts w:cs="Arial"/>
                <w:szCs w:val="18"/>
              </w:rPr>
              <w:t>Complex</w:t>
            </w:r>
          </w:p>
        </w:tc>
        <w:tc>
          <w:tcPr>
            <w:tcW w:w="2340" w:type="dxa"/>
            <w:tcBorders>
              <w:top w:val="single" w:sz="4" w:space="0" w:color="auto"/>
            </w:tcBorders>
            <w:vAlign w:val="bottom"/>
          </w:tcPr>
          <w:p w14:paraId="798E86C4" w14:textId="77777777" w:rsidR="00EA185B" w:rsidRPr="00845FBC" w:rsidRDefault="00EA185B" w:rsidP="009B3B71">
            <w:pPr>
              <w:pStyle w:val="NormalTableText"/>
              <w:keepNext/>
              <w:keepLines/>
              <w:spacing w:before="60"/>
              <w:rPr>
                <w:rFonts w:cs="Arial"/>
                <w:szCs w:val="18"/>
              </w:rPr>
            </w:pPr>
            <w:r w:rsidRPr="00845FBC">
              <w:rPr>
                <w:rFonts w:cs="Arial"/>
                <w:i/>
                <w:szCs w:val="18"/>
              </w:rPr>
              <w:t xml:space="preserve">IDH1 </w:t>
            </w:r>
            <w:r w:rsidRPr="00845FBC">
              <w:rPr>
                <w:rFonts w:cs="Arial"/>
                <w:szCs w:val="18"/>
              </w:rPr>
              <w:t xml:space="preserve">and </w:t>
            </w:r>
            <w:r w:rsidRPr="00845FBC">
              <w:rPr>
                <w:rFonts w:cs="Arial"/>
                <w:i/>
                <w:szCs w:val="18"/>
              </w:rPr>
              <w:t xml:space="preserve">IDH2 </w:t>
            </w:r>
            <w:r w:rsidRPr="00845FBC">
              <w:rPr>
                <w:rFonts w:cs="Arial"/>
                <w:szCs w:val="18"/>
              </w:rPr>
              <w:t>mutations</w:t>
            </w:r>
          </w:p>
        </w:tc>
      </w:tr>
      <w:tr w:rsidR="00EA185B" w:rsidRPr="00845FBC" w14:paraId="34D724EC" w14:textId="77777777" w:rsidTr="009B3B71">
        <w:trPr>
          <w:trHeight w:val="225"/>
        </w:trPr>
        <w:tc>
          <w:tcPr>
            <w:tcW w:w="3080" w:type="dxa"/>
            <w:gridSpan w:val="2"/>
            <w:vAlign w:val="bottom"/>
          </w:tcPr>
          <w:p w14:paraId="66AF891E" w14:textId="77777777" w:rsidR="00EA185B" w:rsidRPr="00845FBC" w:rsidRDefault="00EA185B" w:rsidP="009B3B71">
            <w:pPr>
              <w:pStyle w:val="NormalTableText"/>
              <w:keepNext/>
              <w:keepLines/>
              <w:spacing w:before="60"/>
              <w:rPr>
                <w:rFonts w:cs="Arial"/>
                <w:szCs w:val="18"/>
              </w:rPr>
            </w:pPr>
            <w:r w:rsidRPr="00845FBC">
              <w:rPr>
                <w:rFonts w:cs="Arial"/>
                <w:szCs w:val="18"/>
              </w:rPr>
              <w:t>Ewing sarcoma</w:t>
            </w:r>
          </w:p>
        </w:tc>
        <w:tc>
          <w:tcPr>
            <w:tcW w:w="3235" w:type="dxa"/>
            <w:vAlign w:val="bottom"/>
          </w:tcPr>
          <w:p w14:paraId="772C24ED" w14:textId="77777777" w:rsidR="00EA185B" w:rsidRPr="00845FBC" w:rsidRDefault="00EA185B" w:rsidP="009B3B71">
            <w:pPr>
              <w:pStyle w:val="NormalTableText"/>
              <w:keepNext/>
              <w:keepLines/>
              <w:spacing w:before="60"/>
              <w:rPr>
                <w:rFonts w:cs="Arial"/>
                <w:szCs w:val="18"/>
              </w:rPr>
            </w:pPr>
            <w:r w:rsidRPr="00845FBC">
              <w:rPr>
                <w:rFonts w:cs="Arial"/>
                <w:szCs w:val="18"/>
              </w:rPr>
              <w:t>t(11;</w:t>
            </w:r>
            <w:proofErr w:type="gramStart"/>
            <w:r w:rsidRPr="00845FBC">
              <w:rPr>
                <w:rFonts w:cs="Arial"/>
                <w:szCs w:val="18"/>
              </w:rPr>
              <w:t>22)(</w:t>
            </w:r>
            <w:proofErr w:type="gramEnd"/>
            <w:r w:rsidRPr="00845FBC">
              <w:rPr>
                <w:rFonts w:cs="Arial"/>
                <w:szCs w:val="18"/>
              </w:rPr>
              <w:t>q24;q12)</w:t>
            </w:r>
          </w:p>
        </w:tc>
        <w:tc>
          <w:tcPr>
            <w:tcW w:w="2340" w:type="dxa"/>
            <w:vAlign w:val="bottom"/>
          </w:tcPr>
          <w:p w14:paraId="7391A0EA" w14:textId="77777777" w:rsidR="00EA185B" w:rsidRPr="00845FBC" w:rsidRDefault="00EA185B" w:rsidP="009B3B71">
            <w:pPr>
              <w:pStyle w:val="NormalTableText"/>
              <w:keepNext/>
              <w:keepLines/>
              <w:spacing w:before="60"/>
              <w:rPr>
                <w:rFonts w:cs="Arial"/>
                <w:szCs w:val="18"/>
              </w:rPr>
            </w:pPr>
            <w:r w:rsidRPr="00845FBC">
              <w:rPr>
                <w:rFonts w:cs="Arial"/>
                <w:i/>
                <w:szCs w:val="18"/>
              </w:rPr>
              <w:t>EWSR1-FLI1</w:t>
            </w:r>
            <w:r w:rsidRPr="00845FBC">
              <w:rPr>
                <w:rFonts w:cs="Arial"/>
                <w:szCs w:val="18"/>
              </w:rPr>
              <w:t xml:space="preserve"> fusion</w:t>
            </w:r>
          </w:p>
        </w:tc>
      </w:tr>
      <w:tr w:rsidR="00EA185B" w:rsidRPr="00845FBC" w14:paraId="1E8A26B6" w14:textId="77777777" w:rsidTr="009B3B71">
        <w:trPr>
          <w:trHeight w:val="225"/>
        </w:trPr>
        <w:tc>
          <w:tcPr>
            <w:tcW w:w="1180" w:type="dxa"/>
            <w:vAlign w:val="bottom"/>
          </w:tcPr>
          <w:p w14:paraId="3CB04B93"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52501813"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65B86A4A"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t(21;</w:t>
            </w:r>
            <w:proofErr w:type="gramStart"/>
            <w:r w:rsidRPr="00845FBC">
              <w:rPr>
                <w:rFonts w:cs="Arial"/>
                <w:szCs w:val="18"/>
              </w:rPr>
              <w:t>22)(</w:t>
            </w:r>
            <w:proofErr w:type="gramEnd"/>
            <w:r w:rsidRPr="00845FBC">
              <w:rPr>
                <w:rFonts w:cs="Arial"/>
                <w:szCs w:val="18"/>
              </w:rPr>
              <w:t>q12;q12)</w:t>
            </w:r>
          </w:p>
        </w:tc>
        <w:tc>
          <w:tcPr>
            <w:tcW w:w="2340" w:type="dxa"/>
            <w:vAlign w:val="bottom"/>
          </w:tcPr>
          <w:p w14:paraId="6ED28D78" w14:textId="77777777" w:rsidR="00EA185B" w:rsidRPr="00845FBC" w:rsidRDefault="00EA185B" w:rsidP="009B3B71">
            <w:pPr>
              <w:pStyle w:val="NormalTableText"/>
              <w:keepNext/>
              <w:keepLines/>
              <w:spacing w:before="60"/>
              <w:rPr>
                <w:rFonts w:eastAsia="Arial Unicode MS" w:cs="Arial"/>
                <w:i/>
                <w:szCs w:val="18"/>
              </w:rPr>
            </w:pPr>
            <w:r w:rsidRPr="00845FBC">
              <w:rPr>
                <w:rFonts w:cs="Arial"/>
                <w:i/>
                <w:szCs w:val="18"/>
              </w:rPr>
              <w:t>EWSR1-ERG</w:t>
            </w:r>
            <w:r w:rsidRPr="00845FBC">
              <w:rPr>
                <w:rFonts w:cs="Arial"/>
                <w:szCs w:val="18"/>
              </w:rPr>
              <w:t xml:space="preserve"> fusion</w:t>
            </w:r>
          </w:p>
        </w:tc>
      </w:tr>
      <w:tr w:rsidR="00EA185B" w:rsidRPr="00845FBC" w14:paraId="2C445AD3" w14:textId="77777777" w:rsidTr="009B3B71">
        <w:trPr>
          <w:trHeight w:val="225"/>
        </w:trPr>
        <w:tc>
          <w:tcPr>
            <w:tcW w:w="1180" w:type="dxa"/>
            <w:vAlign w:val="bottom"/>
          </w:tcPr>
          <w:p w14:paraId="34FBE02C"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3DD3B979"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7E7F275A"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t(2;</w:t>
            </w:r>
            <w:proofErr w:type="gramStart"/>
            <w:r w:rsidRPr="00845FBC">
              <w:rPr>
                <w:rFonts w:cs="Arial"/>
                <w:szCs w:val="18"/>
              </w:rPr>
              <w:t>22)(</w:t>
            </w:r>
            <w:proofErr w:type="gramEnd"/>
            <w:r w:rsidRPr="00845FBC">
              <w:rPr>
                <w:rFonts w:cs="Arial"/>
                <w:szCs w:val="18"/>
              </w:rPr>
              <w:t>q33;q12)</w:t>
            </w:r>
          </w:p>
        </w:tc>
        <w:tc>
          <w:tcPr>
            <w:tcW w:w="2340" w:type="dxa"/>
            <w:vAlign w:val="bottom"/>
          </w:tcPr>
          <w:p w14:paraId="6F15A413" w14:textId="77777777" w:rsidR="00EA185B" w:rsidRPr="00845FBC" w:rsidRDefault="00EA185B" w:rsidP="009B3B71">
            <w:pPr>
              <w:pStyle w:val="NormalTableText"/>
              <w:keepNext/>
              <w:keepLines/>
              <w:spacing w:before="60"/>
              <w:rPr>
                <w:rFonts w:eastAsia="Arial Unicode MS" w:cs="Arial"/>
                <w:i/>
                <w:szCs w:val="18"/>
              </w:rPr>
            </w:pPr>
            <w:r w:rsidRPr="00845FBC">
              <w:rPr>
                <w:rFonts w:cs="Arial"/>
                <w:i/>
                <w:szCs w:val="18"/>
              </w:rPr>
              <w:t>EWSR1-FEV</w:t>
            </w:r>
            <w:r w:rsidRPr="00845FBC">
              <w:rPr>
                <w:rFonts w:cs="Arial"/>
                <w:szCs w:val="18"/>
              </w:rPr>
              <w:t xml:space="preserve"> fusion</w:t>
            </w:r>
          </w:p>
        </w:tc>
      </w:tr>
      <w:tr w:rsidR="00EA185B" w:rsidRPr="00845FBC" w14:paraId="215ABD12" w14:textId="77777777" w:rsidTr="009B3B71">
        <w:trPr>
          <w:trHeight w:val="225"/>
        </w:trPr>
        <w:tc>
          <w:tcPr>
            <w:tcW w:w="1180" w:type="dxa"/>
            <w:vAlign w:val="bottom"/>
          </w:tcPr>
          <w:p w14:paraId="555D161C"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6F26189F"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38B6D8C"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t(7;</w:t>
            </w:r>
            <w:proofErr w:type="gramStart"/>
            <w:r w:rsidRPr="00845FBC">
              <w:rPr>
                <w:rFonts w:cs="Arial"/>
                <w:szCs w:val="18"/>
              </w:rPr>
              <w:t>22)(</w:t>
            </w:r>
            <w:proofErr w:type="gramEnd"/>
            <w:r w:rsidRPr="00845FBC">
              <w:rPr>
                <w:rFonts w:cs="Arial"/>
                <w:szCs w:val="18"/>
              </w:rPr>
              <w:t>p22;q12)</w:t>
            </w:r>
          </w:p>
        </w:tc>
        <w:tc>
          <w:tcPr>
            <w:tcW w:w="2340" w:type="dxa"/>
            <w:vAlign w:val="bottom"/>
          </w:tcPr>
          <w:p w14:paraId="36F648FC" w14:textId="77777777" w:rsidR="00EA185B" w:rsidRPr="00845FBC" w:rsidRDefault="00EA185B" w:rsidP="009B3B71">
            <w:pPr>
              <w:pStyle w:val="NormalTableText"/>
              <w:keepNext/>
              <w:keepLines/>
              <w:spacing w:before="60"/>
              <w:rPr>
                <w:rFonts w:eastAsia="Arial Unicode MS" w:cs="Arial"/>
                <w:i/>
                <w:szCs w:val="18"/>
              </w:rPr>
            </w:pPr>
            <w:r w:rsidRPr="00845FBC">
              <w:rPr>
                <w:rFonts w:cs="Arial"/>
                <w:i/>
                <w:szCs w:val="18"/>
              </w:rPr>
              <w:t>EWSR1-ETV1</w:t>
            </w:r>
            <w:r w:rsidRPr="00845FBC">
              <w:rPr>
                <w:rFonts w:cs="Arial"/>
                <w:szCs w:val="18"/>
              </w:rPr>
              <w:t xml:space="preserve"> fusion</w:t>
            </w:r>
          </w:p>
        </w:tc>
      </w:tr>
      <w:tr w:rsidR="00EA185B" w:rsidRPr="00845FBC" w14:paraId="4F4F42EA" w14:textId="77777777" w:rsidTr="009B3B71">
        <w:trPr>
          <w:trHeight w:val="225"/>
        </w:trPr>
        <w:tc>
          <w:tcPr>
            <w:tcW w:w="1180" w:type="dxa"/>
            <w:vAlign w:val="bottom"/>
          </w:tcPr>
          <w:p w14:paraId="311426FE"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6D28B4BD"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4DAAA807"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t(17;</w:t>
            </w:r>
            <w:proofErr w:type="gramStart"/>
            <w:r w:rsidRPr="00845FBC">
              <w:rPr>
                <w:rFonts w:cs="Arial"/>
                <w:szCs w:val="18"/>
              </w:rPr>
              <w:t>22)(</w:t>
            </w:r>
            <w:proofErr w:type="gramEnd"/>
            <w:r w:rsidRPr="00845FBC">
              <w:rPr>
                <w:rFonts w:cs="Arial"/>
                <w:szCs w:val="18"/>
              </w:rPr>
              <w:t>q12;q12)</w:t>
            </w:r>
          </w:p>
        </w:tc>
        <w:tc>
          <w:tcPr>
            <w:tcW w:w="2340" w:type="dxa"/>
            <w:vAlign w:val="bottom"/>
          </w:tcPr>
          <w:p w14:paraId="26FCE7A4" w14:textId="77777777" w:rsidR="00EA185B" w:rsidRPr="00845FBC" w:rsidRDefault="00EA185B" w:rsidP="009B3B71">
            <w:pPr>
              <w:pStyle w:val="NormalTableText"/>
              <w:keepNext/>
              <w:keepLines/>
              <w:spacing w:before="60"/>
              <w:rPr>
                <w:rFonts w:eastAsia="Arial Unicode MS" w:cs="Arial"/>
                <w:i/>
                <w:szCs w:val="18"/>
              </w:rPr>
            </w:pPr>
            <w:r w:rsidRPr="00845FBC">
              <w:rPr>
                <w:rFonts w:cs="Arial"/>
                <w:i/>
                <w:szCs w:val="18"/>
              </w:rPr>
              <w:t>EWSR1-E1AF</w:t>
            </w:r>
            <w:r w:rsidRPr="00845FBC">
              <w:rPr>
                <w:rFonts w:cs="Arial"/>
                <w:szCs w:val="18"/>
              </w:rPr>
              <w:t xml:space="preserve"> fusion</w:t>
            </w:r>
          </w:p>
        </w:tc>
      </w:tr>
      <w:tr w:rsidR="00EA185B" w:rsidRPr="00845FBC" w14:paraId="27D461EB" w14:textId="77777777" w:rsidTr="009B3B71">
        <w:trPr>
          <w:trHeight w:val="225"/>
        </w:trPr>
        <w:tc>
          <w:tcPr>
            <w:tcW w:w="1180" w:type="dxa"/>
            <w:vAlign w:val="bottom"/>
          </w:tcPr>
          <w:p w14:paraId="2EC6D7A9"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1D4C4145"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1170A380"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inv(</w:t>
            </w:r>
            <w:proofErr w:type="gramStart"/>
            <w:r w:rsidRPr="00845FBC">
              <w:rPr>
                <w:rFonts w:cs="Arial"/>
                <w:szCs w:val="18"/>
              </w:rPr>
              <w:t>22)(</w:t>
            </w:r>
            <w:proofErr w:type="gramEnd"/>
            <w:r w:rsidRPr="00845FBC">
              <w:rPr>
                <w:rFonts w:cs="Arial"/>
                <w:szCs w:val="18"/>
              </w:rPr>
              <w:t>q12q12)</w:t>
            </w:r>
          </w:p>
        </w:tc>
        <w:tc>
          <w:tcPr>
            <w:tcW w:w="2340" w:type="dxa"/>
            <w:vAlign w:val="bottom"/>
          </w:tcPr>
          <w:p w14:paraId="293D1827" w14:textId="77777777" w:rsidR="00EA185B" w:rsidRPr="00845FBC" w:rsidRDefault="00EA185B" w:rsidP="009B3B71">
            <w:pPr>
              <w:pStyle w:val="NormalTableText"/>
              <w:keepNext/>
              <w:keepLines/>
              <w:spacing w:before="60"/>
              <w:rPr>
                <w:rFonts w:eastAsia="Arial Unicode MS" w:cs="Arial"/>
                <w:i/>
                <w:szCs w:val="18"/>
              </w:rPr>
            </w:pPr>
            <w:r w:rsidRPr="00845FBC">
              <w:rPr>
                <w:rFonts w:cs="Arial"/>
                <w:i/>
                <w:szCs w:val="18"/>
              </w:rPr>
              <w:t>EWSR1-ZSG</w:t>
            </w:r>
          </w:p>
        </w:tc>
      </w:tr>
      <w:tr w:rsidR="00EA185B" w:rsidRPr="00845FBC" w14:paraId="3F1356F6" w14:textId="77777777" w:rsidTr="009B3B71">
        <w:trPr>
          <w:trHeight w:val="225"/>
        </w:trPr>
        <w:tc>
          <w:tcPr>
            <w:tcW w:w="1180" w:type="dxa"/>
            <w:vAlign w:val="bottom"/>
          </w:tcPr>
          <w:p w14:paraId="19BD2E5E"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09A89642"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39907BE" w14:textId="77777777" w:rsidR="00EA185B" w:rsidRPr="00845FBC" w:rsidRDefault="00EA185B" w:rsidP="009B3B71">
            <w:pPr>
              <w:pStyle w:val="NormalTableText"/>
              <w:keepNext/>
              <w:keepLines/>
              <w:spacing w:before="60"/>
              <w:rPr>
                <w:rFonts w:cs="Arial"/>
                <w:szCs w:val="18"/>
              </w:rPr>
            </w:pPr>
            <w:r w:rsidRPr="00845FBC">
              <w:rPr>
                <w:rFonts w:cs="Arial"/>
                <w:szCs w:val="18"/>
              </w:rPr>
              <w:t>t(16;</w:t>
            </w:r>
            <w:proofErr w:type="gramStart"/>
            <w:r w:rsidRPr="00845FBC">
              <w:rPr>
                <w:rFonts w:cs="Arial"/>
                <w:szCs w:val="18"/>
              </w:rPr>
              <w:t>21)(</w:t>
            </w:r>
            <w:proofErr w:type="gramEnd"/>
            <w:r w:rsidRPr="00845FBC">
              <w:rPr>
                <w:rFonts w:cs="Arial"/>
                <w:szCs w:val="18"/>
              </w:rPr>
              <w:t>p11;q22)</w:t>
            </w:r>
          </w:p>
        </w:tc>
        <w:tc>
          <w:tcPr>
            <w:tcW w:w="2340" w:type="dxa"/>
            <w:vAlign w:val="bottom"/>
          </w:tcPr>
          <w:p w14:paraId="40CACC7B" w14:textId="77777777" w:rsidR="00EA185B" w:rsidRPr="00845FBC" w:rsidRDefault="00EA185B" w:rsidP="009B3B71">
            <w:pPr>
              <w:pStyle w:val="NormalTableText"/>
              <w:keepNext/>
              <w:keepLines/>
              <w:spacing w:before="60"/>
              <w:rPr>
                <w:rFonts w:cs="Arial"/>
                <w:i/>
                <w:szCs w:val="18"/>
              </w:rPr>
            </w:pPr>
            <w:r w:rsidRPr="00845FBC">
              <w:rPr>
                <w:rFonts w:cs="Arial"/>
                <w:i/>
                <w:szCs w:val="18"/>
              </w:rPr>
              <w:t>FUS-ERG</w:t>
            </w:r>
          </w:p>
        </w:tc>
      </w:tr>
      <w:tr w:rsidR="00EA185B" w:rsidRPr="00845FBC" w14:paraId="28E91EFF" w14:textId="77777777" w:rsidTr="009B3B71">
        <w:trPr>
          <w:trHeight w:val="225"/>
        </w:trPr>
        <w:tc>
          <w:tcPr>
            <w:tcW w:w="1180" w:type="dxa"/>
            <w:vAlign w:val="bottom"/>
          </w:tcPr>
          <w:p w14:paraId="63FBF1C2"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537689E0"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05942D85" w14:textId="77777777" w:rsidR="00EA185B" w:rsidRPr="00845FBC" w:rsidRDefault="00EA185B" w:rsidP="009B3B71">
            <w:pPr>
              <w:pStyle w:val="NormalTableText"/>
              <w:keepNext/>
              <w:keepLines/>
              <w:spacing w:before="60"/>
              <w:rPr>
                <w:rFonts w:cs="Arial"/>
                <w:szCs w:val="18"/>
              </w:rPr>
            </w:pPr>
            <w:r w:rsidRPr="00845FBC">
              <w:rPr>
                <w:rFonts w:cs="Arial"/>
                <w:szCs w:val="18"/>
              </w:rPr>
              <w:t>t(2;</w:t>
            </w:r>
            <w:proofErr w:type="gramStart"/>
            <w:r w:rsidRPr="00845FBC">
              <w:rPr>
                <w:rFonts w:cs="Arial"/>
                <w:szCs w:val="18"/>
              </w:rPr>
              <w:t>16)(</w:t>
            </w:r>
            <w:proofErr w:type="gramEnd"/>
            <w:r w:rsidRPr="00845FBC">
              <w:rPr>
                <w:rFonts w:cs="Arial"/>
                <w:szCs w:val="18"/>
              </w:rPr>
              <w:t>q35;p11)</w:t>
            </w:r>
          </w:p>
        </w:tc>
        <w:tc>
          <w:tcPr>
            <w:tcW w:w="2340" w:type="dxa"/>
            <w:vAlign w:val="bottom"/>
          </w:tcPr>
          <w:p w14:paraId="20A3044F" w14:textId="77777777" w:rsidR="00EA185B" w:rsidRPr="00845FBC" w:rsidRDefault="00EA185B" w:rsidP="009B3B71">
            <w:pPr>
              <w:pStyle w:val="NormalTableText"/>
              <w:keepNext/>
              <w:keepLines/>
              <w:spacing w:before="60"/>
              <w:rPr>
                <w:rFonts w:cs="Arial"/>
                <w:i/>
                <w:szCs w:val="18"/>
              </w:rPr>
            </w:pPr>
            <w:r w:rsidRPr="00845FBC">
              <w:rPr>
                <w:rFonts w:cs="Arial"/>
                <w:i/>
                <w:szCs w:val="18"/>
              </w:rPr>
              <w:t>FUS-FEV</w:t>
            </w:r>
          </w:p>
        </w:tc>
      </w:tr>
      <w:tr w:rsidR="00EA185B" w:rsidRPr="00845FBC" w14:paraId="3020680F" w14:textId="77777777" w:rsidTr="009B3B71">
        <w:trPr>
          <w:trHeight w:val="225"/>
        </w:trPr>
        <w:tc>
          <w:tcPr>
            <w:tcW w:w="3080" w:type="dxa"/>
            <w:gridSpan w:val="2"/>
            <w:vAlign w:val="bottom"/>
          </w:tcPr>
          <w:p w14:paraId="1256DD61" w14:textId="77777777" w:rsidR="00EA185B" w:rsidRPr="00845FBC" w:rsidRDefault="00EA185B" w:rsidP="009B3B71">
            <w:pPr>
              <w:pStyle w:val="NormalTableText"/>
              <w:keepNext/>
              <w:keepLines/>
              <w:spacing w:before="60"/>
              <w:rPr>
                <w:rFonts w:eastAsia="Arial Unicode MS" w:cs="Arial"/>
                <w:szCs w:val="18"/>
              </w:rPr>
            </w:pPr>
            <w:r w:rsidRPr="00845FBC">
              <w:rPr>
                <w:rFonts w:eastAsia="Arial Unicode MS" w:cs="Arial"/>
                <w:szCs w:val="18"/>
              </w:rPr>
              <w:t>Ewing-like sarcomas</w:t>
            </w:r>
            <w:r w:rsidRPr="00845FBC">
              <w:rPr>
                <w:rFonts w:eastAsia="Arial Unicode MS" w:cs="Arial"/>
                <w:szCs w:val="18"/>
                <w:vertAlign w:val="superscript"/>
              </w:rPr>
              <w:t>#</w:t>
            </w:r>
          </w:p>
        </w:tc>
        <w:tc>
          <w:tcPr>
            <w:tcW w:w="3235" w:type="dxa"/>
            <w:vAlign w:val="bottom"/>
          </w:tcPr>
          <w:p w14:paraId="29778351" w14:textId="77777777" w:rsidR="00EA185B" w:rsidRPr="00845FBC" w:rsidRDefault="00EA185B" w:rsidP="009B3B71">
            <w:pPr>
              <w:pStyle w:val="NormalTableText"/>
              <w:keepNext/>
              <w:keepLines/>
              <w:spacing w:before="60"/>
              <w:rPr>
                <w:rFonts w:cs="Arial"/>
                <w:szCs w:val="18"/>
              </w:rPr>
            </w:pPr>
          </w:p>
        </w:tc>
        <w:tc>
          <w:tcPr>
            <w:tcW w:w="2340" w:type="dxa"/>
            <w:vAlign w:val="bottom"/>
          </w:tcPr>
          <w:p w14:paraId="68F5934A" w14:textId="77777777" w:rsidR="00EA185B" w:rsidRPr="00845FBC" w:rsidRDefault="00EA185B" w:rsidP="009B3B71">
            <w:pPr>
              <w:pStyle w:val="NormalTableText"/>
              <w:keepNext/>
              <w:keepLines/>
              <w:spacing w:before="60"/>
              <w:rPr>
                <w:rFonts w:cs="Arial"/>
                <w:i/>
                <w:szCs w:val="18"/>
              </w:rPr>
            </w:pPr>
          </w:p>
        </w:tc>
      </w:tr>
      <w:tr w:rsidR="00EA185B" w:rsidRPr="00845FBC" w14:paraId="6B91C09E" w14:textId="77777777" w:rsidTr="009B3B71">
        <w:trPr>
          <w:trHeight w:val="225"/>
        </w:trPr>
        <w:tc>
          <w:tcPr>
            <w:tcW w:w="1180" w:type="dxa"/>
            <w:vAlign w:val="bottom"/>
          </w:tcPr>
          <w:p w14:paraId="6644C9AF"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77FA2E4A"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53CEC66A" w14:textId="77777777" w:rsidR="00EA185B" w:rsidRPr="00845FBC" w:rsidRDefault="00EA185B" w:rsidP="009B3B71">
            <w:pPr>
              <w:pStyle w:val="NormalTableText"/>
              <w:keepNext/>
              <w:keepLines/>
              <w:spacing w:before="60"/>
              <w:rPr>
                <w:rFonts w:cs="Arial"/>
                <w:szCs w:val="18"/>
              </w:rPr>
            </w:pPr>
            <w:r w:rsidRPr="00845FBC">
              <w:rPr>
                <w:rFonts w:cs="Arial"/>
                <w:szCs w:val="18"/>
              </w:rPr>
              <w:t>t(20;</w:t>
            </w:r>
            <w:proofErr w:type="gramStart"/>
            <w:r w:rsidRPr="00845FBC">
              <w:rPr>
                <w:rFonts w:cs="Arial"/>
                <w:szCs w:val="18"/>
              </w:rPr>
              <w:t>22)(</w:t>
            </w:r>
            <w:proofErr w:type="gramEnd"/>
            <w:r w:rsidRPr="00845FBC">
              <w:rPr>
                <w:rFonts w:cs="Arial"/>
                <w:szCs w:val="18"/>
              </w:rPr>
              <w:t>q13;q12)</w:t>
            </w:r>
          </w:p>
        </w:tc>
        <w:tc>
          <w:tcPr>
            <w:tcW w:w="2340" w:type="dxa"/>
            <w:vAlign w:val="bottom"/>
          </w:tcPr>
          <w:p w14:paraId="3E9EC253" w14:textId="77777777" w:rsidR="00EA185B" w:rsidRPr="00845FBC" w:rsidRDefault="00EA185B" w:rsidP="009B3B71">
            <w:pPr>
              <w:pStyle w:val="NormalTableText"/>
              <w:keepNext/>
              <w:keepLines/>
              <w:spacing w:before="60"/>
              <w:rPr>
                <w:rFonts w:cs="Arial"/>
                <w:i/>
                <w:szCs w:val="18"/>
              </w:rPr>
            </w:pPr>
            <w:r w:rsidRPr="00845FBC">
              <w:rPr>
                <w:rFonts w:cs="Arial"/>
                <w:i/>
                <w:szCs w:val="18"/>
              </w:rPr>
              <w:t>EWSR1-NFATC2</w:t>
            </w:r>
          </w:p>
        </w:tc>
      </w:tr>
      <w:tr w:rsidR="00EA185B" w:rsidRPr="00845FBC" w14:paraId="7D337C90" w14:textId="77777777" w:rsidTr="009B3B71">
        <w:trPr>
          <w:trHeight w:val="225"/>
        </w:trPr>
        <w:tc>
          <w:tcPr>
            <w:tcW w:w="1180" w:type="dxa"/>
            <w:vAlign w:val="bottom"/>
          </w:tcPr>
          <w:p w14:paraId="51975EC4"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371B584D"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F17464F" w14:textId="77777777" w:rsidR="00EA185B" w:rsidRPr="00845FBC" w:rsidRDefault="00EA185B" w:rsidP="009B3B71">
            <w:pPr>
              <w:pStyle w:val="NormalTableText"/>
              <w:keepNext/>
              <w:keepLines/>
              <w:spacing w:before="60"/>
              <w:rPr>
                <w:rFonts w:cs="Arial"/>
                <w:szCs w:val="18"/>
              </w:rPr>
            </w:pPr>
            <w:r w:rsidRPr="00845FBC">
              <w:rPr>
                <w:rFonts w:cs="Arial"/>
                <w:szCs w:val="18"/>
              </w:rPr>
              <w:t>t(6;</w:t>
            </w:r>
            <w:proofErr w:type="gramStart"/>
            <w:r w:rsidRPr="00845FBC">
              <w:rPr>
                <w:rFonts w:cs="Arial"/>
                <w:szCs w:val="18"/>
              </w:rPr>
              <w:t>22)(</w:t>
            </w:r>
            <w:proofErr w:type="gramEnd"/>
            <w:r w:rsidRPr="00845FBC">
              <w:rPr>
                <w:rFonts w:cs="Arial"/>
                <w:szCs w:val="18"/>
              </w:rPr>
              <w:t>p21;q12)</w:t>
            </w:r>
          </w:p>
        </w:tc>
        <w:tc>
          <w:tcPr>
            <w:tcW w:w="2340" w:type="dxa"/>
            <w:vAlign w:val="bottom"/>
          </w:tcPr>
          <w:p w14:paraId="2AF1115A" w14:textId="77777777" w:rsidR="00EA185B" w:rsidRPr="00845FBC" w:rsidRDefault="00EA185B" w:rsidP="009B3B71">
            <w:pPr>
              <w:pStyle w:val="NormalTableText"/>
              <w:keepNext/>
              <w:keepLines/>
              <w:spacing w:before="60"/>
              <w:rPr>
                <w:rFonts w:cs="Arial"/>
                <w:i/>
                <w:szCs w:val="18"/>
              </w:rPr>
            </w:pPr>
            <w:r w:rsidRPr="00845FBC">
              <w:rPr>
                <w:rFonts w:cs="Arial"/>
                <w:i/>
                <w:szCs w:val="18"/>
              </w:rPr>
              <w:t>EWSR1-POU5F1</w:t>
            </w:r>
          </w:p>
        </w:tc>
      </w:tr>
      <w:tr w:rsidR="00EA185B" w:rsidRPr="00845FBC" w14:paraId="00E958BF" w14:textId="77777777" w:rsidTr="009B3B71">
        <w:trPr>
          <w:trHeight w:val="225"/>
        </w:trPr>
        <w:tc>
          <w:tcPr>
            <w:tcW w:w="1180" w:type="dxa"/>
            <w:vAlign w:val="bottom"/>
          </w:tcPr>
          <w:p w14:paraId="3B3E9C78"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6C0580AE"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A26924A" w14:textId="77777777" w:rsidR="00EA185B" w:rsidRPr="00845FBC" w:rsidRDefault="00EA185B" w:rsidP="009B3B71">
            <w:pPr>
              <w:pStyle w:val="NormalTableText"/>
              <w:keepNext/>
              <w:keepLines/>
              <w:spacing w:before="60"/>
              <w:rPr>
                <w:rFonts w:cs="Arial"/>
                <w:szCs w:val="18"/>
              </w:rPr>
            </w:pPr>
            <w:r w:rsidRPr="00845FBC">
              <w:rPr>
                <w:rFonts w:cs="Arial"/>
                <w:szCs w:val="18"/>
              </w:rPr>
              <w:t>t(4;</w:t>
            </w:r>
            <w:proofErr w:type="gramStart"/>
            <w:r w:rsidRPr="00845FBC">
              <w:rPr>
                <w:rFonts w:cs="Arial"/>
                <w:szCs w:val="18"/>
              </w:rPr>
              <w:t>22)(</w:t>
            </w:r>
            <w:proofErr w:type="gramEnd"/>
            <w:r w:rsidRPr="00845FBC">
              <w:rPr>
                <w:rFonts w:cs="Arial"/>
                <w:szCs w:val="18"/>
              </w:rPr>
              <w:t>q31;q12)</w:t>
            </w:r>
          </w:p>
        </w:tc>
        <w:tc>
          <w:tcPr>
            <w:tcW w:w="2340" w:type="dxa"/>
            <w:vAlign w:val="bottom"/>
          </w:tcPr>
          <w:p w14:paraId="24C6FD1F" w14:textId="77777777" w:rsidR="00EA185B" w:rsidRPr="00845FBC" w:rsidRDefault="00EA185B" w:rsidP="009B3B71">
            <w:pPr>
              <w:pStyle w:val="NormalTableText"/>
              <w:keepNext/>
              <w:keepLines/>
              <w:spacing w:before="60"/>
              <w:rPr>
                <w:rFonts w:cs="Arial"/>
                <w:i/>
                <w:szCs w:val="18"/>
              </w:rPr>
            </w:pPr>
            <w:r w:rsidRPr="00845FBC">
              <w:rPr>
                <w:rFonts w:cs="Arial"/>
                <w:i/>
                <w:szCs w:val="18"/>
              </w:rPr>
              <w:t>EWSR1-SMARCA5</w:t>
            </w:r>
          </w:p>
        </w:tc>
      </w:tr>
      <w:tr w:rsidR="00EA185B" w:rsidRPr="00845FBC" w14:paraId="1EE6C769" w14:textId="77777777" w:rsidTr="009B3B71">
        <w:trPr>
          <w:trHeight w:val="225"/>
        </w:trPr>
        <w:tc>
          <w:tcPr>
            <w:tcW w:w="1180" w:type="dxa"/>
            <w:vAlign w:val="bottom"/>
          </w:tcPr>
          <w:p w14:paraId="12FE39A2"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3DF5AFB4"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1562660C" w14:textId="77777777" w:rsidR="00EA185B" w:rsidRPr="00845FBC" w:rsidRDefault="00EA185B" w:rsidP="009B3B71">
            <w:pPr>
              <w:pStyle w:val="NormalTableText"/>
              <w:keepNext/>
              <w:keepLines/>
              <w:spacing w:before="60"/>
              <w:rPr>
                <w:rFonts w:cs="Arial"/>
                <w:szCs w:val="18"/>
              </w:rPr>
            </w:pPr>
            <w:r w:rsidRPr="00845FBC">
              <w:rPr>
                <w:rFonts w:cs="Arial"/>
                <w:szCs w:val="18"/>
              </w:rPr>
              <w:t xml:space="preserve">Submicroscopic </w:t>
            </w:r>
            <w:proofErr w:type="gramStart"/>
            <w:r w:rsidRPr="00845FBC">
              <w:rPr>
                <w:rFonts w:cs="Arial"/>
                <w:szCs w:val="18"/>
              </w:rPr>
              <w:t>inv(</w:t>
            </w:r>
            <w:proofErr w:type="gramEnd"/>
            <w:r w:rsidRPr="00845FBC">
              <w:rPr>
                <w:rFonts w:cs="Arial"/>
                <w:szCs w:val="18"/>
              </w:rPr>
              <w:t>22)in t(1;22)(p36.1;q12)</w:t>
            </w:r>
          </w:p>
        </w:tc>
        <w:tc>
          <w:tcPr>
            <w:tcW w:w="2340" w:type="dxa"/>
            <w:vAlign w:val="bottom"/>
          </w:tcPr>
          <w:p w14:paraId="7AF18777" w14:textId="77777777" w:rsidR="00EA185B" w:rsidRPr="00845FBC" w:rsidRDefault="00EA185B" w:rsidP="009B3B71">
            <w:pPr>
              <w:pStyle w:val="NormalTableText"/>
              <w:keepNext/>
              <w:keepLines/>
              <w:spacing w:before="60"/>
              <w:rPr>
                <w:rFonts w:cs="Arial"/>
                <w:i/>
                <w:szCs w:val="18"/>
              </w:rPr>
            </w:pPr>
            <w:r w:rsidRPr="00845FBC">
              <w:rPr>
                <w:rFonts w:cs="Arial"/>
                <w:i/>
                <w:szCs w:val="18"/>
              </w:rPr>
              <w:t>EWSR1-PATZ</w:t>
            </w:r>
          </w:p>
        </w:tc>
      </w:tr>
      <w:tr w:rsidR="00EA185B" w:rsidRPr="00845FBC" w14:paraId="5192CC62" w14:textId="77777777" w:rsidTr="009B3B71">
        <w:trPr>
          <w:trHeight w:val="225"/>
        </w:trPr>
        <w:tc>
          <w:tcPr>
            <w:tcW w:w="1180" w:type="dxa"/>
            <w:vAlign w:val="bottom"/>
          </w:tcPr>
          <w:p w14:paraId="167CBF45"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4AC26F6A"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0391BF0" w14:textId="77777777" w:rsidR="00EA185B" w:rsidRPr="00845FBC" w:rsidRDefault="00EA185B" w:rsidP="009B3B71">
            <w:pPr>
              <w:pStyle w:val="NormalTableText"/>
              <w:keepNext/>
              <w:keepLines/>
              <w:spacing w:before="60"/>
              <w:rPr>
                <w:rFonts w:cs="Arial"/>
                <w:szCs w:val="18"/>
              </w:rPr>
            </w:pPr>
            <w:r w:rsidRPr="00845FBC">
              <w:rPr>
                <w:rFonts w:cs="Arial"/>
                <w:szCs w:val="18"/>
              </w:rPr>
              <w:t>t(2;</w:t>
            </w:r>
            <w:proofErr w:type="gramStart"/>
            <w:r w:rsidRPr="00845FBC">
              <w:rPr>
                <w:rFonts w:cs="Arial"/>
                <w:szCs w:val="18"/>
              </w:rPr>
              <w:t>22)(</w:t>
            </w:r>
            <w:proofErr w:type="gramEnd"/>
            <w:r w:rsidRPr="00845FBC">
              <w:rPr>
                <w:rFonts w:cs="Arial"/>
                <w:szCs w:val="18"/>
              </w:rPr>
              <w:t>q31;q12)</w:t>
            </w:r>
          </w:p>
        </w:tc>
        <w:tc>
          <w:tcPr>
            <w:tcW w:w="2340" w:type="dxa"/>
            <w:vAlign w:val="bottom"/>
          </w:tcPr>
          <w:p w14:paraId="49F18547" w14:textId="77777777" w:rsidR="00EA185B" w:rsidRPr="00845FBC" w:rsidRDefault="00EA185B" w:rsidP="009B3B71">
            <w:pPr>
              <w:pStyle w:val="NormalTableText"/>
              <w:keepNext/>
              <w:keepLines/>
              <w:spacing w:before="60"/>
              <w:rPr>
                <w:rFonts w:cs="Arial"/>
                <w:i/>
                <w:szCs w:val="18"/>
              </w:rPr>
            </w:pPr>
            <w:r w:rsidRPr="00845FBC">
              <w:rPr>
                <w:rFonts w:cs="Arial"/>
                <w:i/>
                <w:szCs w:val="18"/>
              </w:rPr>
              <w:t>EWSR1-SP3</w:t>
            </w:r>
          </w:p>
        </w:tc>
      </w:tr>
      <w:tr w:rsidR="00EA185B" w:rsidRPr="00845FBC" w14:paraId="4A2461CA" w14:textId="77777777" w:rsidTr="009B3B71">
        <w:trPr>
          <w:trHeight w:val="225"/>
        </w:trPr>
        <w:tc>
          <w:tcPr>
            <w:tcW w:w="1180" w:type="dxa"/>
            <w:vAlign w:val="bottom"/>
          </w:tcPr>
          <w:p w14:paraId="07B7B268"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bottom"/>
          </w:tcPr>
          <w:p w14:paraId="2D43FB5A" w14:textId="77777777" w:rsidR="00EA185B" w:rsidRPr="00845FBC" w:rsidRDefault="00EA185B" w:rsidP="009B3B71">
            <w:pPr>
              <w:pStyle w:val="NormalTableText"/>
              <w:keepNext/>
              <w:keepLines/>
              <w:spacing w:before="60"/>
              <w:rPr>
                <w:rFonts w:eastAsia="Arial Unicode MS" w:cs="Arial"/>
                <w:szCs w:val="18"/>
              </w:rPr>
            </w:pPr>
          </w:p>
        </w:tc>
        <w:tc>
          <w:tcPr>
            <w:tcW w:w="3235" w:type="dxa"/>
            <w:vAlign w:val="bottom"/>
          </w:tcPr>
          <w:p w14:paraId="240E6EAF" w14:textId="77777777" w:rsidR="00EA185B" w:rsidRPr="00845FBC" w:rsidRDefault="00EA185B" w:rsidP="009B3B71">
            <w:pPr>
              <w:pStyle w:val="NormalTableText"/>
              <w:keepNext/>
              <w:keepLines/>
              <w:spacing w:before="60"/>
              <w:rPr>
                <w:rFonts w:cs="Arial"/>
                <w:szCs w:val="18"/>
              </w:rPr>
            </w:pPr>
            <w:r w:rsidRPr="00845FBC">
              <w:rPr>
                <w:rFonts w:cs="Arial"/>
                <w:szCs w:val="18"/>
              </w:rPr>
              <w:t>t(4;</w:t>
            </w:r>
            <w:proofErr w:type="gramStart"/>
            <w:r w:rsidRPr="00845FBC">
              <w:rPr>
                <w:rFonts w:cs="Arial"/>
                <w:szCs w:val="18"/>
              </w:rPr>
              <w:t>19)(</w:t>
            </w:r>
            <w:proofErr w:type="gramEnd"/>
            <w:r w:rsidRPr="00845FBC">
              <w:rPr>
                <w:rFonts w:cs="Arial"/>
                <w:szCs w:val="18"/>
              </w:rPr>
              <w:t>q35;q13)</w:t>
            </w:r>
          </w:p>
        </w:tc>
        <w:tc>
          <w:tcPr>
            <w:tcW w:w="2340" w:type="dxa"/>
            <w:vAlign w:val="bottom"/>
          </w:tcPr>
          <w:p w14:paraId="58B8F1E2" w14:textId="77777777" w:rsidR="00EA185B" w:rsidRPr="00845FBC" w:rsidRDefault="00EA185B" w:rsidP="009B3B71">
            <w:pPr>
              <w:pStyle w:val="NormalTableText"/>
              <w:keepNext/>
              <w:keepLines/>
              <w:spacing w:before="60"/>
              <w:rPr>
                <w:rFonts w:cs="Arial"/>
                <w:i/>
                <w:szCs w:val="18"/>
              </w:rPr>
            </w:pPr>
            <w:r w:rsidRPr="00845FBC">
              <w:rPr>
                <w:rFonts w:cs="Arial"/>
                <w:i/>
                <w:szCs w:val="18"/>
              </w:rPr>
              <w:t>CIC-DUX4</w:t>
            </w:r>
          </w:p>
        </w:tc>
      </w:tr>
      <w:tr w:rsidR="00EA185B" w:rsidRPr="00845FBC" w14:paraId="66373341" w14:textId="77777777" w:rsidTr="009B3B71">
        <w:trPr>
          <w:cantSplit/>
          <w:trHeight w:val="225"/>
        </w:trPr>
        <w:tc>
          <w:tcPr>
            <w:tcW w:w="3080" w:type="dxa"/>
            <w:gridSpan w:val="2"/>
            <w:vAlign w:val="bottom"/>
          </w:tcPr>
          <w:p w14:paraId="70C8516E" w14:textId="77777777" w:rsidR="00EA185B" w:rsidRPr="00845FBC" w:rsidRDefault="00EA185B" w:rsidP="009B3B71">
            <w:pPr>
              <w:pStyle w:val="NormalTableText"/>
              <w:keepNext/>
              <w:keepLines/>
              <w:spacing w:before="60"/>
              <w:rPr>
                <w:rFonts w:cs="Arial"/>
                <w:szCs w:val="18"/>
              </w:rPr>
            </w:pPr>
            <w:r w:rsidRPr="00845FBC">
              <w:rPr>
                <w:rFonts w:cs="Arial"/>
                <w:szCs w:val="18"/>
              </w:rPr>
              <w:t>Osteosarcoma</w:t>
            </w:r>
          </w:p>
        </w:tc>
        <w:tc>
          <w:tcPr>
            <w:tcW w:w="3235" w:type="dxa"/>
            <w:vAlign w:val="bottom"/>
          </w:tcPr>
          <w:p w14:paraId="4FE8DB00" w14:textId="77777777" w:rsidR="00EA185B" w:rsidRPr="00845FBC" w:rsidRDefault="00EA185B" w:rsidP="009B3B71">
            <w:pPr>
              <w:pStyle w:val="NormalTableText"/>
              <w:keepNext/>
              <w:keepLines/>
              <w:spacing w:before="60"/>
              <w:rPr>
                <w:rFonts w:cs="Arial"/>
                <w:szCs w:val="18"/>
              </w:rPr>
            </w:pPr>
          </w:p>
        </w:tc>
        <w:tc>
          <w:tcPr>
            <w:tcW w:w="2340" w:type="dxa"/>
            <w:vAlign w:val="center"/>
          </w:tcPr>
          <w:p w14:paraId="33267A86" w14:textId="77777777" w:rsidR="00EA185B" w:rsidRPr="00845FBC" w:rsidRDefault="00EA185B" w:rsidP="009B3B71">
            <w:pPr>
              <w:pStyle w:val="NormalTableText"/>
              <w:keepNext/>
              <w:keepLines/>
              <w:spacing w:before="60"/>
              <w:rPr>
                <w:rFonts w:cs="Arial"/>
                <w:szCs w:val="18"/>
              </w:rPr>
            </w:pPr>
          </w:p>
        </w:tc>
      </w:tr>
      <w:tr w:rsidR="00EA185B" w:rsidRPr="00845FBC" w14:paraId="229619B2" w14:textId="77777777" w:rsidTr="009B3B71">
        <w:trPr>
          <w:trHeight w:val="225"/>
        </w:trPr>
        <w:tc>
          <w:tcPr>
            <w:tcW w:w="1180" w:type="dxa"/>
            <w:vAlign w:val="bottom"/>
          </w:tcPr>
          <w:p w14:paraId="6EB636E0"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center"/>
          </w:tcPr>
          <w:p w14:paraId="5F642FA7"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Low grade central</w:t>
            </w:r>
          </w:p>
        </w:tc>
        <w:tc>
          <w:tcPr>
            <w:tcW w:w="3235" w:type="dxa"/>
            <w:vAlign w:val="bottom"/>
          </w:tcPr>
          <w:p w14:paraId="2184F24F"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Simple</w:t>
            </w:r>
          </w:p>
        </w:tc>
        <w:tc>
          <w:tcPr>
            <w:tcW w:w="2340" w:type="dxa"/>
            <w:vAlign w:val="center"/>
          </w:tcPr>
          <w:p w14:paraId="045095F9" w14:textId="77777777" w:rsidR="00EA185B" w:rsidRPr="00845FBC" w:rsidRDefault="00EA185B" w:rsidP="009B3B71">
            <w:pPr>
              <w:pStyle w:val="NormalTableText"/>
              <w:keepNext/>
              <w:keepLines/>
              <w:spacing w:before="60"/>
              <w:rPr>
                <w:rFonts w:eastAsia="Arial Unicode MS" w:cs="Arial"/>
                <w:szCs w:val="18"/>
              </w:rPr>
            </w:pPr>
            <w:r w:rsidRPr="00845FBC">
              <w:rPr>
                <w:rFonts w:eastAsia="Arial Unicode MS" w:cs="Arial"/>
                <w:i/>
                <w:szCs w:val="18"/>
              </w:rPr>
              <w:t xml:space="preserve">MDM2 </w:t>
            </w:r>
            <w:r w:rsidRPr="00845FBC">
              <w:rPr>
                <w:rFonts w:eastAsia="Arial Unicode MS" w:cs="Arial"/>
                <w:szCs w:val="18"/>
              </w:rPr>
              <w:t>amplification</w:t>
            </w:r>
          </w:p>
        </w:tc>
      </w:tr>
      <w:tr w:rsidR="00EA185B" w:rsidRPr="00845FBC" w14:paraId="714BC00F" w14:textId="77777777" w:rsidTr="009B3B71">
        <w:trPr>
          <w:trHeight w:val="225"/>
        </w:trPr>
        <w:tc>
          <w:tcPr>
            <w:tcW w:w="1180" w:type="dxa"/>
            <w:vAlign w:val="bottom"/>
          </w:tcPr>
          <w:p w14:paraId="736489E4"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center"/>
          </w:tcPr>
          <w:p w14:paraId="730AF3ED" w14:textId="77777777" w:rsidR="00EA185B" w:rsidRPr="00845FBC" w:rsidRDefault="00EA185B" w:rsidP="009B3B71">
            <w:pPr>
              <w:pStyle w:val="NormalTableText"/>
              <w:keepNext/>
              <w:keepLines/>
              <w:spacing w:before="60" w:after="60"/>
              <w:rPr>
                <w:rFonts w:cs="Arial"/>
                <w:szCs w:val="18"/>
              </w:rPr>
            </w:pPr>
            <w:proofErr w:type="spellStart"/>
            <w:r w:rsidRPr="00845FBC">
              <w:rPr>
                <w:rFonts w:cs="Arial"/>
                <w:szCs w:val="18"/>
              </w:rPr>
              <w:t>Parosteal</w:t>
            </w:r>
            <w:proofErr w:type="spellEnd"/>
            <w:r w:rsidRPr="00845FBC">
              <w:rPr>
                <w:rFonts w:cs="Arial"/>
                <w:szCs w:val="18"/>
              </w:rPr>
              <w:t xml:space="preserve"> </w:t>
            </w:r>
          </w:p>
        </w:tc>
        <w:tc>
          <w:tcPr>
            <w:tcW w:w="3235" w:type="dxa"/>
            <w:vAlign w:val="bottom"/>
          </w:tcPr>
          <w:p w14:paraId="063CADEF" w14:textId="77777777" w:rsidR="00EA185B" w:rsidRPr="00845FBC" w:rsidRDefault="00EA185B" w:rsidP="009B3B71">
            <w:pPr>
              <w:pStyle w:val="NormalTableText"/>
              <w:keepNext/>
              <w:keepLines/>
              <w:spacing w:before="60"/>
              <w:rPr>
                <w:rFonts w:cs="Arial"/>
                <w:szCs w:val="18"/>
              </w:rPr>
            </w:pPr>
            <w:r w:rsidRPr="00845FBC">
              <w:rPr>
                <w:rFonts w:cs="Arial"/>
                <w:szCs w:val="18"/>
              </w:rPr>
              <w:t>Ring chromosomes</w:t>
            </w:r>
          </w:p>
        </w:tc>
        <w:tc>
          <w:tcPr>
            <w:tcW w:w="2340" w:type="dxa"/>
            <w:vAlign w:val="center"/>
          </w:tcPr>
          <w:p w14:paraId="60E94D6A" w14:textId="77777777" w:rsidR="00EA185B" w:rsidRPr="00845FBC" w:rsidRDefault="00EA185B" w:rsidP="009B3B71">
            <w:pPr>
              <w:pStyle w:val="NormalTableText"/>
              <w:keepNext/>
              <w:keepLines/>
              <w:spacing w:before="60"/>
              <w:rPr>
                <w:rFonts w:eastAsia="Arial Unicode MS" w:cs="Arial"/>
                <w:szCs w:val="18"/>
              </w:rPr>
            </w:pPr>
            <w:r w:rsidRPr="00845FBC">
              <w:rPr>
                <w:rFonts w:eastAsia="Arial Unicode MS" w:cs="Arial"/>
                <w:szCs w:val="18"/>
              </w:rPr>
              <w:t>12q13-15</w:t>
            </w:r>
            <w:r w:rsidRPr="00845FBC">
              <w:rPr>
                <w:rFonts w:eastAsia="Arial Unicode MS" w:cs="Arial"/>
                <w:i/>
                <w:szCs w:val="18"/>
              </w:rPr>
              <w:t xml:space="preserve"> </w:t>
            </w:r>
            <w:r w:rsidRPr="00845FBC">
              <w:rPr>
                <w:rFonts w:eastAsia="Arial Unicode MS" w:cs="Arial"/>
                <w:szCs w:val="18"/>
              </w:rPr>
              <w:t>amplification</w:t>
            </w:r>
          </w:p>
        </w:tc>
      </w:tr>
      <w:tr w:rsidR="00EA185B" w:rsidRPr="00845FBC" w14:paraId="2CFC5C85" w14:textId="77777777" w:rsidTr="009B3B71">
        <w:trPr>
          <w:trHeight w:val="225"/>
        </w:trPr>
        <w:tc>
          <w:tcPr>
            <w:tcW w:w="1180" w:type="dxa"/>
            <w:vAlign w:val="bottom"/>
          </w:tcPr>
          <w:p w14:paraId="0213F684" w14:textId="77777777" w:rsidR="00EA185B" w:rsidRPr="00845FBC" w:rsidRDefault="00EA185B" w:rsidP="009B3B71">
            <w:pPr>
              <w:pStyle w:val="NormalTableText"/>
              <w:keepNext/>
              <w:keepLines/>
              <w:spacing w:before="60"/>
              <w:rPr>
                <w:rFonts w:eastAsia="Arial Unicode MS" w:cs="Arial"/>
                <w:szCs w:val="18"/>
              </w:rPr>
            </w:pPr>
          </w:p>
        </w:tc>
        <w:tc>
          <w:tcPr>
            <w:tcW w:w="1900" w:type="dxa"/>
            <w:vAlign w:val="center"/>
          </w:tcPr>
          <w:p w14:paraId="52E4CB31" w14:textId="77777777" w:rsidR="00EA185B" w:rsidRPr="00845FBC" w:rsidRDefault="00EA185B" w:rsidP="009B3B71">
            <w:pPr>
              <w:pStyle w:val="NormalTableText"/>
              <w:keepNext/>
              <w:keepLines/>
              <w:spacing w:before="60" w:after="60"/>
              <w:rPr>
                <w:rFonts w:eastAsia="Arial Unicode MS" w:cs="Arial"/>
                <w:szCs w:val="18"/>
              </w:rPr>
            </w:pPr>
            <w:r w:rsidRPr="00845FBC">
              <w:rPr>
                <w:rFonts w:cs="Arial"/>
                <w:szCs w:val="18"/>
              </w:rPr>
              <w:t>High grade</w:t>
            </w:r>
          </w:p>
        </w:tc>
        <w:tc>
          <w:tcPr>
            <w:tcW w:w="3235" w:type="dxa"/>
            <w:vAlign w:val="bottom"/>
          </w:tcPr>
          <w:p w14:paraId="2E53FB35" w14:textId="77777777" w:rsidR="00EA185B" w:rsidRPr="00845FBC" w:rsidRDefault="00EA185B" w:rsidP="009B3B71">
            <w:pPr>
              <w:pStyle w:val="NormalTableText"/>
              <w:keepNext/>
              <w:keepLines/>
              <w:spacing w:before="60"/>
              <w:rPr>
                <w:rFonts w:eastAsia="Arial Unicode MS" w:cs="Arial"/>
                <w:szCs w:val="18"/>
              </w:rPr>
            </w:pPr>
            <w:r w:rsidRPr="00845FBC">
              <w:rPr>
                <w:rFonts w:cs="Arial"/>
                <w:szCs w:val="18"/>
              </w:rPr>
              <w:t>Complex</w:t>
            </w:r>
          </w:p>
        </w:tc>
        <w:tc>
          <w:tcPr>
            <w:tcW w:w="2340" w:type="dxa"/>
            <w:vAlign w:val="center"/>
          </w:tcPr>
          <w:p w14:paraId="66D8FA04" w14:textId="77777777" w:rsidR="00EA185B" w:rsidRPr="00845FBC" w:rsidRDefault="00EA185B" w:rsidP="009B3B71">
            <w:pPr>
              <w:pStyle w:val="NormalTableText"/>
              <w:keepNext/>
              <w:keepLines/>
              <w:spacing w:before="60"/>
              <w:rPr>
                <w:rFonts w:eastAsia="Arial Unicode MS" w:cs="Arial"/>
                <w:szCs w:val="18"/>
              </w:rPr>
            </w:pPr>
          </w:p>
        </w:tc>
      </w:tr>
    </w:tbl>
    <w:p w14:paraId="687637D3" w14:textId="77777777" w:rsidR="00EA185B" w:rsidRPr="00845FBC" w:rsidRDefault="00EA185B" w:rsidP="00EA185B">
      <w:pPr>
        <w:spacing w:before="60"/>
        <w:rPr>
          <w:rFonts w:cs="Arial"/>
          <w:sz w:val="18"/>
          <w:szCs w:val="18"/>
        </w:rPr>
      </w:pPr>
      <w:r w:rsidRPr="00845FBC">
        <w:rPr>
          <w:rFonts w:cs="Arial"/>
          <w:sz w:val="18"/>
          <w:szCs w:val="18"/>
          <w:vertAlign w:val="superscript"/>
        </w:rPr>
        <w:t>#</w:t>
      </w:r>
      <w:r w:rsidRPr="00845FBC">
        <w:rPr>
          <w:rFonts w:cs="Arial"/>
          <w:sz w:val="18"/>
          <w:szCs w:val="18"/>
        </w:rPr>
        <w:t xml:space="preserve"> Ewing-like sarcomas are similar both clinically and histologically to Ewing sarcoma, but it is not known at the present time whether they represent true Ewing sarcomas. They are treated the same as true Ewing sarcomas.</w:t>
      </w:r>
    </w:p>
    <w:p w14:paraId="1A488DDE" w14:textId="77777777" w:rsidR="00EA185B" w:rsidRDefault="00EA185B" w:rsidP="00EA185B">
      <w:pPr>
        <w:rPr>
          <w:rFonts w:cs="Arial"/>
        </w:rPr>
      </w:pPr>
    </w:p>
    <w:p w14:paraId="6C774CEC" w14:textId="77777777" w:rsidR="00EA185B" w:rsidRPr="00010CA3" w:rsidRDefault="00EA185B" w:rsidP="00EA185B">
      <w:pPr>
        <w:pStyle w:val="Heading1"/>
        <w:rPr>
          <w:rFonts w:cs="Arial"/>
          <w:b w:val="0"/>
          <w:kern w:val="18"/>
        </w:rPr>
      </w:pPr>
      <w:r w:rsidRPr="00010CA3">
        <w:rPr>
          <w:rFonts w:cs="Arial"/>
          <w:b w:val="0"/>
          <w:kern w:val="18"/>
        </w:rPr>
        <w:t>References</w:t>
      </w:r>
    </w:p>
    <w:p w14:paraId="37CEDA51" w14:textId="77777777" w:rsidR="00EA185B" w:rsidRDefault="00EA185B" w:rsidP="00EA185B">
      <w:pPr>
        <w:pStyle w:val="BodyText2"/>
        <w:numPr>
          <w:ilvl w:val="0"/>
          <w:numId w:val="4"/>
        </w:numPr>
        <w:tabs>
          <w:tab w:val="left" w:pos="450"/>
          <w:tab w:val="left" w:pos="1890"/>
        </w:tabs>
        <w:ind w:left="450" w:hanging="450"/>
        <w:rPr>
          <w:rFonts w:cs="Arial"/>
          <w:b w:val="0"/>
        </w:rPr>
      </w:pPr>
      <w:r w:rsidRPr="00845FBC">
        <w:rPr>
          <w:rFonts w:cs="Arial"/>
          <w:b w:val="0"/>
        </w:rPr>
        <w:t xml:space="preserve">Amin MB, Edge SB, Greene FL, et al, eds. </w:t>
      </w:r>
      <w:r w:rsidRPr="00845FBC">
        <w:rPr>
          <w:rFonts w:cs="Arial"/>
          <w:b w:val="0"/>
          <w:i/>
        </w:rPr>
        <w:t>AJCC Cancer Staging Manual</w:t>
      </w:r>
      <w:r w:rsidRPr="00845FBC">
        <w:rPr>
          <w:rFonts w:cs="Arial"/>
          <w:b w:val="0"/>
        </w:rPr>
        <w:t>. 8th ed. New York, NY: Springer; 2017.</w:t>
      </w:r>
    </w:p>
    <w:p w14:paraId="159A3483" w14:textId="77777777" w:rsidR="00EA185B" w:rsidRPr="00845FBC" w:rsidRDefault="00EA185B" w:rsidP="00EA185B">
      <w:pPr>
        <w:pStyle w:val="BodyText2"/>
        <w:numPr>
          <w:ilvl w:val="0"/>
          <w:numId w:val="4"/>
        </w:numPr>
        <w:tabs>
          <w:tab w:val="left" w:pos="450"/>
          <w:tab w:val="left" w:pos="1890"/>
        </w:tabs>
        <w:ind w:left="450" w:hanging="450"/>
        <w:rPr>
          <w:rFonts w:cs="Arial"/>
          <w:b w:val="0"/>
        </w:rPr>
      </w:pPr>
      <w:r>
        <w:rPr>
          <w:rFonts w:cs="Arial"/>
          <w:b w:val="0"/>
        </w:rPr>
        <w:t xml:space="preserve">Pawel B, </w:t>
      </w:r>
      <w:proofErr w:type="spellStart"/>
      <w:r>
        <w:rPr>
          <w:rFonts w:cs="Arial"/>
          <w:b w:val="0"/>
        </w:rPr>
        <w:t>Bahrami</w:t>
      </w:r>
      <w:proofErr w:type="spellEnd"/>
      <w:r>
        <w:rPr>
          <w:rFonts w:cs="Arial"/>
          <w:b w:val="0"/>
        </w:rPr>
        <w:t xml:space="preserve"> A, Hicks MJ, Rudzinski E. Protocol for the Examination of Specimens </w:t>
      </w:r>
      <w:proofErr w:type="gramStart"/>
      <w:r>
        <w:rPr>
          <w:rFonts w:cs="Arial"/>
          <w:b w:val="0"/>
        </w:rPr>
        <w:t>From</w:t>
      </w:r>
      <w:proofErr w:type="gramEnd"/>
      <w:r>
        <w:rPr>
          <w:rFonts w:cs="Arial"/>
          <w:b w:val="0"/>
        </w:rPr>
        <w:t xml:space="preserve"> Pediatric Patients With Ewing Sarcoma (ES). 2016. Available at www.cap.org/cancerprotocols</w:t>
      </w:r>
      <w:r w:rsidRPr="00845FBC">
        <w:rPr>
          <w:rFonts w:cs="Arial"/>
          <w:b w:val="0"/>
        </w:rPr>
        <w:t>.</w:t>
      </w:r>
    </w:p>
    <w:p w14:paraId="57DD4C52" w14:textId="77777777" w:rsidR="00EA185B" w:rsidRPr="00845FBC" w:rsidRDefault="00EA185B" w:rsidP="00EA185B">
      <w:pPr>
        <w:pStyle w:val="BodyText2"/>
        <w:numPr>
          <w:ilvl w:val="0"/>
          <w:numId w:val="4"/>
        </w:numPr>
        <w:tabs>
          <w:tab w:val="left" w:pos="450"/>
          <w:tab w:val="left" w:pos="1890"/>
        </w:tabs>
        <w:ind w:left="450" w:hanging="450"/>
        <w:rPr>
          <w:rFonts w:cs="Arial"/>
          <w:b w:val="0"/>
        </w:rPr>
      </w:pPr>
      <w:r w:rsidRPr="00845FBC">
        <w:rPr>
          <w:rFonts w:cs="Arial"/>
          <w:b w:val="0"/>
        </w:rPr>
        <w:t xml:space="preserve">Taylor BS, </w:t>
      </w:r>
      <w:proofErr w:type="spellStart"/>
      <w:r w:rsidRPr="00845FBC">
        <w:rPr>
          <w:rFonts w:cs="Arial"/>
          <w:b w:val="0"/>
        </w:rPr>
        <w:t>Barretina</w:t>
      </w:r>
      <w:proofErr w:type="spellEnd"/>
      <w:r w:rsidRPr="00845FBC">
        <w:rPr>
          <w:rFonts w:cs="Arial"/>
          <w:b w:val="0"/>
        </w:rPr>
        <w:t xml:space="preserve"> J, Maki RG, </w:t>
      </w:r>
      <w:proofErr w:type="spellStart"/>
      <w:r w:rsidRPr="00845FBC">
        <w:rPr>
          <w:rFonts w:cs="Arial"/>
          <w:b w:val="0"/>
        </w:rPr>
        <w:t>Antonescu</w:t>
      </w:r>
      <w:proofErr w:type="spellEnd"/>
      <w:r w:rsidRPr="00845FBC">
        <w:rPr>
          <w:rFonts w:cs="Arial"/>
          <w:b w:val="0"/>
        </w:rPr>
        <w:t xml:space="preserve"> CR, Singer S, </w:t>
      </w:r>
      <w:proofErr w:type="spellStart"/>
      <w:r w:rsidRPr="00845FBC">
        <w:rPr>
          <w:rFonts w:cs="Arial"/>
          <w:b w:val="0"/>
        </w:rPr>
        <w:t>Ladanyi</w:t>
      </w:r>
      <w:proofErr w:type="spellEnd"/>
      <w:r w:rsidRPr="00845FBC">
        <w:rPr>
          <w:rFonts w:cs="Arial"/>
          <w:b w:val="0"/>
        </w:rPr>
        <w:t xml:space="preserve"> M. Advances in sarcoma genomics and new therapeutic targets. </w:t>
      </w:r>
      <w:r w:rsidRPr="00DD7C11">
        <w:rPr>
          <w:rFonts w:cs="Arial"/>
          <w:b w:val="0"/>
          <w:i/>
        </w:rPr>
        <w:t>Nat Rev Cancer</w:t>
      </w:r>
      <w:r w:rsidRPr="00C03DB6">
        <w:rPr>
          <w:rFonts w:cs="Arial"/>
          <w:b w:val="0"/>
        </w:rPr>
        <w:t>.</w:t>
      </w:r>
      <w:r w:rsidRPr="00845FBC">
        <w:rPr>
          <w:rFonts w:cs="Arial"/>
          <w:b w:val="0"/>
        </w:rPr>
        <w:t xml:space="preserve"> 2011;11(8):541-547.</w:t>
      </w:r>
    </w:p>
    <w:p w14:paraId="5FC5D19C" w14:textId="77777777" w:rsidR="00EA185B" w:rsidRPr="00845FBC" w:rsidRDefault="00EA185B" w:rsidP="00EA185B">
      <w:pPr>
        <w:pStyle w:val="BodyText2"/>
        <w:numPr>
          <w:ilvl w:val="0"/>
          <w:numId w:val="4"/>
        </w:numPr>
        <w:tabs>
          <w:tab w:val="left" w:pos="450"/>
          <w:tab w:val="left" w:pos="1890"/>
        </w:tabs>
        <w:ind w:left="450" w:hanging="450"/>
        <w:rPr>
          <w:rFonts w:cs="Arial"/>
          <w:b w:val="0"/>
        </w:rPr>
      </w:pPr>
      <w:r w:rsidRPr="00C03DB6">
        <w:rPr>
          <w:rFonts w:cs="Arial"/>
          <w:b w:val="0"/>
        </w:rPr>
        <w:t>Rubin BP</w:t>
      </w:r>
      <w:r w:rsidRPr="00845FBC">
        <w:rPr>
          <w:rFonts w:cs="Arial"/>
          <w:b w:val="0"/>
        </w:rPr>
        <w:t xml:space="preserve">, Lazar JF, Oliveira AM. Molecular pathology of bone and soft tissue tumors. In: Tubbs R, </w:t>
      </w:r>
      <w:proofErr w:type="spellStart"/>
      <w:r w:rsidRPr="00845FBC">
        <w:rPr>
          <w:rFonts w:cs="Arial"/>
          <w:b w:val="0"/>
        </w:rPr>
        <w:t>Stoler</w:t>
      </w:r>
      <w:proofErr w:type="spellEnd"/>
      <w:r w:rsidRPr="00845FBC">
        <w:rPr>
          <w:rFonts w:cs="Arial"/>
          <w:b w:val="0"/>
        </w:rPr>
        <w:t xml:space="preserve"> M. </w:t>
      </w:r>
      <w:r w:rsidRPr="00DD7C11">
        <w:rPr>
          <w:rFonts w:cs="Arial"/>
          <w:b w:val="0"/>
          <w:i/>
        </w:rPr>
        <w:t>Cell and Tissue Based Molecular Pathology</w:t>
      </w:r>
      <w:r w:rsidRPr="00C03DB6">
        <w:rPr>
          <w:rFonts w:cs="Arial"/>
          <w:b w:val="0"/>
        </w:rPr>
        <w:t>.</w:t>
      </w:r>
      <w:r w:rsidRPr="00845FBC">
        <w:rPr>
          <w:rFonts w:cs="Arial"/>
          <w:b w:val="0"/>
        </w:rPr>
        <w:t xml:space="preserve"> Philadelphia, PA: Churchill Livingstone; 2009.</w:t>
      </w:r>
    </w:p>
    <w:p w14:paraId="4307361F" w14:textId="77777777" w:rsidR="00EA185B" w:rsidRDefault="00EA185B" w:rsidP="00EA185B">
      <w:pPr>
        <w:pStyle w:val="Heading2"/>
        <w:rPr>
          <w:rFonts w:cs="Arial"/>
        </w:rPr>
      </w:pPr>
    </w:p>
    <w:p w14:paraId="06B4250C" w14:textId="77777777" w:rsidR="00EA185B" w:rsidRPr="00845FBC" w:rsidRDefault="00EA185B" w:rsidP="00EA185B">
      <w:pPr>
        <w:pStyle w:val="Heading2"/>
        <w:rPr>
          <w:rFonts w:cs="Arial"/>
        </w:rPr>
      </w:pPr>
      <w:r>
        <w:rPr>
          <w:rFonts w:cs="Arial"/>
        </w:rPr>
        <w:t>B</w:t>
      </w:r>
      <w:r w:rsidRPr="00845FBC">
        <w:rPr>
          <w:rFonts w:cs="Arial"/>
        </w:rPr>
        <w:t xml:space="preserve">.  </w:t>
      </w:r>
      <w:r>
        <w:rPr>
          <w:rFonts w:cs="Arial"/>
        </w:rPr>
        <w:t xml:space="preserve">Tumor Site </w:t>
      </w:r>
    </w:p>
    <w:p w14:paraId="47FDF269" w14:textId="77777777" w:rsidR="00EA185B" w:rsidRDefault="00EA185B" w:rsidP="00EA185B">
      <w:pPr>
        <w:rPr>
          <w:rFonts w:cs="Arial"/>
        </w:rPr>
      </w:pPr>
      <w:r w:rsidRPr="00110386">
        <w:rPr>
          <w:rFonts w:cs="Arial"/>
        </w:rPr>
        <w:t xml:space="preserve">Given the strong association between the primary anatomic site and outcome, the </w:t>
      </w:r>
      <w:r>
        <w:rPr>
          <w:rFonts w:cs="Arial"/>
        </w:rPr>
        <w:t>8th</w:t>
      </w:r>
      <w:r w:rsidRPr="00110386">
        <w:rPr>
          <w:rFonts w:cs="Arial"/>
        </w:rPr>
        <w:t xml:space="preserve"> edition of t</w:t>
      </w:r>
      <w:r>
        <w:rPr>
          <w:rFonts w:cs="Arial"/>
        </w:rPr>
        <w:t xml:space="preserve">he </w:t>
      </w:r>
      <w:r w:rsidRPr="00DD7C11">
        <w:rPr>
          <w:rFonts w:cs="Arial"/>
          <w:i/>
        </w:rPr>
        <w:t>AJCC Cancer Staging Manual</w:t>
      </w:r>
      <w:r w:rsidRPr="00DD7C11">
        <w:rPr>
          <w:rFonts w:cs="Arial"/>
          <w:i/>
          <w:vertAlign w:val="superscript"/>
        </w:rPr>
        <w:t>1</w:t>
      </w:r>
      <w:r w:rsidRPr="00110386">
        <w:rPr>
          <w:rFonts w:cs="Arial"/>
        </w:rPr>
        <w:t xml:space="preserve"> uses the following site groups for staging purposes:</w:t>
      </w:r>
    </w:p>
    <w:p w14:paraId="744970B2" w14:textId="77777777" w:rsidR="00EA185B" w:rsidRPr="00110386" w:rsidRDefault="00EA185B" w:rsidP="00EA185B">
      <w:pPr>
        <w:rPr>
          <w:rFonts w:cs="Arial"/>
        </w:rPr>
      </w:pPr>
    </w:p>
    <w:p w14:paraId="4075529A" w14:textId="77777777" w:rsidR="00EA185B" w:rsidRPr="00110386" w:rsidRDefault="00EA185B" w:rsidP="00EA185B">
      <w:pPr>
        <w:numPr>
          <w:ilvl w:val="0"/>
          <w:numId w:val="6"/>
        </w:numPr>
        <w:rPr>
          <w:rFonts w:cs="Arial"/>
        </w:rPr>
      </w:pPr>
      <w:r w:rsidRPr="00110386">
        <w:rPr>
          <w:rFonts w:cs="Arial"/>
        </w:rPr>
        <w:t>Appendicular skeleton, including trunk, skull, and facial bones</w:t>
      </w:r>
    </w:p>
    <w:p w14:paraId="6FEEB42F" w14:textId="77777777" w:rsidR="00EA185B" w:rsidRPr="00110386" w:rsidRDefault="00EA185B" w:rsidP="00EA185B">
      <w:pPr>
        <w:numPr>
          <w:ilvl w:val="0"/>
          <w:numId w:val="6"/>
        </w:numPr>
        <w:rPr>
          <w:rFonts w:cs="Arial"/>
        </w:rPr>
      </w:pPr>
      <w:r w:rsidRPr="00110386">
        <w:rPr>
          <w:rFonts w:cs="Arial"/>
        </w:rPr>
        <w:t>Pelvis</w:t>
      </w:r>
    </w:p>
    <w:p w14:paraId="338371E6" w14:textId="77777777" w:rsidR="00EA185B" w:rsidRPr="00110386" w:rsidRDefault="00EA185B" w:rsidP="00EA185B">
      <w:pPr>
        <w:numPr>
          <w:ilvl w:val="0"/>
          <w:numId w:val="6"/>
        </w:numPr>
        <w:rPr>
          <w:rFonts w:cs="Arial"/>
        </w:rPr>
      </w:pPr>
      <w:r w:rsidRPr="00110386">
        <w:rPr>
          <w:rFonts w:cs="Arial"/>
        </w:rPr>
        <w:t>Spine</w:t>
      </w:r>
    </w:p>
    <w:p w14:paraId="54B56416" w14:textId="77777777" w:rsidR="00EA185B" w:rsidRPr="00110386" w:rsidRDefault="00EA185B" w:rsidP="00EA185B">
      <w:pPr>
        <w:rPr>
          <w:rFonts w:cs="Arial"/>
        </w:rPr>
      </w:pPr>
    </w:p>
    <w:p w14:paraId="4DCD9089" w14:textId="77777777" w:rsidR="00EA185B" w:rsidRDefault="00EA185B" w:rsidP="00EA185B">
      <w:pPr>
        <w:rPr>
          <w:rFonts w:cs="Arial"/>
        </w:rPr>
      </w:pPr>
      <w:r w:rsidRPr="00110386">
        <w:rPr>
          <w:rFonts w:cs="Arial"/>
        </w:rPr>
        <w:t>This site grouping is reflected by the provision of separate definitions for the primary tumor (T) for each anatomic site.</w:t>
      </w:r>
    </w:p>
    <w:p w14:paraId="622EAADD" w14:textId="77777777" w:rsidR="009B3B71" w:rsidRDefault="009B3B71" w:rsidP="00EA185B">
      <w:pPr>
        <w:rPr>
          <w:rFonts w:cs="Arial"/>
        </w:rPr>
      </w:pPr>
    </w:p>
    <w:p w14:paraId="335DCAFC" w14:textId="77777777" w:rsidR="009B3B71" w:rsidRPr="00010CA3" w:rsidRDefault="009B3B71" w:rsidP="009B3B71">
      <w:pPr>
        <w:pStyle w:val="Heading1"/>
        <w:rPr>
          <w:rFonts w:cs="Arial"/>
          <w:b w:val="0"/>
          <w:kern w:val="18"/>
        </w:rPr>
      </w:pPr>
      <w:r w:rsidRPr="00010CA3">
        <w:rPr>
          <w:rFonts w:cs="Arial"/>
          <w:b w:val="0"/>
          <w:kern w:val="18"/>
        </w:rPr>
        <w:t>References</w:t>
      </w:r>
    </w:p>
    <w:p w14:paraId="3040F233" w14:textId="77777777" w:rsidR="009B3B71" w:rsidRDefault="009B3B71" w:rsidP="00442350">
      <w:pPr>
        <w:pStyle w:val="BodyText2"/>
        <w:numPr>
          <w:ilvl w:val="0"/>
          <w:numId w:val="14"/>
        </w:numPr>
        <w:tabs>
          <w:tab w:val="left" w:pos="450"/>
          <w:tab w:val="left" w:pos="1890"/>
        </w:tabs>
        <w:ind w:left="450" w:hanging="450"/>
        <w:rPr>
          <w:rFonts w:cs="Arial"/>
          <w:b w:val="0"/>
        </w:rPr>
      </w:pPr>
      <w:r w:rsidRPr="00845FBC">
        <w:rPr>
          <w:rFonts w:cs="Arial"/>
          <w:b w:val="0"/>
        </w:rPr>
        <w:t xml:space="preserve">Amin MB, Edge SB, Greene FL, et al, eds. </w:t>
      </w:r>
      <w:r w:rsidRPr="00442350">
        <w:rPr>
          <w:rFonts w:cs="Arial"/>
          <w:b w:val="0"/>
        </w:rPr>
        <w:t>AJCC Cancer Staging Manual</w:t>
      </w:r>
      <w:r w:rsidRPr="00845FBC">
        <w:rPr>
          <w:rFonts w:cs="Arial"/>
          <w:b w:val="0"/>
        </w:rPr>
        <w:t>. 8th ed. New York, NY: Springer; 2017.</w:t>
      </w:r>
    </w:p>
    <w:p w14:paraId="5EDD5BD9" w14:textId="77777777" w:rsidR="00EA185B" w:rsidRDefault="00EA185B" w:rsidP="00EA185B">
      <w:pPr>
        <w:pStyle w:val="Heading2"/>
        <w:rPr>
          <w:rFonts w:cs="Arial"/>
        </w:rPr>
      </w:pPr>
    </w:p>
    <w:p w14:paraId="6D196CD8" w14:textId="77777777" w:rsidR="00EA185B" w:rsidRPr="00C32B64" w:rsidRDefault="00EA185B" w:rsidP="00EA185B">
      <w:pPr>
        <w:rPr>
          <w:b/>
          <w:bCs/>
        </w:rPr>
      </w:pPr>
      <w:r>
        <w:br w:type="page"/>
      </w:r>
      <w:r w:rsidRPr="00C32B64">
        <w:rPr>
          <w:rFonts w:cs="Arial"/>
          <w:b/>
          <w:bCs/>
          <w:color w:val="000000"/>
        </w:rPr>
        <w:lastRenderedPageBreak/>
        <w:t xml:space="preserve">C.  Tumor Location and Extent </w:t>
      </w:r>
    </w:p>
    <w:p w14:paraId="03719295" w14:textId="77777777" w:rsidR="00EA185B" w:rsidRPr="00C32B64" w:rsidRDefault="00EA185B" w:rsidP="00EA185B"/>
    <w:p w14:paraId="37111833" w14:textId="77777777" w:rsidR="00EA185B" w:rsidRPr="00C32B64" w:rsidRDefault="00EA185B" w:rsidP="00EA185B">
      <w:pPr>
        <w:pStyle w:val="Heading2"/>
        <w:rPr>
          <w:rFonts w:cs="Arial"/>
          <w:b w:val="0"/>
          <w:bCs/>
        </w:rPr>
      </w:pPr>
      <w:r w:rsidRPr="00C32B64">
        <w:rPr>
          <w:rFonts w:cs="Arial"/>
          <w:b w:val="0"/>
          <w:bCs/>
        </w:rPr>
        <w:t xml:space="preserve">Radiographic imaging plays an especially critical role in the diagnosis of bone tumors. Close collaboration with an experienced musculoskeletal radiologist and orthopedic surgeon is recommended. </w:t>
      </w:r>
    </w:p>
    <w:p w14:paraId="25DA2D9A" w14:textId="77777777" w:rsidR="00EA185B" w:rsidRPr="00845FBC" w:rsidRDefault="00EA185B" w:rsidP="00EA185B">
      <w:pPr>
        <w:rPr>
          <w:rFonts w:cs="Arial"/>
        </w:rPr>
      </w:pPr>
    </w:p>
    <w:p w14:paraId="3E1434F4" w14:textId="77777777" w:rsidR="00EA185B" w:rsidRPr="00845FBC" w:rsidRDefault="00EA185B" w:rsidP="00EA185B">
      <w:pPr>
        <w:rPr>
          <w:rFonts w:cs="Arial"/>
        </w:rPr>
      </w:pPr>
      <w:r>
        <w:rPr>
          <w:rFonts w:cs="Arial"/>
        </w:rPr>
        <w:t>F</w:t>
      </w:r>
      <w:r w:rsidRPr="00845FBC">
        <w:rPr>
          <w:rFonts w:cs="Arial"/>
        </w:rPr>
        <w:t>igure</w:t>
      </w:r>
      <w:r>
        <w:rPr>
          <w:rFonts w:cs="Arial"/>
        </w:rPr>
        <w:t xml:space="preserve"> 1 </w:t>
      </w:r>
      <w:r w:rsidRPr="00845FBC">
        <w:rPr>
          <w:rFonts w:cs="Arial"/>
        </w:rPr>
        <w:t xml:space="preserve">is a diagrammatic representation of the “anatomic” regions of a long bone. These locations are very important in classifying bone tumors. For instance, </w:t>
      </w:r>
      <w:proofErr w:type="spellStart"/>
      <w:r w:rsidRPr="00845FBC">
        <w:rPr>
          <w:rFonts w:cs="Arial"/>
        </w:rPr>
        <w:t>chondroblastomas</w:t>
      </w:r>
      <w:proofErr w:type="spellEnd"/>
      <w:r w:rsidRPr="00845FBC">
        <w:rPr>
          <w:rFonts w:cs="Arial"/>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28403D79" w14:textId="77777777" w:rsidR="00EA185B" w:rsidRPr="00845FBC" w:rsidRDefault="00EA185B" w:rsidP="00EA185B">
      <w:pPr>
        <w:rPr>
          <w:rFonts w:cs="Arial"/>
        </w:rPr>
      </w:pPr>
    </w:p>
    <w:p w14:paraId="438313B6" w14:textId="77777777" w:rsidR="00EA185B" w:rsidRPr="00845FBC" w:rsidRDefault="00073884" w:rsidP="00EA185B">
      <w:pPr>
        <w:ind w:left="540"/>
        <w:rPr>
          <w:rFonts w:cs="Arial"/>
        </w:rPr>
      </w:pPr>
      <w:r w:rsidRPr="009B3B71">
        <w:rPr>
          <w:rFonts w:cs="Arial"/>
          <w:noProof/>
        </w:rPr>
        <w:drawing>
          <wp:inline distT="0" distB="0" distL="0" distR="0" wp14:anchorId="6DD208E4" wp14:editId="2DAC13C8">
            <wp:extent cx="2854325" cy="2854325"/>
            <wp:effectExtent l="0" t="0" r="0" b="0"/>
            <wp:docPr id="7" name="Picture 2" descr="BoneDiagram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oneDiagram0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16981545" w14:textId="77777777" w:rsidR="00EA185B" w:rsidRPr="00845FBC" w:rsidRDefault="00EA185B" w:rsidP="00EA185B">
      <w:pPr>
        <w:spacing w:after="120"/>
        <w:ind w:right="720"/>
        <w:rPr>
          <w:rFonts w:cs="Arial"/>
          <w:sz w:val="18"/>
          <w:szCs w:val="18"/>
        </w:rPr>
      </w:pPr>
      <w:r w:rsidRPr="00845FBC">
        <w:rPr>
          <w:rFonts w:cs="Arial"/>
          <w:b/>
          <w:sz w:val="18"/>
          <w:szCs w:val="18"/>
        </w:rPr>
        <w:t>Figure 1.</w:t>
      </w:r>
      <w:r w:rsidRPr="00845FBC">
        <w:rPr>
          <w:rFonts w:cs="Arial"/>
          <w:sz w:val="18"/>
          <w:szCs w:val="18"/>
        </w:rPr>
        <w:t xml:space="preserve"> Important anatomic landmarks for tumor diagnosis in long bones. Adapted from </w:t>
      </w:r>
      <w:r w:rsidRPr="00845FBC">
        <w:rPr>
          <w:rFonts w:cs="Arial"/>
          <w:i/>
          <w:sz w:val="18"/>
          <w:szCs w:val="18"/>
        </w:rPr>
        <w:t>Gray’s Anatomy.</w:t>
      </w:r>
      <w:r w:rsidRPr="00845FBC">
        <w:rPr>
          <w:rFonts w:cs="Arial"/>
          <w:sz w:val="18"/>
          <w:szCs w:val="18"/>
          <w:vertAlign w:val="superscript"/>
        </w:rPr>
        <w:t>1</w:t>
      </w:r>
    </w:p>
    <w:p w14:paraId="6374BDF9" w14:textId="77777777" w:rsidR="00EA185B" w:rsidRDefault="00EA185B" w:rsidP="00EA185B">
      <w:pPr>
        <w:rPr>
          <w:rFonts w:cs="Arial"/>
        </w:rPr>
      </w:pPr>
    </w:p>
    <w:p w14:paraId="10A8E55B" w14:textId="77777777" w:rsidR="00EA185B" w:rsidRPr="00010CA3" w:rsidRDefault="00EA185B" w:rsidP="00EA185B">
      <w:pPr>
        <w:pStyle w:val="Heading1"/>
        <w:rPr>
          <w:rFonts w:cs="Arial"/>
          <w:b w:val="0"/>
          <w:kern w:val="18"/>
        </w:rPr>
      </w:pPr>
      <w:r w:rsidRPr="00010CA3">
        <w:rPr>
          <w:rFonts w:cs="Arial"/>
          <w:b w:val="0"/>
          <w:kern w:val="18"/>
        </w:rPr>
        <w:t>References</w:t>
      </w:r>
    </w:p>
    <w:p w14:paraId="3A739D1D" w14:textId="77777777" w:rsidR="00EA185B" w:rsidRDefault="00EA185B" w:rsidP="00EA185B">
      <w:pPr>
        <w:ind w:left="450" w:hanging="450"/>
        <w:rPr>
          <w:rFonts w:cs="Arial"/>
        </w:rPr>
      </w:pPr>
      <w:r w:rsidRPr="00FF1B19">
        <w:rPr>
          <w:rFonts w:cs="Arial"/>
        </w:rPr>
        <w:t>1.</w:t>
      </w:r>
      <w:r w:rsidRPr="00FF1B19">
        <w:rPr>
          <w:rFonts w:cs="Arial"/>
        </w:rPr>
        <w:tab/>
      </w:r>
      <w:r w:rsidRPr="00C32B64">
        <w:rPr>
          <w:rFonts w:cs="Arial"/>
          <w:i/>
          <w:iCs/>
        </w:rPr>
        <w:t>Gray’s Anatomy of the Human Body</w:t>
      </w:r>
      <w:r w:rsidRPr="00FF1B19">
        <w:rPr>
          <w:rFonts w:cs="Arial"/>
        </w:rPr>
        <w:t xml:space="preserve">. Philadelphia, PA: Lea &amp; </w:t>
      </w:r>
      <w:proofErr w:type="spellStart"/>
      <w:r w:rsidRPr="00FF1B19">
        <w:rPr>
          <w:rFonts w:cs="Arial"/>
        </w:rPr>
        <w:t>Febiger</w:t>
      </w:r>
      <w:proofErr w:type="spellEnd"/>
      <w:r w:rsidRPr="00FF1B19">
        <w:rPr>
          <w:rFonts w:cs="Arial"/>
        </w:rPr>
        <w:t>; 1918.</w:t>
      </w:r>
    </w:p>
    <w:p w14:paraId="4D2B3A9B" w14:textId="77777777" w:rsidR="00FF1B19" w:rsidRPr="00845FBC" w:rsidRDefault="00FF1B19" w:rsidP="00B336E3">
      <w:pPr>
        <w:rPr>
          <w:rFonts w:cs="Arial"/>
        </w:rPr>
      </w:pPr>
    </w:p>
    <w:p w14:paraId="0E742CF8" w14:textId="3A5732D7" w:rsidR="00B336E3" w:rsidRPr="00845FBC" w:rsidRDefault="00182C11" w:rsidP="00776309">
      <w:pPr>
        <w:pStyle w:val="Heading2"/>
        <w:rPr>
          <w:rFonts w:cs="Arial"/>
        </w:rPr>
      </w:pPr>
      <w:r>
        <w:rPr>
          <w:rFonts w:cs="Arial"/>
        </w:rPr>
        <w:t>D</w:t>
      </w:r>
      <w:r w:rsidR="00B336E3" w:rsidRPr="00845FBC">
        <w:rPr>
          <w:rFonts w:cs="Arial"/>
        </w:rPr>
        <w:t>.</w:t>
      </w:r>
      <w:r w:rsidR="00B336E3" w:rsidRPr="00845FBC">
        <w:rPr>
          <w:rFonts w:cs="Arial"/>
        </w:rPr>
        <w:tab/>
        <w:t>Classification of Bone Tumors</w:t>
      </w:r>
    </w:p>
    <w:p w14:paraId="569232C2" w14:textId="77777777" w:rsidR="00B336E3" w:rsidRPr="00442350" w:rsidRDefault="00B336E3" w:rsidP="00B336E3">
      <w:pPr>
        <w:pStyle w:val="Heading2"/>
        <w:rPr>
          <w:rFonts w:cs="Arial"/>
          <w:b w:val="0"/>
          <w:bCs/>
          <w:u w:val="single"/>
        </w:rPr>
      </w:pPr>
      <w:r w:rsidRPr="00442350">
        <w:rPr>
          <w:rFonts w:cs="Arial"/>
          <w:b w:val="0"/>
          <w:bCs/>
          <w:u w:val="single"/>
        </w:rPr>
        <w:t>Intraoperative Consultation</w:t>
      </w:r>
    </w:p>
    <w:p w14:paraId="41B22CCB" w14:textId="77777777" w:rsidR="00B336E3" w:rsidRPr="00845FBC" w:rsidRDefault="00B336E3" w:rsidP="00B336E3">
      <w:pPr>
        <w:rPr>
          <w:rFonts w:cs="Arial"/>
        </w:rPr>
      </w:pPr>
      <w:r w:rsidRPr="00845FBC">
        <w:rPr>
          <w:rFonts w:cs="Arial"/>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845FBC">
        <w:rPr>
          <w:rFonts w:cs="Arial"/>
        </w:rPr>
        <w:t>lesional</w:t>
      </w:r>
      <w:proofErr w:type="spellEnd"/>
      <w:r w:rsidRPr="00845FBC">
        <w:rPr>
          <w:rFonts w:cs="Arial"/>
        </w:rPr>
        <w:t xml:space="preserve">” tissue is present and </w:t>
      </w:r>
      <w:proofErr w:type="gramStart"/>
      <w:r w:rsidRPr="00845FBC">
        <w:rPr>
          <w:rFonts w:cs="Arial"/>
        </w:rPr>
        <w:t>whether or not</w:t>
      </w:r>
      <w:proofErr w:type="gramEnd"/>
      <w:r w:rsidRPr="00845FBC">
        <w:rPr>
          <w:rFonts w:cs="Arial"/>
        </w:rPr>
        <w:t xml:space="preserve">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once </w:t>
      </w:r>
      <w:proofErr w:type="gramStart"/>
      <w:r w:rsidRPr="00845FBC">
        <w:rPr>
          <w:rFonts w:cs="Arial"/>
        </w:rPr>
        <w:t>sufficient</w:t>
      </w:r>
      <w:proofErr w:type="gramEnd"/>
      <w:r w:rsidRPr="00845FBC">
        <w:rPr>
          <w:rFonts w:cs="Arial"/>
        </w:rPr>
        <w:t xml:space="preserve"> tissue has been submitted for histologic evaluation. </w:t>
      </w:r>
    </w:p>
    <w:p w14:paraId="6B6D4C4C" w14:textId="77777777" w:rsidR="00B336E3" w:rsidRPr="00845FBC" w:rsidRDefault="00B336E3" w:rsidP="00B336E3">
      <w:pPr>
        <w:rPr>
          <w:rFonts w:cs="Arial"/>
        </w:rPr>
      </w:pPr>
    </w:p>
    <w:p w14:paraId="5B14F6AB" w14:textId="3E462398" w:rsidR="00B336E3" w:rsidRPr="00442350" w:rsidRDefault="00DD7C11" w:rsidP="00B336E3">
      <w:pPr>
        <w:pStyle w:val="Heading2"/>
        <w:rPr>
          <w:rFonts w:cs="Arial"/>
          <w:b w:val="0"/>
          <w:bCs/>
          <w:u w:val="single"/>
        </w:rPr>
      </w:pPr>
      <w:r w:rsidRPr="00442350">
        <w:rPr>
          <w:rFonts w:cs="Arial"/>
          <w:b w:val="0"/>
          <w:bCs/>
          <w:u w:val="single"/>
        </w:rPr>
        <w:t xml:space="preserve">Tumor Classification </w:t>
      </w:r>
      <w:r w:rsidR="00523AB4">
        <w:rPr>
          <w:rFonts w:cs="Arial"/>
          <w:b w:val="0"/>
          <w:bCs/>
          <w:u w:val="single"/>
        </w:rPr>
        <w:t>f</w:t>
      </w:r>
      <w:r w:rsidR="00B336E3" w:rsidRPr="00442350">
        <w:rPr>
          <w:rFonts w:cs="Arial"/>
          <w:b w:val="0"/>
          <w:bCs/>
          <w:u w:val="single"/>
        </w:rPr>
        <w:t>rom Biopsies</w:t>
      </w:r>
    </w:p>
    <w:p w14:paraId="4E47F016" w14:textId="77777777" w:rsidR="00B336E3" w:rsidRPr="00845FBC" w:rsidRDefault="00B336E3" w:rsidP="00B336E3">
      <w:pPr>
        <w:rPr>
          <w:rFonts w:cs="Arial"/>
        </w:rPr>
      </w:pPr>
      <w:r w:rsidRPr="00845FBC">
        <w:rPr>
          <w:rFonts w:cs="Arial"/>
        </w:rPr>
        <w:t xml:space="preserve">It is not always possible to classify bone tumors precisely based on biopsy material, especially FNA and core needle biopsy specimens. </w:t>
      </w:r>
      <w:r w:rsidR="003F5BDF">
        <w:rPr>
          <w:rFonts w:cs="Arial"/>
        </w:rPr>
        <w:t>Although</w:t>
      </w:r>
      <w:r w:rsidR="003F5BDF" w:rsidRPr="00845FBC">
        <w:rPr>
          <w:rFonts w:cs="Arial"/>
        </w:rPr>
        <w:t xml:space="preserve"> </w:t>
      </w:r>
      <w:r w:rsidRPr="00845FBC">
        <w:rPr>
          <w:rFonts w:cs="Arial"/>
        </w:rPr>
        <w:t>pathologists should make every attempt to classify lesions in small biopsy specimens, on occasion</w:t>
      </w:r>
      <w:r w:rsidR="003F5BDF">
        <w:rPr>
          <w:rFonts w:cs="Arial"/>
        </w:rPr>
        <w:t>,</w:t>
      </w:r>
      <w:r w:rsidRPr="00845FBC">
        <w:rPr>
          <w:rFonts w:cs="Arial"/>
        </w:rPr>
        <w:t xml:space="preserve"> stratification into very basic diagnostic categories, such as lymphoma, carcinoma, melanoma, and sarcoma, is all that is possible. In some cases, precise classification is only possible in open biopsies or resection specimens.</w:t>
      </w:r>
    </w:p>
    <w:p w14:paraId="38D26066" w14:textId="77777777" w:rsidR="00B336E3" w:rsidRDefault="00B336E3" w:rsidP="00B336E3">
      <w:pPr>
        <w:rPr>
          <w:rFonts w:cs="Arial"/>
        </w:rPr>
      </w:pPr>
    </w:p>
    <w:p w14:paraId="79C8EBD0" w14:textId="77777777" w:rsidR="009B3B71" w:rsidRPr="00696ADA" w:rsidRDefault="009B3B71" w:rsidP="009B3B71">
      <w:pPr>
        <w:pStyle w:val="Heading2"/>
        <w:rPr>
          <w:rFonts w:cs="Arial"/>
          <w:b w:val="0"/>
          <w:bCs/>
          <w:u w:val="single"/>
        </w:rPr>
      </w:pPr>
      <w:r w:rsidRPr="00696ADA">
        <w:rPr>
          <w:rFonts w:cs="Arial"/>
          <w:b w:val="0"/>
          <w:bCs/>
          <w:u w:val="single"/>
        </w:rPr>
        <w:lastRenderedPageBreak/>
        <w:t xml:space="preserve">Histologic Classification of Treated Lesions </w:t>
      </w:r>
    </w:p>
    <w:p w14:paraId="2C0B84B2" w14:textId="77777777" w:rsidR="009B3B71" w:rsidRPr="00845FBC" w:rsidRDefault="009B3B71" w:rsidP="009B3B71">
      <w:pPr>
        <w:rPr>
          <w:rFonts w:cs="Arial"/>
        </w:rPr>
      </w:pPr>
      <w:r w:rsidRPr="00845FBC">
        <w:rPr>
          <w:rFonts w:cs="Arial"/>
        </w:rPr>
        <w:t>Due to extensive treatment effects, such as necrosis, fibrosis, and chemotherapy-induced and radiation-induced pleomorphism, it may not be possible to classify some lesions that were either never biopsied or where the biopsy was insufficient for a precise diagnosis. In problematic cases, the grade of the pretreatment specimen (if available) should take precedence.</w:t>
      </w:r>
    </w:p>
    <w:p w14:paraId="50EE7D80" w14:textId="77777777" w:rsidR="009B3B71" w:rsidRPr="00845FBC" w:rsidRDefault="009B3B71" w:rsidP="00B336E3">
      <w:pPr>
        <w:rPr>
          <w:rFonts w:cs="Arial"/>
        </w:rPr>
      </w:pPr>
    </w:p>
    <w:p w14:paraId="6851735C" w14:textId="77777777" w:rsidR="00B336E3" w:rsidRPr="00442350" w:rsidRDefault="00B336E3" w:rsidP="00B336E3">
      <w:pPr>
        <w:pStyle w:val="Heading2"/>
        <w:rPr>
          <w:rFonts w:cs="Arial"/>
          <w:b w:val="0"/>
          <w:bCs/>
          <w:u w:val="single"/>
        </w:rPr>
      </w:pPr>
      <w:r w:rsidRPr="00442350">
        <w:rPr>
          <w:rFonts w:cs="Arial"/>
          <w:b w:val="0"/>
          <w:bCs/>
          <w:u w:val="single"/>
        </w:rPr>
        <w:t>WHO Classification of Malignant Bone Tumors</w:t>
      </w:r>
    </w:p>
    <w:p w14:paraId="17C384CA" w14:textId="23D04E9E" w:rsidR="00B336E3" w:rsidRPr="00845FBC" w:rsidRDefault="00B336E3" w:rsidP="00B336E3">
      <w:pPr>
        <w:rPr>
          <w:rFonts w:cs="Arial"/>
        </w:rPr>
      </w:pPr>
      <w:r w:rsidRPr="00845FBC">
        <w:rPr>
          <w:rFonts w:cs="Arial"/>
        </w:rPr>
        <w:t>Classification of tumors should be made according to the World Health Organization (WHO) classification of bone tumors listed below.</w:t>
      </w:r>
      <w:r w:rsidR="00525675">
        <w:rPr>
          <w:rFonts w:cs="Arial"/>
          <w:vertAlign w:val="superscript"/>
        </w:rPr>
        <w:t>1</w:t>
      </w:r>
      <w:r w:rsidRPr="00845FBC">
        <w:rPr>
          <w:rFonts w:cs="Arial"/>
        </w:rPr>
        <w:t xml:space="preserve"> </w:t>
      </w:r>
    </w:p>
    <w:p w14:paraId="42C9F03B" w14:textId="77777777" w:rsidR="00B336E3" w:rsidRPr="00845FBC" w:rsidRDefault="00B336E3" w:rsidP="00A36903">
      <w:pPr>
        <w:pStyle w:val="Heading2"/>
        <w:keepNext w:val="0"/>
        <w:tabs>
          <w:tab w:val="left" w:pos="7710"/>
        </w:tabs>
        <w:rPr>
          <w:rFonts w:eastAsia="MS Mincho" w:cs="Arial"/>
        </w:rPr>
      </w:pPr>
    </w:p>
    <w:p w14:paraId="5811DFC6" w14:textId="30982E75" w:rsidR="00B336E3" w:rsidRPr="00845FBC" w:rsidRDefault="00B336E3" w:rsidP="00B336E3">
      <w:pPr>
        <w:pStyle w:val="Heading2"/>
        <w:tabs>
          <w:tab w:val="left" w:pos="7710"/>
        </w:tabs>
        <w:rPr>
          <w:rFonts w:eastAsia="MS Mincho" w:cs="Arial"/>
        </w:rPr>
      </w:pPr>
      <w:r w:rsidRPr="00845FBC">
        <w:rPr>
          <w:rFonts w:eastAsia="MS Mincho" w:cs="Arial"/>
        </w:rPr>
        <w:t>WHO Classification of Malignant Bone</w:t>
      </w:r>
      <w:r w:rsidR="00C11FF2">
        <w:rPr>
          <w:rFonts w:eastAsia="MS Mincho" w:cs="Arial"/>
        </w:rPr>
        <w:t xml:space="preserve"> </w:t>
      </w:r>
      <w:r w:rsidRPr="00845FBC">
        <w:rPr>
          <w:rFonts w:eastAsia="MS Mincho" w:cs="Arial"/>
        </w:rPr>
        <w:t>Tumors</w:t>
      </w:r>
    </w:p>
    <w:p w14:paraId="40C28EB0" w14:textId="77777777" w:rsidR="00B336E3" w:rsidRPr="00845FBC" w:rsidRDefault="00B336E3" w:rsidP="00B336E3">
      <w:pPr>
        <w:keepNext/>
        <w:rPr>
          <w:rFonts w:eastAsia="MS Mincho" w:cs="Arial"/>
        </w:rPr>
      </w:pPr>
    </w:p>
    <w:p w14:paraId="13BD9ADE" w14:textId="77777777" w:rsidR="00E95914" w:rsidRPr="00E159A6" w:rsidRDefault="00E95914" w:rsidP="00E95914">
      <w:pPr>
        <w:keepNext/>
        <w:keepLines/>
        <w:rPr>
          <w:rFonts w:eastAsia="MS Mincho" w:cs="Arial"/>
          <w:u w:val="single"/>
        </w:rPr>
      </w:pPr>
      <w:r w:rsidRPr="00E159A6">
        <w:rPr>
          <w:rFonts w:eastAsia="MS Mincho" w:cs="Arial"/>
          <w:u w:val="single"/>
        </w:rPr>
        <w:t>Chondrogenic Tumors</w:t>
      </w:r>
    </w:p>
    <w:p w14:paraId="6BEB0565" w14:textId="77777777" w:rsidR="00E95914" w:rsidRPr="00845FBC" w:rsidRDefault="00E95914" w:rsidP="00E95914">
      <w:pPr>
        <w:pStyle w:val="10"/>
        <w:rPr>
          <w:rFonts w:eastAsia="MS Mincho" w:cs="Arial"/>
        </w:rPr>
      </w:pPr>
      <w:r w:rsidRPr="00845FBC">
        <w:rPr>
          <w:rFonts w:eastAsia="MS Mincho" w:cs="Arial"/>
        </w:rPr>
        <w:t>Chondrosarcoma</w:t>
      </w:r>
    </w:p>
    <w:p w14:paraId="323AF039" w14:textId="77777777" w:rsidR="00E95914" w:rsidRPr="00845FBC" w:rsidRDefault="00E95914" w:rsidP="00E95914">
      <w:pPr>
        <w:pStyle w:val="10"/>
        <w:rPr>
          <w:rFonts w:eastAsia="MS Mincho" w:cs="Arial"/>
        </w:rPr>
      </w:pPr>
      <w:r w:rsidRPr="00845FBC">
        <w:rPr>
          <w:rFonts w:eastAsia="MS Mincho" w:cs="Arial"/>
        </w:rPr>
        <w:t>Dedifferentiated chondrosarcoma</w:t>
      </w:r>
    </w:p>
    <w:p w14:paraId="1A1E905A" w14:textId="77777777" w:rsidR="00E95914" w:rsidRPr="00845FBC" w:rsidRDefault="00E95914" w:rsidP="00E95914">
      <w:pPr>
        <w:pStyle w:val="10"/>
        <w:rPr>
          <w:rFonts w:eastAsia="MS Mincho" w:cs="Arial"/>
        </w:rPr>
      </w:pPr>
      <w:r w:rsidRPr="00845FBC">
        <w:rPr>
          <w:rFonts w:eastAsia="MS Mincho" w:cs="Arial"/>
        </w:rPr>
        <w:t>Clear cell chondrosarcoma</w:t>
      </w:r>
    </w:p>
    <w:p w14:paraId="219497C7" w14:textId="77777777" w:rsidR="00E95914" w:rsidRPr="00845FBC" w:rsidRDefault="00E95914" w:rsidP="00E95914">
      <w:pPr>
        <w:pStyle w:val="10"/>
        <w:rPr>
          <w:rFonts w:eastAsia="MS Mincho" w:cs="Arial"/>
        </w:rPr>
      </w:pPr>
      <w:r w:rsidRPr="00845FBC">
        <w:rPr>
          <w:rFonts w:eastAsia="MS Mincho" w:cs="Arial"/>
        </w:rPr>
        <w:t>Mesenchymal chondrosarcoma</w:t>
      </w:r>
    </w:p>
    <w:p w14:paraId="5C8F60EB" w14:textId="77777777" w:rsidR="00E95914" w:rsidRPr="00845FBC" w:rsidRDefault="00E95914" w:rsidP="00E95914">
      <w:pPr>
        <w:rPr>
          <w:rFonts w:eastAsia="MS Mincho" w:cs="Arial"/>
        </w:rPr>
      </w:pPr>
    </w:p>
    <w:p w14:paraId="0385F6FC" w14:textId="77777777" w:rsidR="00E95914" w:rsidRPr="00E159A6" w:rsidRDefault="00E95914" w:rsidP="00E95914">
      <w:pPr>
        <w:pStyle w:val="Footer"/>
        <w:tabs>
          <w:tab w:val="clear" w:pos="4320"/>
          <w:tab w:val="clear" w:pos="8640"/>
        </w:tabs>
        <w:rPr>
          <w:rFonts w:eastAsia="MS Mincho" w:cs="Arial"/>
          <w:u w:val="single"/>
        </w:rPr>
      </w:pPr>
      <w:r w:rsidRPr="00E159A6">
        <w:rPr>
          <w:rFonts w:eastAsia="MS Mincho" w:cs="Arial"/>
          <w:u w:val="single"/>
        </w:rPr>
        <w:t>Osteogenic Tumors</w:t>
      </w:r>
    </w:p>
    <w:p w14:paraId="4560CC55" w14:textId="77777777" w:rsidR="00E95914" w:rsidRPr="00845FBC" w:rsidRDefault="00E95914" w:rsidP="00E95914">
      <w:pPr>
        <w:pStyle w:val="10"/>
        <w:rPr>
          <w:rFonts w:eastAsia="MS Mincho" w:cs="Arial"/>
        </w:rPr>
      </w:pPr>
      <w:r w:rsidRPr="00845FBC">
        <w:rPr>
          <w:rFonts w:eastAsia="MS Mincho" w:cs="Arial"/>
        </w:rPr>
        <w:t>Low-grade central osteosarcoma</w:t>
      </w:r>
    </w:p>
    <w:p w14:paraId="2D8BA7DB" w14:textId="77777777" w:rsidR="00E95914" w:rsidRPr="00845FBC" w:rsidRDefault="00E95914" w:rsidP="00E95914">
      <w:pPr>
        <w:pStyle w:val="10"/>
        <w:rPr>
          <w:rFonts w:eastAsia="MS Mincho" w:cs="Arial"/>
        </w:rPr>
      </w:pPr>
      <w:r w:rsidRPr="00845FBC">
        <w:rPr>
          <w:rFonts w:eastAsia="MS Mincho" w:cs="Arial"/>
        </w:rPr>
        <w:t>Conventional osteosarcoma</w:t>
      </w:r>
    </w:p>
    <w:p w14:paraId="61B34144" w14:textId="77777777" w:rsidR="00E95914" w:rsidRPr="00845FBC" w:rsidRDefault="00E95914" w:rsidP="00E95914">
      <w:pPr>
        <w:pStyle w:val="1"/>
        <w:ind w:left="0" w:firstLine="720"/>
        <w:rPr>
          <w:rFonts w:eastAsia="MS Mincho" w:cs="Arial"/>
        </w:rPr>
      </w:pPr>
      <w:proofErr w:type="spellStart"/>
      <w:r w:rsidRPr="00845FBC">
        <w:rPr>
          <w:rFonts w:eastAsia="MS Mincho" w:cs="Arial"/>
        </w:rPr>
        <w:t>Chondroblastic</w:t>
      </w:r>
      <w:proofErr w:type="spellEnd"/>
    </w:p>
    <w:p w14:paraId="34DBBD33" w14:textId="77777777" w:rsidR="00E95914" w:rsidRPr="00845FBC" w:rsidRDefault="00E95914" w:rsidP="00E95914">
      <w:pPr>
        <w:pStyle w:val="1"/>
        <w:ind w:left="360" w:firstLine="360"/>
        <w:rPr>
          <w:rFonts w:eastAsia="MS Mincho" w:cs="Arial"/>
        </w:rPr>
      </w:pPr>
      <w:r w:rsidRPr="00845FBC">
        <w:rPr>
          <w:rFonts w:eastAsia="MS Mincho" w:cs="Arial"/>
        </w:rPr>
        <w:t>Fibroblastic</w:t>
      </w:r>
    </w:p>
    <w:p w14:paraId="6CF60BCA" w14:textId="77777777" w:rsidR="00E95914" w:rsidRPr="00845FBC" w:rsidRDefault="00E95914" w:rsidP="00E95914">
      <w:pPr>
        <w:pStyle w:val="1"/>
        <w:ind w:left="0" w:firstLine="720"/>
        <w:rPr>
          <w:rFonts w:eastAsia="MS Mincho" w:cs="Arial"/>
        </w:rPr>
      </w:pPr>
      <w:r w:rsidRPr="00845FBC">
        <w:rPr>
          <w:rFonts w:eastAsia="MS Mincho" w:cs="Arial"/>
        </w:rPr>
        <w:t>Osteoblastic</w:t>
      </w:r>
    </w:p>
    <w:p w14:paraId="362F426A" w14:textId="77777777" w:rsidR="00E95914" w:rsidRPr="00845FBC" w:rsidRDefault="00E95914" w:rsidP="00E95914">
      <w:pPr>
        <w:pStyle w:val="a"/>
        <w:ind w:left="720"/>
        <w:rPr>
          <w:rFonts w:eastAsia="MS Mincho" w:cs="Arial"/>
        </w:rPr>
      </w:pPr>
      <w:r w:rsidRPr="00845FBC">
        <w:rPr>
          <w:rFonts w:eastAsia="MS Mincho" w:cs="Arial"/>
        </w:rPr>
        <w:t>Telangiectatic</w:t>
      </w:r>
      <w:r>
        <w:rPr>
          <w:rFonts w:eastAsia="MS Mincho" w:cs="Arial"/>
        </w:rPr>
        <w:t xml:space="preserve"> osteosarcoma</w:t>
      </w:r>
    </w:p>
    <w:p w14:paraId="4E13A410" w14:textId="77777777" w:rsidR="00E95914" w:rsidRPr="00845FBC" w:rsidRDefault="00E95914" w:rsidP="00E95914">
      <w:pPr>
        <w:pStyle w:val="a"/>
        <w:ind w:left="720"/>
        <w:rPr>
          <w:rFonts w:eastAsia="MS Mincho" w:cs="Arial"/>
        </w:rPr>
      </w:pPr>
      <w:r w:rsidRPr="00845FBC">
        <w:rPr>
          <w:rFonts w:eastAsia="MS Mincho" w:cs="Arial"/>
        </w:rPr>
        <w:t>Small cell</w:t>
      </w:r>
      <w:r>
        <w:rPr>
          <w:rFonts w:eastAsia="MS Mincho" w:cs="Arial"/>
        </w:rPr>
        <w:t xml:space="preserve"> osteosarcoma</w:t>
      </w:r>
    </w:p>
    <w:p w14:paraId="6289E58F" w14:textId="77777777" w:rsidR="00E95914" w:rsidRPr="00845FBC" w:rsidRDefault="00E95914" w:rsidP="00E95914">
      <w:pPr>
        <w:pStyle w:val="a"/>
        <w:ind w:left="720"/>
        <w:rPr>
          <w:rFonts w:eastAsia="MS Mincho" w:cs="Arial"/>
        </w:rPr>
      </w:pPr>
      <w:r w:rsidRPr="00845FBC">
        <w:rPr>
          <w:rFonts w:eastAsia="MS Mincho" w:cs="Arial"/>
        </w:rPr>
        <w:t>Secondary</w:t>
      </w:r>
      <w:r>
        <w:rPr>
          <w:rFonts w:eastAsia="MS Mincho" w:cs="Arial"/>
        </w:rPr>
        <w:t xml:space="preserve"> osteosarcoma</w:t>
      </w:r>
    </w:p>
    <w:p w14:paraId="5F38806E" w14:textId="77777777" w:rsidR="00E95914" w:rsidRPr="00845FBC" w:rsidRDefault="00E95914" w:rsidP="00E95914">
      <w:pPr>
        <w:pStyle w:val="a"/>
        <w:ind w:left="720"/>
        <w:rPr>
          <w:rFonts w:eastAsia="MS Mincho" w:cs="Arial"/>
        </w:rPr>
      </w:pPr>
      <w:proofErr w:type="spellStart"/>
      <w:r w:rsidRPr="00845FBC">
        <w:rPr>
          <w:rFonts w:eastAsia="MS Mincho" w:cs="Arial"/>
        </w:rPr>
        <w:t>Parosteal</w:t>
      </w:r>
      <w:proofErr w:type="spellEnd"/>
      <w:r>
        <w:rPr>
          <w:rFonts w:eastAsia="MS Mincho" w:cs="Arial"/>
        </w:rPr>
        <w:t xml:space="preserve"> osteosarcoma</w:t>
      </w:r>
    </w:p>
    <w:p w14:paraId="15A3E1DE" w14:textId="77777777" w:rsidR="00E95914" w:rsidRPr="00845FBC" w:rsidRDefault="00E95914" w:rsidP="00E95914">
      <w:pPr>
        <w:pStyle w:val="a"/>
        <w:ind w:left="720"/>
        <w:rPr>
          <w:rFonts w:eastAsia="MS Mincho" w:cs="Arial"/>
        </w:rPr>
      </w:pPr>
      <w:r w:rsidRPr="00845FBC">
        <w:rPr>
          <w:rFonts w:eastAsia="MS Mincho" w:cs="Arial"/>
        </w:rPr>
        <w:t>Periosteal</w:t>
      </w:r>
      <w:r>
        <w:rPr>
          <w:rFonts w:eastAsia="MS Mincho" w:cs="Arial"/>
        </w:rPr>
        <w:t xml:space="preserve"> osteosarcoma</w:t>
      </w:r>
    </w:p>
    <w:p w14:paraId="4B1CB653" w14:textId="77777777" w:rsidR="00E95914" w:rsidRPr="00845FBC" w:rsidRDefault="00E95914" w:rsidP="00E95914">
      <w:pPr>
        <w:pStyle w:val="a"/>
        <w:ind w:left="720"/>
        <w:rPr>
          <w:rFonts w:eastAsia="MS Mincho" w:cs="Arial"/>
        </w:rPr>
      </w:pPr>
      <w:r w:rsidRPr="00845FBC">
        <w:rPr>
          <w:rFonts w:eastAsia="MS Mincho" w:cs="Arial"/>
        </w:rPr>
        <w:t>High grade surface</w:t>
      </w:r>
      <w:r>
        <w:rPr>
          <w:rFonts w:eastAsia="MS Mincho" w:cs="Arial"/>
        </w:rPr>
        <w:t xml:space="preserve"> osteosarcoma</w:t>
      </w:r>
    </w:p>
    <w:p w14:paraId="278B5C3B" w14:textId="77777777" w:rsidR="00E95914" w:rsidRPr="00845FBC" w:rsidRDefault="00E95914" w:rsidP="00E95914">
      <w:pPr>
        <w:rPr>
          <w:rFonts w:eastAsia="MS Mincho" w:cs="Arial"/>
        </w:rPr>
      </w:pPr>
    </w:p>
    <w:p w14:paraId="285E0140" w14:textId="77777777" w:rsidR="00E95914" w:rsidRPr="00E159A6" w:rsidRDefault="00E95914" w:rsidP="00E95914">
      <w:pPr>
        <w:pStyle w:val="Footer"/>
        <w:keepNext/>
        <w:tabs>
          <w:tab w:val="clear" w:pos="4320"/>
          <w:tab w:val="clear" w:pos="8640"/>
        </w:tabs>
        <w:rPr>
          <w:rFonts w:eastAsia="MS Mincho" w:cs="Arial"/>
          <w:u w:val="single"/>
        </w:rPr>
      </w:pPr>
      <w:proofErr w:type="spellStart"/>
      <w:r w:rsidRPr="00E159A6">
        <w:rPr>
          <w:rFonts w:eastAsia="MS Mincho" w:cs="Arial"/>
          <w:u w:val="single"/>
        </w:rPr>
        <w:t>Fibrogenic</w:t>
      </w:r>
      <w:proofErr w:type="spellEnd"/>
      <w:r w:rsidRPr="00E159A6">
        <w:rPr>
          <w:rFonts w:eastAsia="MS Mincho" w:cs="Arial"/>
          <w:u w:val="single"/>
        </w:rPr>
        <w:t xml:space="preserve"> Tumors</w:t>
      </w:r>
    </w:p>
    <w:p w14:paraId="3962C878" w14:textId="77777777" w:rsidR="00E95914" w:rsidRPr="00845FBC" w:rsidRDefault="00E95914" w:rsidP="00E95914">
      <w:pPr>
        <w:pStyle w:val="10"/>
        <w:rPr>
          <w:rFonts w:eastAsia="MS Mincho" w:cs="Arial"/>
        </w:rPr>
      </w:pPr>
      <w:r w:rsidRPr="00845FBC">
        <w:rPr>
          <w:rFonts w:eastAsia="MS Mincho" w:cs="Arial"/>
        </w:rPr>
        <w:t>Fibrosarcoma of bone</w:t>
      </w:r>
    </w:p>
    <w:p w14:paraId="1DB183BB" w14:textId="77777777" w:rsidR="00E95914" w:rsidRPr="00845FBC" w:rsidRDefault="00E95914" w:rsidP="00E95914">
      <w:pPr>
        <w:pStyle w:val="PlainText"/>
        <w:tabs>
          <w:tab w:val="left" w:pos="600"/>
          <w:tab w:val="left" w:pos="3720"/>
        </w:tabs>
        <w:rPr>
          <w:rFonts w:ascii="Arial" w:eastAsia="MS Mincho" w:hAnsi="Arial" w:cs="Arial"/>
        </w:rPr>
      </w:pPr>
    </w:p>
    <w:p w14:paraId="3E175222" w14:textId="77777777" w:rsidR="00E95914" w:rsidRPr="00E159A6" w:rsidRDefault="00E95914" w:rsidP="00E95914">
      <w:pPr>
        <w:pStyle w:val="Footer"/>
        <w:tabs>
          <w:tab w:val="clear" w:pos="4320"/>
          <w:tab w:val="clear" w:pos="8640"/>
        </w:tabs>
        <w:rPr>
          <w:rFonts w:eastAsia="MS Mincho" w:cs="Arial"/>
          <w:u w:val="single"/>
        </w:rPr>
      </w:pPr>
      <w:r w:rsidRPr="00E159A6">
        <w:rPr>
          <w:rFonts w:eastAsia="MS Mincho" w:cs="Arial"/>
          <w:u w:val="single"/>
        </w:rPr>
        <w:t>Hematopoietic Tumors*</w:t>
      </w:r>
    </w:p>
    <w:p w14:paraId="1FB6BAD8" w14:textId="77777777" w:rsidR="00E95914" w:rsidRPr="00845FBC" w:rsidRDefault="00E95914" w:rsidP="00E95914">
      <w:pPr>
        <w:pStyle w:val="10"/>
        <w:rPr>
          <w:rFonts w:eastAsia="MS Mincho" w:cs="Arial"/>
        </w:rPr>
      </w:pPr>
      <w:r w:rsidRPr="00845FBC">
        <w:rPr>
          <w:rFonts w:eastAsia="MS Mincho" w:cs="Arial"/>
        </w:rPr>
        <w:t>Plasma cell myeloma</w:t>
      </w:r>
      <w:r>
        <w:rPr>
          <w:rFonts w:eastAsia="MS Mincho" w:cs="Arial"/>
        </w:rPr>
        <w:t>*</w:t>
      </w:r>
    </w:p>
    <w:p w14:paraId="402AB7CD" w14:textId="77777777" w:rsidR="00E95914" w:rsidRPr="00845FBC" w:rsidRDefault="00E95914" w:rsidP="00E95914">
      <w:pPr>
        <w:pStyle w:val="10"/>
        <w:rPr>
          <w:rFonts w:eastAsia="MS Mincho" w:cs="Arial"/>
        </w:rPr>
      </w:pPr>
      <w:r w:rsidRPr="00845FBC">
        <w:rPr>
          <w:rFonts w:eastAsia="MS Mincho" w:cs="Arial"/>
        </w:rPr>
        <w:t>Solitary plasmacytoma of bone</w:t>
      </w:r>
      <w:r>
        <w:rPr>
          <w:rFonts w:eastAsia="MS Mincho" w:cs="Arial"/>
        </w:rPr>
        <w:t>*</w:t>
      </w:r>
    </w:p>
    <w:p w14:paraId="41DA0A51" w14:textId="77777777" w:rsidR="00E95914" w:rsidRPr="00845FBC" w:rsidRDefault="00E95914" w:rsidP="00E95914">
      <w:pPr>
        <w:pStyle w:val="10"/>
        <w:rPr>
          <w:rFonts w:eastAsia="MS Mincho" w:cs="Arial"/>
        </w:rPr>
      </w:pPr>
      <w:r w:rsidRPr="00845FBC">
        <w:rPr>
          <w:rFonts w:eastAsia="MS Mincho" w:cs="Arial"/>
        </w:rPr>
        <w:t>Primary non-Hodgkin lymphoma, NOS</w:t>
      </w:r>
      <w:r>
        <w:rPr>
          <w:rFonts w:eastAsia="MS Mincho" w:cs="Arial"/>
        </w:rPr>
        <w:t>*</w:t>
      </w:r>
    </w:p>
    <w:p w14:paraId="64CA8CE8" w14:textId="77777777" w:rsidR="00E95914" w:rsidRPr="00845FBC" w:rsidRDefault="00E95914" w:rsidP="00E95914">
      <w:pPr>
        <w:pStyle w:val="10"/>
        <w:rPr>
          <w:rFonts w:eastAsia="MS Mincho" w:cs="Arial"/>
        </w:rPr>
      </w:pPr>
    </w:p>
    <w:p w14:paraId="498C850F" w14:textId="77777777" w:rsidR="00E95914" w:rsidRPr="00E159A6" w:rsidRDefault="00E95914" w:rsidP="00E95914">
      <w:pPr>
        <w:pStyle w:val="Footer"/>
        <w:keepNext/>
        <w:keepLines/>
        <w:tabs>
          <w:tab w:val="clear" w:pos="4320"/>
          <w:tab w:val="clear" w:pos="8640"/>
        </w:tabs>
        <w:rPr>
          <w:rFonts w:eastAsia="MS Mincho" w:cs="Arial"/>
          <w:u w:val="single"/>
        </w:rPr>
      </w:pPr>
      <w:r w:rsidRPr="00E159A6">
        <w:rPr>
          <w:rFonts w:eastAsia="MS Mincho" w:cs="Arial"/>
          <w:u w:val="single"/>
        </w:rPr>
        <w:t>Osteoclastic Giant Cell Rich Tumors</w:t>
      </w:r>
    </w:p>
    <w:p w14:paraId="2ED9760E" w14:textId="77777777" w:rsidR="00E95914" w:rsidRPr="00845FBC" w:rsidRDefault="00E95914" w:rsidP="00E95914">
      <w:pPr>
        <w:pStyle w:val="10"/>
        <w:rPr>
          <w:rFonts w:eastAsia="MS Mincho" w:cs="Arial"/>
        </w:rPr>
      </w:pPr>
      <w:r w:rsidRPr="00845FBC">
        <w:rPr>
          <w:rFonts w:eastAsia="MS Mincho" w:cs="Arial"/>
        </w:rPr>
        <w:t>Malignancy in giant cell tumor of bone</w:t>
      </w:r>
    </w:p>
    <w:p w14:paraId="6792B640" w14:textId="77777777" w:rsidR="00E95914" w:rsidRPr="00845FBC" w:rsidRDefault="00E95914" w:rsidP="00E95914">
      <w:pPr>
        <w:pStyle w:val="Footer"/>
        <w:tabs>
          <w:tab w:val="clear" w:pos="4320"/>
          <w:tab w:val="clear" w:pos="8640"/>
        </w:tabs>
        <w:rPr>
          <w:rFonts w:eastAsia="MS Mincho" w:cs="Arial"/>
        </w:rPr>
      </w:pPr>
    </w:p>
    <w:p w14:paraId="026693D0" w14:textId="77777777" w:rsidR="00E95914" w:rsidRPr="00E159A6" w:rsidRDefault="00E95914" w:rsidP="00E95914">
      <w:pPr>
        <w:pStyle w:val="Footer"/>
        <w:tabs>
          <w:tab w:val="clear" w:pos="4320"/>
          <w:tab w:val="clear" w:pos="8640"/>
        </w:tabs>
        <w:rPr>
          <w:rFonts w:eastAsia="MS Mincho" w:cs="Arial"/>
          <w:u w:val="single"/>
        </w:rPr>
      </w:pPr>
      <w:r w:rsidRPr="00E159A6">
        <w:rPr>
          <w:rFonts w:eastAsia="MS Mincho" w:cs="Arial"/>
          <w:u w:val="single"/>
        </w:rPr>
        <w:t>Notochordal Tumors</w:t>
      </w:r>
    </w:p>
    <w:p w14:paraId="34414EE1" w14:textId="77777777" w:rsidR="00E95914" w:rsidRPr="00845FBC" w:rsidRDefault="00E95914" w:rsidP="00E95914">
      <w:pPr>
        <w:pStyle w:val="10"/>
        <w:rPr>
          <w:rFonts w:eastAsia="MS Mincho" w:cs="Arial"/>
        </w:rPr>
      </w:pPr>
      <w:r w:rsidRPr="00845FBC">
        <w:rPr>
          <w:rFonts w:eastAsia="MS Mincho" w:cs="Arial"/>
        </w:rPr>
        <w:t>Chordoma</w:t>
      </w:r>
    </w:p>
    <w:p w14:paraId="487BF00C" w14:textId="77777777" w:rsidR="00E95914" w:rsidRPr="00845FBC" w:rsidRDefault="00E95914" w:rsidP="00E95914">
      <w:pPr>
        <w:pStyle w:val="Footer"/>
        <w:tabs>
          <w:tab w:val="clear" w:pos="4320"/>
          <w:tab w:val="clear" w:pos="8640"/>
        </w:tabs>
        <w:rPr>
          <w:rFonts w:eastAsia="MS Mincho" w:cs="Arial"/>
        </w:rPr>
      </w:pPr>
    </w:p>
    <w:p w14:paraId="55B4D2D3" w14:textId="77777777" w:rsidR="00E95914" w:rsidRPr="00E159A6" w:rsidRDefault="00E95914" w:rsidP="00E95914">
      <w:pPr>
        <w:pStyle w:val="Footer"/>
        <w:keepNext/>
        <w:tabs>
          <w:tab w:val="clear" w:pos="4320"/>
          <w:tab w:val="clear" w:pos="8640"/>
        </w:tabs>
        <w:rPr>
          <w:rFonts w:eastAsia="MS Mincho" w:cs="Arial"/>
          <w:u w:val="single"/>
        </w:rPr>
      </w:pPr>
      <w:r w:rsidRPr="00E159A6">
        <w:rPr>
          <w:rFonts w:eastAsia="MS Mincho" w:cs="Arial"/>
          <w:u w:val="single"/>
        </w:rPr>
        <w:t>Vascular Tumors</w:t>
      </w:r>
    </w:p>
    <w:p w14:paraId="1508DA06" w14:textId="77777777" w:rsidR="00E95914" w:rsidRPr="00845FBC" w:rsidRDefault="00E95914" w:rsidP="00E95914">
      <w:pPr>
        <w:pStyle w:val="10"/>
        <w:rPr>
          <w:rFonts w:eastAsia="MS Mincho" w:cs="Arial"/>
        </w:rPr>
      </w:pPr>
      <w:r w:rsidRPr="00845FBC">
        <w:rPr>
          <w:rFonts w:eastAsia="MS Mincho" w:cs="Arial"/>
        </w:rPr>
        <w:t>Epithelioid hemangioendothelioma</w:t>
      </w:r>
    </w:p>
    <w:p w14:paraId="0FA0C4D7" w14:textId="77777777" w:rsidR="00E95914" w:rsidRPr="00845FBC" w:rsidRDefault="00E95914" w:rsidP="00E95914">
      <w:pPr>
        <w:pStyle w:val="10"/>
        <w:rPr>
          <w:rFonts w:eastAsia="MS Mincho" w:cs="Arial"/>
        </w:rPr>
      </w:pPr>
      <w:r w:rsidRPr="00845FBC">
        <w:rPr>
          <w:rFonts w:eastAsia="MS Mincho" w:cs="Arial"/>
        </w:rPr>
        <w:t>Angiosarcoma</w:t>
      </w:r>
    </w:p>
    <w:p w14:paraId="25AC2979" w14:textId="77777777" w:rsidR="00E95914" w:rsidRPr="00845FBC" w:rsidRDefault="00E95914" w:rsidP="00E95914">
      <w:pPr>
        <w:pStyle w:val="Footer"/>
        <w:tabs>
          <w:tab w:val="clear" w:pos="4320"/>
          <w:tab w:val="clear" w:pos="8640"/>
        </w:tabs>
        <w:rPr>
          <w:rFonts w:eastAsia="MS Mincho" w:cs="Arial"/>
        </w:rPr>
      </w:pPr>
    </w:p>
    <w:p w14:paraId="58BFD7BB" w14:textId="77777777" w:rsidR="00E95914" w:rsidRPr="00E159A6" w:rsidRDefault="00E95914" w:rsidP="00E95914">
      <w:pPr>
        <w:pStyle w:val="Footer"/>
        <w:keepNext/>
        <w:tabs>
          <w:tab w:val="clear" w:pos="4320"/>
          <w:tab w:val="clear" w:pos="8640"/>
        </w:tabs>
        <w:rPr>
          <w:rFonts w:eastAsia="MS Mincho" w:cs="Arial"/>
          <w:u w:val="single"/>
        </w:rPr>
      </w:pPr>
      <w:r w:rsidRPr="00E159A6">
        <w:rPr>
          <w:rFonts w:eastAsia="MS Mincho" w:cs="Arial"/>
          <w:u w:val="single"/>
        </w:rPr>
        <w:t>Myogenic Tumors</w:t>
      </w:r>
    </w:p>
    <w:p w14:paraId="52C3F36E" w14:textId="77777777" w:rsidR="00E95914" w:rsidRPr="00845FBC" w:rsidRDefault="00E95914" w:rsidP="00E95914">
      <w:pPr>
        <w:pStyle w:val="10"/>
        <w:rPr>
          <w:rFonts w:eastAsia="MS Mincho" w:cs="Arial"/>
        </w:rPr>
      </w:pPr>
      <w:r w:rsidRPr="00845FBC">
        <w:rPr>
          <w:rFonts w:eastAsia="MS Mincho" w:cs="Arial"/>
        </w:rPr>
        <w:t>Leiomyosarcoma of bone</w:t>
      </w:r>
    </w:p>
    <w:p w14:paraId="425E9C47" w14:textId="77777777" w:rsidR="00E95914" w:rsidRPr="00845FBC" w:rsidRDefault="00E95914" w:rsidP="00E95914">
      <w:pPr>
        <w:pStyle w:val="PlainText"/>
        <w:tabs>
          <w:tab w:val="left" w:pos="600"/>
          <w:tab w:val="left" w:pos="3720"/>
        </w:tabs>
        <w:rPr>
          <w:rFonts w:ascii="Arial" w:eastAsia="MS Mincho" w:hAnsi="Arial" w:cs="Arial"/>
        </w:rPr>
      </w:pPr>
    </w:p>
    <w:p w14:paraId="429E170D" w14:textId="77777777" w:rsidR="00E95914" w:rsidRPr="00E159A6" w:rsidRDefault="00E95914" w:rsidP="00E95914">
      <w:pPr>
        <w:pStyle w:val="Footer"/>
        <w:keepNext/>
        <w:tabs>
          <w:tab w:val="clear" w:pos="4320"/>
          <w:tab w:val="clear" w:pos="8640"/>
        </w:tabs>
        <w:rPr>
          <w:rFonts w:eastAsia="MS Mincho" w:cs="Arial"/>
          <w:u w:val="single"/>
        </w:rPr>
      </w:pPr>
      <w:r w:rsidRPr="00E159A6">
        <w:rPr>
          <w:rFonts w:eastAsia="MS Mincho" w:cs="Arial"/>
          <w:u w:val="single"/>
        </w:rPr>
        <w:t>Lipogenic Tumors</w:t>
      </w:r>
    </w:p>
    <w:p w14:paraId="45E71D99" w14:textId="77777777" w:rsidR="00E95914" w:rsidRPr="00845FBC" w:rsidRDefault="00E95914" w:rsidP="00E95914">
      <w:pPr>
        <w:pStyle w:val="10"/>
        <w:rPr>
          <w:rFonts w:eastAsia="MS Mincho" w:cs="Arial"/>
        </w:rPr>
      </w:pPr>
      <w:r w:rsidRPr="00845FBC">
        <w:rPr>
          <w:rFonts w:eastAsia="MS Mincho" w:cs="Arial"/>
        </w:rPr>
        <w:t>Liposarcoma of bone</w:t>
      </w:r>
    </w:p>
    <w:p w14:paraId="4E67422F" w14:textId="77777777" w:rsidR="00E95914" w:rsidRPr="00845FBC" w:rsidRDefault="00E95914" w:rsidP="00E95914">
      <w:pPr>
        <w:pStyle w:val="10"/>
        <w:ind w:left="0" w:firstLine="0"/>
        <w:rPr>
          <w:rFonts w:eastAsia="MS Mincho" w:cs="Arial"/>
        </w:rPr>
      </w:pPr>
    </w:p>
    <w:p w14:paraId="6A62E97A" w14:textId="77777777" w:rsidR="00E95914" w:rsidRPr="00E159A6" w:rsidRDefault="00E95914" w:rsidP="00E95914">
      <w:pPr>
        <w:pStyle w:val="Footer"/>
        <w:tabs>
          <w:tab w:val="clear" w:pos="4320"/>
          <w:tab w:val="clear" w:pos="8640"/>
        </w:tabs>
        <w:rPr>
          <w:rFonts w:eastAsia="MS Mincho" w:cs="Arial"/>
          <w:u w:val="single"/>
        </w:rPr>
      </w:pPr>
      <w:r w:rsidRPr="00E159A6">
        <w:rPr>
          <w:rFonts w:eastAsia="MS Mincho" w:cs="Arial"/>
          <w:u w:val="single"/>
        </w:rPr>
        <w:t>Miscellaneous Tumors</w:t>
      </w:r>
    </w:p>
    <w:p w14:paraId="6FA3D671" w14:textId="77777777" w:rsidR="00E95914" w:rsidRPr="00845FBC" w:rsidRDefault="00E95914" w:rsidP="00E95914">
      <w:pPr>
        <w:pStyle w:val="Footer"/>
        <w:tabs>
          <w:tab w:val="clear" w:pos="4320"/>
          <w:tab w:val="clear" w:pos="8640"/>
        </w:tabs>
        <w:ind w:left="360"/>
        <w:rPr>
          <w:rFonts w:eastAsia="MS Mincho" w:cs="Arial"/>
        </w:rPr>
      </w:pPr>
      <w:r w:rsidRPr="00845FBC">
        <w:rPr>
          <w:rFonts w:eastAsia="MS Mincho" w:cs="Arial"/>
        </w:rPr>
        <w:lastRenderedPageBreak/>
        <w:t>Ewing sarcoma</w:t>
      </w:r>
    </w:p>
    <w:p w14:paraId="7B66A72E" w14:textId="77777777" w:rsidR="00E95914" w:rsidRPr="00845FBC" w:rsidRDefault="00E95914" w:rsidP="00E95914">
      <w:pPr>
        <w:pStyle w:val="10"/>
        <w:rPr>
          <w:rFonts w:eastAsia="MS Mincho" w:cs="Arial"/>
        </w:rPr>
      </w:pPr>
      <w:r w:rsidRPr="00845FBC">
        <w:rPr>
          <w:rFonts w:eastAsia="MS Mincho" w:cs="Arial"/>
        </w:rPr>
        <w:t>Adamantinoma</w:t>
      </w:r>
    </w:p>
    <w:p w14:paraId="2C2892E9" w14:textId="77777777" w:rsidR="00E95914" w:rsidRPr="00845FBC" w:rsidRDefault="00E95914" w:rsidP="00E95914">
      <w:pPr>
        <w:pStyle w:val="10"/>
        <w:rPr>
          <w:rFonts w:eastAsia="MS Mincho" w:cs="Arial"/>
        </w:rPr>
      </w:pPr>
      <w:r w:rsidRPr="00845FBC">
        <w:rPr>
          <w:rFonts w:eastAsia="MS Mincho" w:cs="Arial"/>
        </w:rPr>
        <w:t>Undifferentiated high-grade pleomorphic sarcoma</w:t>
      </w:r>
    </w:p>
    <w:p w14:paraId="42C0D508" w14:textId="77777777" w:rsidR="00B336E3" w:rsidRDefault="00B336E3" w:rsidP="00B336E3">
      <w:pPr>
        <w:pStyle w:val="Footer"/>
        <w:tabs>
          <w:tab w:val="clear" w:pos="4320"/>
          <w:tab w:val="clear" w:pos="8640"/>
        </w:tabs>
        <w:rPr>
          <w:rFonts w:eastAsia="MS Mincho" w:cs="Arial"/>
        </w:rPr>
      </w:pPr>
    </w:p>
    <w:p w14:paraId="7AB9790E" w14:textId="77777777" w:rsidR="002709DA" w:rsidRPr="00DD7C11" w:rsidRDefault="002709DA" w:rsidP="00B336E3">
      <w:pPr>
        <w:pStyle w:val="Footer"/>
        <w:tabs>
          <w:tab w:val="clear" w:pos="4320"/>
          <w:tab w:val="clear" w:pos="8640"/>
        </w:tabs>
        <w:rPr>
          <w:rFonts w:eastAsia="MS Mincho" w:cs="Arial"/>
          <w:i/>
          <w:sz w:val="18"/>
          <w:szCs w:val="18"/>
        </w:rPr>
      </w:pPr>
      <w:r w:rsidRPr="00DD7C11">
        <w:rPr>
          <w:rFonts w:eastAsia="MS Mincho" w:cs="Arial"/>
          <w:i/>
          <w:sz w:val="18"/>
          <w:szCs w:val="18"/>
        </w:rPr>
        <w:t>* Primary malignant lymphomas and plasma cell neoplasms are not staged using the AJCC system for malignant bone tumors.</w:t>
      </w:r>
    </w:p>
    <w:p w14:paraId="38661688" w14:textId="77777777" w:rsidR="002709DA" w:rsidRDefault="002709DA" w:rsidP="00B336E3">
      <w:pPr>
        <w:pStyle w:val="Footer"/>
        <w:tabs>
          <w:tab w:val="clear" w:pos="4320"/>
          <w:tab w:val="clear" w:pos="8640"/>
        </w:tabs>
        <w:rPr>
          <w:rFonts w:eastAsia="MS Mincho" w:cs="Arial"/>
        </w:rPr>
      </w:pPr>
    </w:p>
    <w:p w14:paraId="3F7B3067" w14:textId="77777777" w:rsidR="00FF1B19" w:rsidRPr="00010CA3" w:rsidRDefault="00FF1B19" w:rsidP="00FF1B19">
      <w:pPr>
        <w:pStyle w:val="Heading1"/>
        <w:rPr>
          <w:rFonts w:cs="Arial"/>
          <w:b w:val="0"/>
          <w:kern w:val="18"/>
        </w:rPr>
      </w:pPr>
      <w:bookmarkStart w:id="4" w:name="_Hlk22632873"/>
      <w:r w:rsidRPr="00010CA3">
        <w:rPr>
          <w:rFonts w:cs="Arial"/>
          <w:b w:val="0"/>
          <w:kern w:val="18"/>
        </w:rPr>
        <w:t>References</w:t>
      </w:r>
    </w:p>
    <w:bookmarkEnd w:id="4"/>
    <w:p w14:paraId="73FCC6D1" w14:textId="77777777" w:rsidR="00FF1B19" w:rsidRDefault="00525675" w:rsidP="00442350">
      <w:pPr>
        <w:pStyle w:val="Footer"/>
        <w:tabs>
          <w:tab w:val="clear" w:pos="4320"/>
          <w:tab w:val="clear" w:pos="8640"/>
        </w:tabs>
        <w:ind w:left="450" w:hanging="450"/>
        <w:rPr>
          <w:rFonts w:eastAsia="MS Mincho" w:cs="Arial"/>
        </w:rPr>
      </w:pPr>
      <w:r>
        <w:rPr>
          <w:rFonts w:eastAsia="MS Mincho" w:cs="Arial"/>
        </w:rPr>
        <w:t>1</w:t>
      </w:r>
      <w:r w:rsidRPr="00525675">
        <w:rPr>
          <w:rFonts w:eastAsia="MS Mincho" w:cs="Arial"/>
        </w:rPr>
        <w:t>.</w:t>
      </w:r>
      <w:r w:rsidRPr="00525675">
        <w:rPr>
          <w:rFonts w:eastAsia="MS Mincho" w:cs="Arial"/>
        </w:rPr>
        <w:tab/>
        <w:t xml:space="preserve">Fletcher CDM, Bridge JA, </w:t>
      </w:r>
      <w:proofErr w:type="spellStart"/>
      <w:r w:rsidRPr="00525675">
        <w:rPr>
          <w:rFonts w:eastAsia="MS Mincho" w:cs="Arial"/>
        </w:rPr>
        <w:t>Hogendoorn</w:t>
      </w:r>
      <w:proofErr w:type="spellEnd"/>
      <w:r w:rsidRPr="00525675">
        <w:rPr>
          <w:rFonts w:eastAsia="MS Mincho" w:cs="Arial"/>
        </w:rPr>
        <w:t xml:space="preserve"> PCW, Mertens F, eds. </w:t>
      </w:r>
      <w:r w:rsidRPr="00442350">
        <w:rPr>
          <w:rFonts w:eastAsia="MS Mincho" w:cs="Arial"/>
          <w:i/>
          <w:iCs/>
        </w:rPr>
        <w:t>WHO Classification of Tumors of Soft Tissue and Bone. 4th ed</w:t>
      </w:r>
      <w:r w:rsidRPr="00525675">
        <w:rPr>
          <w:rFonts w:eastAsia="MS Mincho" w:cs="Arial"/>
        </w:rPr>
        <w:t>. Geneva, Switzerland; WHO Press; 2013.</w:t>
      </w:r>
    </w:p>
    <w:p w14:paraId="4364333E" w14:textId="77777777" w:rsidR="00525675" w:rsidRDefault="00525675" w:rsidP="00B336E3">
      <w:pPr>
        <w:pStyle w:val="Footer"/>
        <w:tabs>
          <w:tab w:val="clear" w:pos="4320"/>
          <w:tab w:val="clear" w:pos="8640"/>
        </w:tabs>
        <w:rPr>
          <w:rFonts w:eastAsia="MS Mincho" w:cs="Arial"/>
        </w:rPr>
      </w:pPr>
    </w:p>
    <w:p w14:paraId="760E99FA" w14:textId="77777777" w:rsidR="00182C11" w:rsidRPr="00C32B64" w:rsidRDefault="00182C11" w:rsidP="00182C11">
      <w:pPr>
        <w:rPr>
          <w:rFonts w:cs="Arial"/>
          <w:b/>
          <w:bCs/>
        </w:rPr>
      </w:pPr>
      <w:r>
        <w:rPr>
          <w:rFonts w:cs="Arial"/>
          <w:b/>
          <w:bCs/>
        </w:rPr>
        <w:t>E</w:t>
      </w:r>
      <w:r w:rsidRPr="00C32B64">
        <w:rPr>
          <w:rFonts w:cs="Arial"/>
          <w:b/>
          <w:bCs/>
        </w:rPr>
        <w:t xml:space="preserve">. </w:t>
      </w:r>
      <w:r>
        <w:rPr>
          <w:rFonts w:cs="Arial"/>
          <w:b/>
          <w:bCs/>
        </w:rPr>
        <w:t xml:space="preserve"> </w:t>
      </w:r>
      <w:r w:rsidRPr="00C32B64">
        <w:rPr>
          <w:rFonts w:cs="Arial"/>
          <w:b/>
          <w:bCs/>
        </w:rPr>
        <w:t>Mitot</w:t>
      </w:r>
      <w:r>
        <w:rPr>
          <w:rFonts w:cs="Arial"/>
          <w:b/>
          <w:bCs/>
        </w:rPr>
        <w:t>i</w:t>
      </w:r>
      <w:r w:rsidRPr="00C32B64">
        <w:rPr>
          <w:rFonts w:cs="Arial"/>
          <w:b/>
          <w:bCs/>
        </w:rPr>
        <w:t>c Rate</w:t>
      </w:r>
    </w:p>
    <w:p w14:paraId="2935FE76" w14:textId="77777777" w:rsidR="00182C11" w:rsidRDefault="00182C11" w:rsidP="00182C11">
      <w:pPr>
        <w:pStyle w:val="Footer"/>
        <w:tabs>
          <w:tab w:val="clear" w:pos="4320"/>
          <w:tab w:val="clear" w:pos="8640"/>
        </w:tabs>
        <w:rPr>
          <w:rFonts w:eastAsia="MS Mincho" w:cs="Arial"/>
        </w:rPr>
      </w:pPr>
      <w:r w:rsidRPr="00002910">
        <w:rPr>
          <w:rFonts w:cs="Arial"/>
        </w:rPr>
        <w:t xml:space="preserve">Mitotic rate is determined by counting mitotic figures in </w:t>
      </w:r>
      <w:r>
        <w:rPr>
          <w:rFonts w:cs="Arial"/>
        </w:rPr>
        <w:t>10 contiguous high-</w:t>
      </w:r>
      <w:r w:rsidRPr="00002910">
        <w:rPr>
          <w:rFonts w:cs="Arial"/>
        </w:rPr>
        <w:t>power fields</w:t>
      </w:r>
      <w:r>
        <w:rPr>
          <w:rFonts w:cs="Arial"/>
        </w:rPr>
        <w:t xml:space="preserve"> (HPF)</w:t>
      </w:r>
      <w:r w:rsidRPr="00002910">
        <w:rPr>
          <w:rFonts w:cs="Arial"/>
        </w:rPr>
        <w:t xml:space="preserve"> (40x objective), in the most mitotically active area of the tumor, away from areas of necrosis. The area of </w:t>
      </w:r>
      <w:r>
        <w:rPr>
          <w:rFonts w:cs="Arial"/>
        </w:rPr>
        <w:t>1</w:t>
      </w:r>
      <w:r w:rsidRPr="00002910">
        <w:rPr>
          <w:rFonts w:cs="Arial"/>
        </w:rPr>
        <w:t xml:space="preserve"> </w:t>
      </w:r>
      <w:r>
        <w:rPr>
          <w:rFonts w:cs="Arial"/>
        </w:rPr>
        <w:t>HPF</w:t>
      </w:r>
      <w:r w:rsidRPr="00002910">
        <w:rPr>
          <w:rFonts w:cs="Arial"/>
        </w:rPr>
        <w:t xml:space="preserve"> originally used measured 0.1734 mm</w:t>
      </w:r>
      <w:r w:rsidRPr="006A5DEC">
        <w:rPr>
          <w:rFonts w:cs="Arial"/>
          <w:vertAlign w:val="superscript"/>
        </w:rPr>
        <w:t>2</w:t>
      </w:r>
      <w:r w:rsidRPr="00002910">
        <w:rPr>
          <w:rFonts w:cs="Arial"/>
        </w:rPr>
        <w:t xml:space="preserve">. However, the area of </w:t>
      </w:r>
      <w:r>
        <w:rPr>
          <w:rFonts w:cs="Arial"/>
        </w:rPr>
        <w:t>1 HPF</w:t>
      </w:r>
      <w:r w:rsidRPr="00002910">
        <w:rPr>
          <w:rFonts w:cs="Arial"/>
        </w:rPr>
        <w:t xml:space="preserve"> using most modern microscopes with wider 40x lenses will most likely be higher. Pathologists are encouraged to determine the field area of their 40x lenses and divide </w:t>
      </w:r>
      <w:r>
        <w:rPr>
          <w:rFonts w:cs="Arial"/>
        </w:rPr>
        <w:t xml:space="preserve">0.1734 by </w:t>
      </w:r>
      <w:r w:rsidRPr="00002910">
        <w:rPr>
          <w:rFonts w:cs="Arial"/>
        </w:rPr>
        <w:t xml:space="preserve">the obtained </w:t>
      </w:r>
      <w:r>
        <w:rPr>
          <w:rFonts w:cs="Arial"/>
        </w:rPr>
        <w:t xml:space="preserve">field area </w:t>
      </w:r>
      <w:r w:rsidRPr="00002910">
        <w:rPr>
          <w:rFonts w:cs="Arial"/>
        </w:rPr>
        <w:t xml:space="preserve">to obtain a conversion factor.  The number of mitotic figures in 10 </w:t>
      </w:r>
      <w:r>
        <w:rPr>
          <w:rFonts w:cs="Arial"/>
        </w:rPr>
        <w:t>HPF</w:t>
      </w:r>
      <w:r w:rsidRPr="00002910">
        <w:rPr>
          <w:rFonts w:cs="Arial"/>
        </w:rPr>
        <w:t xml:space="preserve"> multiplied by the</w:t>
      </w:r>
      <w:r>
        <w:rPr>
          <w:rFonts w:cs="Arial"/>
        </w:rPr>
        <w:t xml:space="preserve"> obtained </w:t>
      </w:r>
      <w:r w:rsidRPr="00002910">
        <w:rPr>
          <w:rFonts w:cs="Arial"/>
        </w:rPr>
        <w:t xml:space="preserve">conversion factor and rounded to the nearest whole number should be used for </w:t>
      </w:r>
      <w:r>
        <w:rPr>
          <w:rFonts w:cs="Arial"/>
        </w:rPr>
        <w:t>reporting</w:t>
      </w:r>
      <w:r w:rsidRPr="00002910">
        <w:rPr>
          <w:rFonts w:cs="Arial"/>
        </w:rPr>
        <w:t xml:space="preserve"> purposes.</w:t>
      </w:r>
    </w:p>
    <w:p w14:paraId="176FCB6A" w14:textId="77777777" w:rsidR="00182C11" w:rsidRPr="00845FBC" w:rsidRDefault="00182C11" w:rsidP="00B336E3">
      <w:pPr>
        <w:pStyle w:val="Footer"/>
        <w:tabs>
          <w:tab w:val="clear" w:pos="4320"/>
          <w:tab w:val="clear" w:pos="8640"/>
        </w:tabs>
        <w:rPr>
          <w:rFonts w:eastAsia="MS Mincho" w:cs="Arial"/>
        </w:rPr>
      </w:pPr>
    </w:p>
    <w:p w14:paraId="36DB4D1E" w14:textId="5F103B99" w:rsidR="00B336E3" w:rsidRPr="00845FBC" w:rsidRDefault="00182C11" w:rsidP="00B336E3">
      <w:pPr>
        <w:pStyle w:val="Heading2"/>
        <w:rPr>
          <w:rFonts w:cs="Arial"/>
        </w:rPr>
      </w:pPr>
      <w:r>
        <w:rPr>
          <w:rFonts w:cs="Arial"/>
        </w:rPr>
        <w:t>F</w:t>
      </w:r>
      <w:r w:rsidR="00B336E3" w:rsidRPr="00845FBC">
        <w:rPr>
          <w:rFonts w:cs="Arial"/>
        </w:rPr>
        <w:t>.</w:t>
      </w:r>
      <w:r w:rsidR="00B336E3" w:rsidRPr="00845FBC">
        <w:rPr>
          <w:rFonts w:cs="Arial"/>
        </w:rPr>
        <w:tab/>
        <w:t>Grading</w:t>
      </w:r>
    </w:p>
    <w:p w14:paraId="162A46CD" w14:textId="6EDBF1E6" w:rsidR="00CB2F77" w:rsidRPr="00845FBC" w:rsidRDefault="00B336E3" w:rsidP="00B336E3">
      <w:pPr>
        <w:rPr>
          <w:rFonts w:cs="Arial"/>
        </w:rPr>
      </w:pPr>
      <w:r w:rsidRPr="00845FBC">
        <w:rPr>
          <w:rFonts w:cs="Arial"/>
        </w:rPr>
        <w:t xml:space="preserve">The grading of bone tumors is largely driven by the histologic diagnosis, and traditionally grading has been based on the system advocated by </w:t>
      </w:r>
      <w:proofErr w:type="spellStart"/>
      <w:r w:rsidRPr="00845FBC">
        <w:rPr>
          <w:rFonts w:cs="Arial"/>
        </w:rPr>
        <w:t>Broders</w:t>
      </w:r>
      <w:proofErr w:type="spellEnd"/>
      <w:r w:rsidRPr="00845FBC">
        <w:rPr>
          <w:rFonts w:cs="Arial"/>
        </w:rPr>
        <w:t>, which assesses cellularity and nuclear features/degree of anaplasia.</w:t>
      </w:r>
      <w:r w:rsidR="00DC1132">
        <w:rPr>
          <w:rFonts w:cs="Arial"/>
          <w:vertAlign w:val="superscript"/>
        </w:rPr>
        <w:t>1</w:t>
      </w:r>
      <w:r w:rsidRPr="00845FBC">
        <w:rPr>
          <w:rFonts w:cs="Arial"/>
        </w:rPr>
        <w:t xml:space="preserve"> The </w:t>
      </w:r>
      <w:r w:rsidR="00DA1119" w:rsidRPr="00845FBC">
        <w:rPr>
          <w:rFonts w:cs="Arial"/>
        </w:rPr>
        <w:t>eight</w:t>
      </w:r>
      <w:r w:rsidR="003F5BDF">
        <w:rPr>
          <w:rFonts w:cs="Arial"/>
        </w:rPr>
        <w:t>h</w:t>
      </w:r>
      <w:r w:rsidR="00DA1119" w:rsidRPr="00845FBC">
        <w:rPr>
          <w:rFonts w:cs="Arial"/>
        </w:rPr>
        <w:t xml:space="preserve"> </w:t>
      </w:r>
      <w:r w:rsidRPr="00845FBC">
        <w:rPr>
          <w:rFonts w:cs="Arial"/>
        </w:rPr>
        <w:t xml:space="preserve">edition of the </w:t>
      </w:r>
      <w:r w:rsidRPr="00845FBC">
        <w:rPr>
          <w:rFonts w:cs="Arial"/>
          <w:i/>
        </w:rPr>
        <w:t>AJCC Cancer Staging Manual</w:t>
      </w:r>
      <w:r w:rsidRPr="00845FBC">
        <w:rPr>
          <w:rFonts w:cs="Arial"/>
        </w:rPr>
        <w:t xml:space="preserve"> recommends a </w:t>
      </w:r>
      <w:r w:rsidR="00DD7C11">
        <w:rPr>
          <w:rFonts w:cs="Arial"/>
        </w:rPr>
        <w:t>2</w:t>
      </w:r>
      <w:r w:rsidR="00DA1119" w:rsidRPr="00845FBC">
        <w:rPr>
          <w:rFonts w:cs="Arial"/>
        </w:rPr>
        <w:t xml:space="preserve">-tiered </w:t>
      </w:r>
      <w:r w:rsidRPr="00845FBC">
        <w:rPr>
          <w:rFonts w:cs="Arial"/>
        </w:rPr>
        <w:t>system</w:t>
      </w:r>
      <w:r w:rsidR="00CB2F77" w:rsidRPr="00845FBC">
        <w:rPr>
          <w:rFonts w:cs="Arial"/>
        </w:rPr>
        <w:t xml:space="preserve"> (low vs high</w:t>
      </w:r>
      <w:r w:rsidR="00845FBC">
        <w:rPr>
          <w:rFonts w:cs="Arial"/>
        </w:rPr>
        <w:t xml:space="preserve"> </w:t>
      </w:r>
      <w:r w:rsidR="00CB2F77" w:rsidRPr="00845FBC">
        <w:rPr>
          <w:rFonts w:cs="Arial"/>
        </w:rPr>
        <w:t xml:space="preserve">grade) </w:t>
      </w:r>
      <w:r w:rsidR="00DA1119" w:rsidRPr="00845FBC">
        <w:rPr>
          <w:rFonts w:cs="Arial"/>
        </w:rPr>
        <w:t xml:space="preserve">for </w:t>
      </w:r>
      <w:r w:rsidR="00CB2F77" w:rsidRPr="00845FBC">
        <w:rPr>
          <w:rFonts w:cs="Arial"/>
        </w:rPr>
        <w:t xml:space="preserve">recording </w:t>
      </w:r>
      <w:r w:rsidR="00DA1119" w:rsidRPr="00845FBC">
        <w:rPr>
          <w:rFonts w:cs="Arial"/>
        </w:rPr>
        <w:t>grading</w:t>
      </w:r>
      <w:r w:rsidRPr="00845FBC">
        <w:rPr>
          <w:rFonts w:cs="Arial"/>
        </w:rPr>
        <w:t>.</w:t>
      </w:r>
      <w:r w:rsidR="00DC1132">
        <w:rPr>
          <w:rFonts w:cs="Arial"/>
          <w:vertAlign w:val="superscript"/>
        </w:rPr>
        <w:t>2</w:t>
      </w:r>
      <w:r w:rsidRPr="00845FBC">
        <w:rPr>
          <w:rFonts w:cs="Arial"/>
        </w:rPr>
        <w:t xml:space="preserve"> </w:t>
      </w:r>
      <w:r w:rsidR="00CB2F77" w:rsidRPr="00845FBC">
        <w:rPr>
          <w:rFonts w:cs="Arial"/>
        </w:rPr>
        <w:t xml:space="preserve">Histologic grading uses a </w:t>
      </w:r>
      <w:r w:rsidR="00DD7C11">
        <w:rPr>
          <w:rFonts w:cs="Arial"/>
        </w:rPr>
        <w:t>3</w:t>
      </w:r>
      <w:r w:rsidR="00CB2F77" w:rsidRPr="00845FBC">
        <w:rPr>
          <w:rFonts w:cs="Arial"/>
        </w:rPr>
        <w:t xml:space="preserve">-tiered system: </w:t>
      </w:r>
      <w:r w:rsidRPr="00845FBC">
        <w:rPr>
          <w:rFonts w:cs="Arial"/>
        </w:rPr>
        <w:t>G1</w:t>
      </w:r>
      <w:r w:rsidR="00DD7C11">
        <w:rPr>
          <w:rFonts w:cs="Arial"/>
        </w:rPr>
        <w:t xml:space="preserve"> </w:t>
      </w:r>
      <w:r w:rsidR="00CB2F77" w:rsidRPr="00845FBC">
        <w:rPr>
          <w:rFonts w:cs="Arial"/>
        </w:rPr>
        <w:t xml:space="preserve">is considered </w:t>
      </w:r>
      <w:r w:rsidRPr="00845FBC">
        <w:rPr>
          <w:rFonts w:cs="Arial"/>
        </w:rPr>
        <w:t>low grade</w:t>
      </w:r>
      <w:r w:rsidR="00CB2F77" w:rsidRPr="00845FBC">
        <w:rPr>
          <w:rFonts w:cs="Arial"/>
        </w:rPr>
        <w:t>,</w:t>
      </w:r>
      <w:r w:rsidRPr="00845FBC">
        <w:rPr>
          <w:rFonts w:cs="Arial"/>
        </w:rPr>
        <w:t xml:space="preserve"> and </w:t>
      </w:r>
      <w:r w:rsidR="00CB2F77" w:rsidRPr="00845FBC">
        <w:rPr>
          <w:rFonts w:cs="Arial"/>
        </w:rPr>
        <w:t xml:space="preserve">G2 and </w:t>
      </w:r>
      <w:r w:rsidRPr="00845FBC">
        <w:rPr>
          <w:rFonts w:cs="Arial"/>
        </w:rPr>
        <w:t xml:space="preserve">G3 </w:t>
      </w:r>
      <w:r w:rsidR="00CB2F77" w:rsidRPr="00845FBC">
        <w:rPr>
          <w:rFonts w:cs="Arial"/>
        </w:rPr>
        <w:t xml:space="preserve">are grouped together as </w:t>
      </w:r>
      <w:r w:rsidRPr="00845FBC">
        <w:rPr>
          <w:rFonts w:cs="Arial"/>
        </w:rPr>
        <w:t>high grade</w:t>
      </w:r>
      <w:r w:rsidR="00CB2F77" w:rsidRPr="00845FBC">
        <w:rPr>
          <w:rFonts w:cs="Arial"/>
        </w:rPr>
        <w:t xml:space="preserve"> for biological grading</w:t>
      </w:r>
      <w:r w:rsidRPr="00845FBC">
        <w:rPr>
          <w:rFonts w:cs="Arial"/>
        </w:rPr>
        <w:t xml:space="preserve">. However, we advocate a more pragmatic approach to grading aggressive and malignant primary tumors of bone. </w:t>
      </w:r>
    </w:p>
    <w:p w14:paraId="6EEAE436" w14:textId="77777777" w:rsidR="00CB2F77" w:rsidRPr="00845FBC" w:rsidRDefault="00CB2F77" w:rsidP="00B336E3">
      <w:pPr>
        <w:rPr>
          <w:rFonts w:cs="Arial"/>
        </w:rPr>
      </w:pPr>
    </w:p>
    <w:p w14:paraId="4441DF3B" w14:textId="77777777" w:rsidR="00B336E3" w:rsidRPr="00845FBC" w:rsidRDefault="00B336E3" w:rsidP="00B336E3">
      <w:pPr>
        <w:rPr>
          <w:rFonts w:cs="Arial"/>
        </w:rPr>
      </w:pPr>
      <w:r w:rsidRPr="00845FBC">
        <w:rPr>
          <w:rFonts w:cs="Arial"/>
        </w:rPr>
        <w:t xml:space="preserve">Two bone tumors that are locally aggressive and metastasize infrequently, and thus are usually low grade, are low-grade central osteosarcoma and </w:t>
      </w:r>
      <w:proofErr w:type="spellStart"/>
      <w:r w:rsidRPr="00845FBC">
        <w:rPr>
          <w:rFonts w:cs="Arial"/>
        </w:rPr>
        <w:t>parosteal</w:t>
      </w:r>
      <w:proofErr w:type="spellEnd"/>
      <w:r w:rsidRPr="00845FBC">
        <w:rPr>
          <w:rFonts w:cs="Arial"/>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845FBC">
        <w:rPr>
          <w:rFonts w:cs="Arial"/>
        </w:rPr>
        <w:t>telangiectactic</w:t>
      </w:r>
      <w:proofErr w:type="spellEnd"/>
      <w:r w:rsidRPr="00845FBC">
        <w:rPr>
          <w:rFonts w:cs="Arial"/>
        </w:rPr>
        <w:t xml:space="preserve"> osteosarcoma, small cell osteosarcoma, secondary osteosarcoma, and high-grade surface osteosarcoma.</w:t>
      </w:r>
    </w:p>
    <w:p w14:paraId="2E1DBEC4" w14:textId="77777777" w:rsidR="00B336E3" w:rsidRPr="00845FBC" w:rsidRDefault="00B336E3" w:rsidP="00B336E3">
      <w:pPr>
        <w:rPr>
          <w:rFonts w:cs="Arial"/>
        </w:rPr>
      </w:pPr>
    </w:p>
    <w:p w14:paraId="462C20FF" w14:textId="77777777" w:rsidR="00CB2F77" w:rsidRPr="00845FBC" w:rsidRDefault="00B336E3" w:rsidP="00B336E3">
      <w:pPr>
        <w:rPr>
          <w:rFonts w:cs="Arial"/>
        </w:rPr>
      </w:pPr>
      <w:r w:rsidRPr="00845FBC">
        <w:rPr>
          <w:rFonts w:cs="Arial"/>
        </w:rPr>
        <w:t>Grading of conventional chondrosarcoma is based on cellularity, cytologic atypia, and mitotic figures. Grade 1 (low-grade) chondrosarcoma is hypocellular and similar histologically to enchondroma. Grade 2 (</w:t>
      </w:r>
      <w:proofErr w:type="gramStart"/>
      <w:r w:rsidRPr="00845FBC">
        <w:rPr>
          <w:rFonts w:cs="Arial"/>
        </w:rPr>
        <w:t>intermediate-grade</w:t>
      </w:r>
      <w:proofErr w:type="gramEnd"/>
      <w:r w:rsidRPr="00845FBC">
        <w:rPr>
          <w:rFonts w:cs="Arial"/>
        </w:rPr>
        <w:t xml:space="preserve">) chondrosarcoma is more cellular than grade 1 chondrosarcoma; has more cytologic atypia, greater </w:t>
      </w:r>
      <w:proofErr w:type="spellStart"/>
      <w:r w:rsidRPr="00845FBC">
        <w:rPr>
          <w:rFonts w:cs="Arial"/>
        </w:rPr>
        <w:t>hyperchromasia</w:t>
      </w:r>
      <w:proofErr w:type="spellEnd"/>
      <w:r w:rsidRPr="00845FBC">
        <w:rPr>
          <w:rFonts w:cs="Arial"/>
        </w:rPr>
        <w:t xml:space="preserve"> and nuclear size; or has extensive myxoid stroma. Grade 3 (high-grade) chondrosarcoma is hypercellular, pleomorphic, and contains prominent mitotic activity. </w:t>
      </w:r>
    </w:p>
    <w:p w14:paraId="25FAAE88" w14:textId="77777777" w:rsidR="00CB2F77" w:rsidRPr="00845FBC" w:rsidRDefault="00CB2F77" w:rsidP="00B336E3">
      <w:pPr>
        <w:rPr>
          <w:rFonts w:cs="Arial"/>
        </w:rPr>
      </w:pPr>
    </w:p>
    <w:p w14:paraId="1D064D5B" w14:textId="3F6AB259" w:rsidR="00B336E3" w:rsidRPr="00845FBC" w:rsidRDefault="00B336E3" w:rsidP="00B336E3">
      <w:pPr>
        <w:rPr>
          <w:rFonts w:cs="Arial"/>
        </w:rPr>
      </w:pPr>
      <w:r w:rsidRPr="00845FBC">
        <w:rPr>
          <w:rFonts w:cs="Arial"/>
        </w:rPr>
        <w:t xml:space="preserve">Mesenchymal chondrosarcoma, fibrosarcoma, leiomyosarcoma, liposarcoma, </w:t>
      </w:r>
      <w:r w:rsidR="004A4D28" w:rsidRPr="00845FBC">
        <w:rPr>
          <w:rFonts w:cs="Arial"/>
        </w:rPr>
        <w:t xml:space="preserve">undifferentiated high-grade </w:t>
      </w:r>
      <w:r w:rsidRPr="00845FBC">
        <w:rPr>
          <w:rFonts w:cs="Arial"/>
        </w:rPr>
        <w:t>pleomorphic sarcoma</w:t>
      </w:r>
      <w:r w:rsidR="004A4D28" w:rsidRPr="00845FBC">
        <w:rPr>
          <w:rFonts w:cs="Arial"/>
        </w:rPr>
        <w:t xml:space="preserve"> of bone</w:t>
      </w:r>
      <w:r w:rsidRPr="00845FBC">
        <w:rPr>
          <w:rFonts w:cs="Arial"/>
        </w:rPr>
        <w:t xml:space="preserve"> and other “soft tissue-type” sarcomas that rarely occur in bone can be graded according to the French Federation of Cancer Centers Sarcoma Group (FNCLCC) grading system</w:t>
      </w:r>
      <w:r w:rsidR="00DC1132">
        <w:rPr>
          <w:rFonts w:cs="Arial"/>
          <w:vertAlign w:val="superscript"/>
        </w:rPr>
        <w:t>3</w:t>
      </w:r>
      <w:r w:rsidRPr="00845FBC">
        <w:rPr>
          <w:rFonts w:cs="Arial"/>
        </w:rPr>
        <w:t xml:space="preserve"> (see College of American Pathologists protocol for soft tissue tumors</w:t>
      </w:r>
      <w:r w:rsidR="00DC1132">
        <w:rPr>
          <w:rFonts w:cs="Arial"/>
          <w:vertAlign w:val="superscript"/>
        </w:rPr>
        <w:t>4</w:t>
      </w:r>
      <w:r w:rsidRPr="00845FBC">
        <w:rPr>
          <w:rFonts w:cs="Arial"/>
        </w:rPr>
        <w:t xml:space="preserve">). </w:t>
      </w:r>
    </w:p>
    <w:p w14:paraId="15D26D82" w14:textId="77777777" w:rsidR="00B336E3" w:rsidRPr="00845FBC" w:rsidRDefault="00B336E3" w:rsidP="00B336E3">
      <w:pPr>
        <w:rPr>
          <w:rFonts w:cs="Arial"/>
        </w:rPr>
      </w:pPr>
    </w:p>
    <w:p w14:paraId="44BFD8B6" w14:textId="77777777" w:rsidR="00B336E3" w:rsidRPr="00845FBC" w:rsidRDefault="00B336E3" w:rsidP="00B336E3">
      <w:pPr>
        <w:rPr>
          <w:rFonts w:cs="Arial"/>
        </w:rPr>
      </w:pPr>
      <w:r w:rsidRPr="00845FBC">
        <w:rPr>
          <w:rFonts w:cs="Arial"/>
        </w:rPr>
        <w:t>Chordomas are locally aggressive lesions with a propensity for metastasis late in their clinical course and are not graded. Adamantinomas tend to have a low-grade clinical course, but this is variable. Fortunately, they are very rare. According to the WHO classification of tumors of bone, adamantinomas are considered low grade.</w:t>
      </w:r>
    </w:p>
    <w:p w14:paraId="0EE998B5" w14:textId="77777777" w:rsidR="00B336E3" w:rsidRPr="00845FBC" w:rsidRDefault="00B336E3" w:rsidP="00B336E3">
      <w:pPr>
        <w:rPr>
          <w:rFonts w:cs="Arial"/>
        </w:rPr>
      </w:pPr>
    </w:p>
    <w:p w14:paraId="32942262" w14:textId="77777777" w:rsidR="00B336E3" w:rsidRPr="00845FBC" w:rsidRDefault="00B336E3" w:rsidP="00B336E3">
      <w:pPr>
        <w:pStyle w:val="Heading2"/>
        <w:rPr>
          <w:rFonts w:cs="Arial"/>
        </w:rPr>
      </w:pPr>
      <w:r w:rsidRPr="00845FBC">
        <w:rPr>
          <w:rFonts w:cs="Arial"/>
        </w:rPr>
        <w:t>Bone Tumor Grades (Summary)</w:t>
      </w:r>
    </w:p>
    <w:p w14:paraId="77F7E024" w14:textId="77777777" w:rsidR="00B336E3" w:rsidRPr="00845FBC" w:rsidRDefault="00B336E3" w:rsidP="00B336E3">
      <w:pPr>
        <w:rPr>
          <w:rFonts w:cs="Arial"/>
        </w:rPr>
      </w:pPr>
    </w:p>
    <w:p w14:paraId="7B5EBD69" w14:textId="77777777" w:rsidR="00B336E3" w:rsidRPr="00845FBC" w:rsidRDefault="00B336E3" w:rsidP="00B336E3">
      <w:pPr>
        <w:pStyle w:val="Heading3"/>
        <w:rPr>
          <w:rFonts w:cs="Arial"/>
        </w:rPr>
      </w:pPr>
      <w:r w:rsidRPr="00845FBC">
        <w:rPr>
          <w:rFonts w:cs="Arial"/>
        </w:rPr>
        <w:t>Grade 1 (Low Grade)</w:t>
      </w:r>
    </w:p>
    <w:p w14:paraId="7C955A8E" w14:textId="77777777" w:rsidR="00B336E3" w:rsidRPr="00845FBC" w:rsidRDefault="00B336E3" w:rsidP="00B336E3">
      <w:pPr>
        <w:pStyle w:val="Footer"/>
        <w:tabs>
          <w:tab w:val="clear" w:pos="4320"/>
          <w:tab w:val="clear" w:pos="8640"/>
        </w:tabs>
        <w:rPr>
          <w:rFonts w:cs="Arial"/>
        </w:rPr>
      </w:pPr>
      <w:r w:rsidRPr="00845FBC">
        <w:rPr>
          <w:rFonts w:cs="Arial"/>
        </w:rPr>
        <w:t xml:space="preserve">Low-grade </w:t>
      </w:r>
      <w:r w:rsidR="00B01E4E" w:rsidRPr="00845FBC">
        <w:rPr>
          <w:rFonts w:cs="Arial"/>
        </w:rPr>
        <w:t>intramedullary (</w:t>
      </w:r>
      <w:r w:rsidRPr="00845FBC">
        <w:rPr>
          <w:rFonts w:cs="Arial"/>
        </w:rPr>
        <w:t>central</w:t>
      </w:r>
      <w:r w:rsidR="00B01E4E" w:rsidRPr="00845FBC">
        <w:rPr>
          <w:rFonts w:cs="Arial"/>
        </w:rPr>
        <w:t>)</w:t>
      </w:r>
      <w:r w:rsidRPr="00845FBC">
        <w:rPr>
          <w:rFonts w:cs="Arial"/>
        </w:rPr>
        <w:t xml:space="preserve"> osteosarcoma</w:t>
      </w:r>
    </w:p>
    <w:p w14:paraId="08BFEBB5" w14:textId="77777777" w:rsidR="00B336E3" w:rsidRPr="00845FBC" w:rsidRDefault="00B336E3" w:rsidP="00B336E3">
      <w:pPr>
        <w:rPr>
          <w:rFonts w:cs="Arial"/>
        </w:rPr>
      </w:pPr>
      <w:proofErr w:type="spellStart"/>
      <w:r w:rsidRPr="00845FBC">
        <w:rPr>
          <w:rFonts w:cs="Arial"/>
        </w:rPr>
        <w:t>Parosteal</w:t>
      </w:r>
      <w:proofErr w:type="spellEnd"/>
      <w:r w:rsidRPr="00845FBC">
        <w:rPr>
          <w:rFonts w:cs="Arial"/>
        </w:rPr>
        <w:t xml:space="preserve"> osteosarcoma</w:t>
      </w:r>
    </w:p>
    <w:p w14:paraId="45C22471" w14:textId="77777777" w:rsidR="00B01E4E" w:rsidRPr="00845FBC" w:rsidRDefault="00B01E4E" w:rsidP="00B01E4E">
      <w:pPr>
        <w:rPr>
          <w:rFonts w:cs="Arial"/>
        </w:rPr>
      </w:pPr>
      <w:r w:rsidRPr="00845FBC">
        <w:rPr>
          <w:rFonts w:cs="Arial"/>
        </w:rPr>
        <w:t>Grade I chondrosarcoma</w:t>
      </w:r>
    </w:p>
    <w:p w14:paraId="43FCEAE7" w14:textId="77777777" w:rsidR="00B01E4E" w:rsidRPr="00845FBC" w:rsidRDefault="00B01E4E" w:rsidP="00B01E4E">
      <w:pPr>
        <w:rPr>
          <w:rFonts w:cs="Arial"/>
        </w:rPr>
      </w:pPr>
      <w:r w:rsidRPr="00845FBC">
        <w:rPr>
          <w:rFonts w:cs="Arial"/>
        </w:rPr>
        <w:t>Clear cell chondrosarcoma</w:t>
      </w:r>
    </w:p>
    <w:p w14:paraId="58CC7051" w14:textId="77777777" w:rsidR="00B01E4E" w:rsidRPr="00845FBC" w:rsidRDefault="00B01E4E" w:rsidP="00B01E4E">
      <w:pPr>
        <w:rPr>
          <w:rFonts w:cs="Arial"/>
        </w:rPr>
      </w:pPr>
    </w:p>
    <w:p w14:paraId="35FDA972" w14:textId="77777777" w:rsidR="00B336E3" w:rsidRPr="00845FBC" w:rsidRDefault="00B01E4E" w:rsidP="00B01E4E">
      <w:pPr>
        <w:pStyle w:val="Heading3"/>
        <w:rPr>
          <w:rFonts w:cs="Arial"/>
        </w:rPr>
      </w:pPr>
      <w:r w:rsidRPr="00845FBC">
        <w:rPr>
          <w:rFonts w:cs="Arial"/>
        </w:rPr>
        <w:lastRenderedPageBreak/>
        <w:t>Grade 2</w:t>
      </w:r>
    </w:p>
    <w:p w14:paraId="5F5A41F8" w14:textId="77777777" w:rsidR="00B336E3" w:rsidRPr="00845FBC" w:rsidRDefault="00B336E3" w:rsidP="00B336E3">
      <w:pPr>
        <w:rPr>
          <w:rFonts w:cs="Arial"/>
        </w:rPr>
      </w:pPr>
      <w:r w:rsidRPr="00845FBC">
        <w:rPr>
          <w:rFonts w:cs="Arial"/>
        </w:rPr>
        <w:t>Periosteal osteosarcoma</w:t>
      </w:r>
    </w:p>
    <w:p w14:paraId="24A1B2D8" w14:textId="77777777" w:rsidR="00B01E4E" w:rsidRPr="00845FBC" w:rsidRDefault="00B01E4E" w:rsidP="00B336E3">
      <w:pPr>
        <w:rPr>
          <w:rFonts w:cs="Arial"/>
        </w:rPr>
      </w:pPr>
      <w:r w:rsidRPr="00845FBC">
        <w:rPr>
          <w:rFonts w:cs="Arial"/>
        </w:rPr>
        <w:t>Grade II chondrosarcoma</w:t>
      </w:r>
    </w:p>
    <w:p w14:paraId="6A56C396" w14:textId="77777777" w:rsidR="00B01E4E" w:rsidRPr="00845FBC" w:rsidRDefault="00B01E4E" w:rsidP="00B336E3">
      <w:pPr>
        <w:rPr>
          <w:rFonts w:cs="Arial"/>
        </w:rPr>
      </w:pPr>
      <w:r w:rsidRPr="00845FBC">
        <w:rPr>
          <w:rFonts w:cs="Arial"/>
        </w:rPr>
        <w:t>Classic adamantinoma</w:t>
      </w:r>
    </w:p>
    <w:p w14:paraId="1D9A3766" w14:textId="77777777" w:rsidR="00B01E4E" w:rsidRPr="00845FBC" w:rsidRDefault="00B01E4E" w:rsidP="00B336E3">
      <w:pPr>
        <w:rPr>
          <w:rFonts w:cs="Arial"/>
        </w:rPr>
      </w:pPr>
      <w:r w:rsidRPr="00845FBC">
        <w:rPr>
          <w:rFonts w:cs="Arial"/>
        </w:rPr>
        <w:t>Chordoma</w:t>
      </w:r>
    </w:p>
    <w:p w14:paraId="404BF8BB" w14:textId="77777777" w:rsidR="00B336E3" w:rsidRPr="00845FBC" w:rsidRDefault="00B336E3" w:rsidP="00B336E3">
      <w:pPr>
        <w:rPr>
          <w:rFonts w:cs="Arial"/>
        </w:rPr>
      </w:pPr>
    </w:p>
    <w:p w14:paraId="3D91EC02" w14:textId="77777777" w:rsidR="00B336E3" w:rsidRPr="00845FBC" w:rsidRDefault="00B336E3" w:rsidP="00B336E3">
      <w:pPr>
        <w:pStyle w:val="Heading3"/>
        <w:rPr>
          <w:rFonts w:cs="Arial"/>
        </w:rPr>
      </w:pPr>
      <w:r w:rsidRPr="00845FBC">
        <w:rPr>
          <w:rFonts w:cs="Arial"/>
        </w:rPr>
        <w:t>Grade 3 (High Grade)</w:t>
      </w:r>
    </w:p>
    <w:p w14:paraId="2217ECE8" w14:textId="77777777" w:rsidR="00B336E3" w:rsidRPr="00845FBC" w:rsidRDefault="00B336E3" w:rsidP="00B336E3">
      <w:pPr>
        <w:rPr>
          <w:rFonts w:cs="Arial"/>
        </w:rPr>
      </w:pPr>
      <w:r w:rsidRPr="00845FBC">
        <w:rPr>
          <w:rFonts w:cs="Arial"/>
        </w:rPr>
        <w:t>Ewing sarcoma</w:t>
      </w:r>
    </w:p>
    <w:p w14:paraId="0AE85481" w14:textId="77777777" w:rsidR="00B336E3" w:rsidRPr="00845FBC" w:rsidRDefault="00B336E3" w:rsidP="00B336E3">
      <w:pPr>
        <w:rPr>
          <w:rFonts w:cs="Arial"/>
        </w:rPr>
      </w:pPr>
      <w:r w:rsidRPr="00845FBC">
        <w:rPr>
          <w:rFonts w:cs="Arial"/>
        </w:rPr>
        <w:t>Conventional osteosarcoma</w:t>
      </w:r>
    </w:p>
    <w:p w14:paraId="0DFE92A3" w14:textId="77777777" w:rsidR="00B336E3" w:rsidRPr="00845FBC" w:rsidRDefault="00B336E3" w:rsidP="00B336E3">
      <w:pPr>
        <w:rPr>
          <w:rFonts w:cs="Arial"/>
        </w:rPr>
      </w:pPr>
      <w:proofErr w:type="spellStart"/>
      <w:r w:rsidRPr="00845FBC">
        <w:rPr>
          <w:rFonts w:cs="Arial"/>
        </w:rPr>
        <w:t>Telangiectactic</w:t>
      </w:r>
      <w:proofErr w:type="spellEnd"/>
      <w:r w:rsidRPr="00845FBC">
        <w:rPr>
          <w:rFonts w:cs="Arial"/>
        </w:rPr>
        <w:t xml:space="preserve"> osteosarcoma</w:t>
      </w:r>
    </w:p>
    <w:p w14:paraId="7A4C2C69" w14:textId="77777777" w:rsidR="00B336E3" w:rsidRPr="00845FBC" w:rsidRDefault="00B336E3" w:rsidP="00B336E3">
      <w:pPr>
        <w:rPr>
          <w:rFonts w:cs="Arial"/>
        </w:rPr>
      </w:pPr>
      <w:r w:rsidRPr="00845FBC">
        <w:rPr>
          <w:rFonts w:cs="Arial"/>
        </w:rPr>
        <w:t>Mesenchymal chondrosarcoma</w:t>
      </w:r>
    </w:p>
    <w:p w14:paraId="5750B6FF" w14:textId="77777777" w:rsidR="00B336E3" w:rsidRPr="00845FBC" w:rsidRDefault="00B336E3" w:rsidP="00B336E3">
      <w:pPr>
        <w:rPr>
          <w:rFonts w:cs="Arial"/>
        </w:rPr>
      </w:pPr>
      <w:r w:rsidRPr="00845FBC">
        <w:rPr>
          <w:rFonts w:cs="Arial"/>
        </w:rPr>
        <w:t>Small cell osteosarcoma</w:t>
      </w:r>
    </w:p>
    <w:p w14:paraId="4E894268" w14:textId="77777777" w:rsidR="00B336E3" w:rsidRPr="00845FBC" w:rsidRDefault="00B336E3" w:rsidP="00B336E3">
      <w:pPr>
        <w:rPr>
          <w:rFonts w:cs="Arial"/>
        </w:rPr>
      </w:pPr>
      <w:r w:rsidRPr="00845FBC">
        <w:rPr>
          <w:rFonts w:cs="Arial"/>
        </w:rPr>
        <w:t>Secondary osteosarcoma</w:t>
      </w:r>
    </w:p>
    <w:p w14:paraId="02C56D98" w14:textId="77777777" w:rsidR="00B336E3" w:rsidRPr="00845FBC" w:rsidRDefault="00B336E3" w:rsidP="00B336E3">
      <w:pPr>
        <w:rPr>
          <w:rFonts w:cs="Arial"/>
        </w:rPr>
      </w:pPr>
      <w:r w:rsidRPr="00845FBC">
        <w:rPr>
          <w:rFonts w:cs="Arial"/>
        </w:rPr>
        <w:t>High-grade surface osteosarcoma</w:t>
      </w:r>
    </w:p>
    <w:p w14:paraId="6B0A2394" w14:textId="77777777" w:rsidR="00B336E3" w:rsidRPr="00845FBC" w:rsidRDefault="00B336E3" w:rsidP="00B336E3">
      <w:pPr>
        <w:rPr>
          <w:rFonts w:cs="Arial"/>
        </w:rPr>
      </w:pPr>
      <w:r w:rsidRPr="00845FBC">
        <w:rPr>
          <w:rFonts w:cs="Arial"/>
        </w:rPr>
        <w:t>Dedifferentiated chondrosarcoma</w:t>
      </w:r>
    </w:p>
    <w:p w14:paraId="7F03C9EB" w14:textId="77777777" w:rsidR="00B336E3" w:rsidRPr="00845FBC" w:rsidRDefault="00B336E3" w:rsidP="00B336E3">
      <w:pPr>
        <w:rPr>
          <w:rFonts w:cs="Arial"/>
        </w:rPr>
      </w:pPr>
      <w:r w:rsidRPr="00845FBC">
        <w:rPr>
          <w:rFonts w:cs="Arial"/>
        </w:rPr>
        <w:t>Dedifferentiated chordoma</w:t>
      </w:r>
    </w:p>
    <w:p w14:paraId="4F663588" w14:textId="77777777" w:rsidR="00B336E3" w:rsidRPr="00845FBC" w:rsidRDefault="00B01E4E" w:rsidP="00B336E3">
      <w:pPr>
        <w:rPr>
          <w:rFonts w:cs="Arial"/>
          <w:u w:val="single"/>
        </w:rPr>
      </w:pPr>
      <w:r w:rsidRPr="00845FBC">
        <w:rPr>
          <w:rFonts w:cs="Arial"/>
        </w:rPr>
        <w:t>Malignancy in</w:t>
      </w:r>
      <w:r w:rsidR="00B336E3" w:rsidRPr="00845FBC">
        <w:rPr>
          <w:rFonts w:cs="Arial"/>
        </w:rPr>
        <w:t xml:space="preserve"> giant cell tumor</w:t>
      </w:r>
    </w:p>
    <w:p w14:paraId="1F20714F" w14:textId="77777777" w:rsidR="00B336E3" w:rsidRPr="00845FBC" w:rsidRDefault="00B01E4E" w:rsidP="00B336E3">
      <w:pPr>
        <w:rPr>
          <w:rFonts w:cs="Arial"/>
        </w:rPr>
      </w:pPr>
      <w:r w:rsidRPr="00845FBC">
        <w:rPr>
          <w:rFonts w:cs="Arial"/>
        </w:rPr>
        <w:t>Grade III chondrosarcoma</w:t>
      </w:r>
    </w:p>
    <w:p w14:paraId="3AA7A171" w14:textId="77777777" w:rsidR="00B336E3" w:rsidRPr="00845FBC" w:rsidRDefault="00B336E3" w:rsidP="00B336E3">
      <w:pPr>
        <w:rPr>
          <w:rFonts w:cs="Arial"/>
        </w:rPr>
      </w:pPr>
      <w:r w:rsidRPr="00845FBC">
        <w:rPr>
          <w:rFonts w:cs="Arial"/>
        </w:rPr>
        <w:t>Soft-tissue type sarcomas (</w:t>
      </w:r>
      <w:proofErr w:type="spellStart"/>
      <w:r w:rsidRPr="00845FBC">
        <w:rPr>
          <w:rFonts w:cs="Arial"/>
        </w:rPr>
        <w:t>eg</w:t>
      </w:r>
      <w:proofErr w:type="spellEnd"/>
      <w:r w:rsidRPr="00845FBC">
        <w:rPr>
          <w:rFonts w:cs="Arial"/>
        </w:rPr>
        <w:t>, leiomyosarcoma)</w:t>
      </w:r>
    </w:p>
    <w:p w14:paraId="4BE9394D" w14:textId="77777777" w:rsidR="00B01E4E" w:rsidRPr="00845FBC" w:rsidRDefault="00B01E4E" w:rsidP="00B336E3">
      <w:pPr>
        <w:rPr>
          <w:rFonts w:cs="Arial"/>
        </w:rPr>
      </w:pPr>
      <w:r w:rsidRPr="00845FBC">
        <w:rPr>
          <w:rFonts w:cs="Arial"/>
        </w:rPr>
        <w:t>Undifferentiated high-grade pleomorphic sarcoma</w:t>
      </w:r>
    </w:p>
    <w:p w14:paraId="312D16FD" w14:textId="77777777" w:rsidR="00002910" w:rsidRPr="00845FBC" w:rsidRDefault="00002910" w:rsidP="00B336E3">
      <w:pPr>
        <w:rPr>
          <w:rFonts w:cs="Arial"/>
        </w:rPr>
      </w:pPr>
    </w:p>
    <w:p w14:paraId="29D7C3D9" w14:textId="77777777" w:rsidR="00B336E3" w:rsidRPr="00845FBC" w:rsidRDefault="00B336E3" w:rsidP="00B336E3">
      <w:pPr>
        <w:pStyle w:val="Heading2"/>
        <w:rPr>
          <w:rFonts w:cs="Arial"/>
        </w:rPr>
      </w:pPr>
      <w:r w:rsidRPr="00845FBC">
        <w:rPr>
          <w:rFonts w:cs="Arial"/>
        </w:rPr>
        <w:t>TNM Grading</w:t>
      </w:r>
    </w:p>
    <w:p w14:paraId="558130CD" w14:textId="627E80E8" w:rsidR="00B336E3" w:rsidRPr="00845FBC" w:rsidRDefault="00B336E3" w:rsidP="00B336E3">
      <w:pPr>
        <w:rPr>
          <w:rFonts w:cs="Arial"/>
          <w:vertAlign w:val="superscript"/>
        </w:rPr>
      </w:pPr>
      <w:r w:rsidRPr="00845FBC">
        <w:rPr>
          <w:rFonts w:cs="Arial"/>
        </w:rPr>
        <w:t xml:space="preserve">The </w:t>
      </w:r>
      <w:r w:rsidR="00845FBC">
        <w:rPr>
          <w:rFonts w:cs="Arial"/>
        </w:rPr>
        <w:t>8th</w:t>
      </w:r>
      <w:r w:rsidR="00CB2F77" w:rsidRPr="00845FBC">
        <w:rPr>
          <w:rFonts w:cs="Arial"/>
        </w:rPr>
        <w:t xml:space="preserve"> </w:t>
      </w:r>
      <w:r w:rsidRPr="00845FBC">
        <w:rPr>
          <w:rFonts w:cs="Arial"/>
        </w:rPr>
        <w:t xml:space="preserve">edition of the American Joint Committee on Cancer (AJCC) and International Union Against Cancer (UICC) staging system for bone tumors includes a </w:t>
      </w:r>
      <w:r w:rsidR="00CB2F77" w:rsidRPr="00845FBC">
        <w:rPr>
          <w:rFonts w:cs="Arial"/>
        </w:rPr>
        <w:t>3</w:t>
      </w:r>
      <w:r w:rsidRPr="00845FBC">
        <w:rPr>
          <w:rFonts w:cs="Arial"/>
        </w:rPr>
        <w:t>-grade system but effectively collapses into high grade and low grade.</w:t>
      </w:r>
      <w:r w:rsidR="001D6B87">
        <w:rPr>
          <w:rFonts w:cs="Arial"/>
          <w:vertAlign w:val="superscript"/>
        </w:rPr>
        <w:t>2</w:t>
      </w:r>
      <w:r w:rsidRPr="00845FBC">
        <w:rPr>
          <w:rFonts w:cs="Arial"/>
          <w:vertAlign w:val="superscript"/>
        </w:rPr>
        <w:t>,</w:t>
      </w:r>
      <w:r w:rsidR="001D6B87">
        <w:rPr>
          <w:rFonts w:cs="Arial"/>
          <w:vertAlign w:val="superscript"/>
        </w:rPr>
        <w:t>5</w:t>
      </w:r>
      <w:r w:rsidRPr="00845FBC">
        <w:rPr>
          <w:rFonts w:cs="Arial"/>
        </w:rPr>
        <w:t xml:space="preserve">  Grading in the TNM grading system is based on differentiation only and does not generally apply to sarcomas.</w:t>
      </w:r>
    </w:p>
    <w:p w14:paraId="583A0190" w14:textId="77777777" w:rsidR="00B336E3" w:rsidRPr="00845FBC" w:rsidRDefault="00B336E3" w:rsidP="00B336E3">
      <w:pPr>
        <w:rPr>
          <w:rFonts w:eastAsia="MS Mincho" w:cs="Arial"/>
        </w:rPr>
      </w:pPr>
    </w:p>
    <w:p w14:paraId="445ACA07" w14:textId="77777777" w:rsidR="00B336E3" w:rsidRPr="00845FBC" w:rsidRDefault="00B336E3" w:rsidP="00B336E3">
      <w:pPr>
        <w:keepNext/>
        <w:rPr>
          <w:rFonts w:cs="Arial"/>
        </w:rPr>
      </w:pPr>
      <w:r w:rsidRPr="00845FBC">
        <w:rPr>
          <w:rFonts w:cs="Arial"/>
        </w:rPr>
        <w:t>GX</w:t>
      </w:r>
      <w:r w:rsidRPr="00845FBC">
        <w:rPr>
          <w:rFonts w:cs="Arial"/>
        </w:rPr>
        <w:tab/>
        <w:t>Grade cannot be assessed</w:t>
      </w:r>
    </w:p>
    <w:p w14:paraId="6A054AC7" w14:textId="77777777" w:rsidR="00B336E3" w:rsidRPr="00845FBC" w:rsidRDefault="00B336E3" w:rsidP="00B336E3">
      <w:pPr>
        <w:rPr>
          <w:rFonts w:cs="Arial"/>
        </w:rPr>
      </w:pPr>
      <w:r w:rsidRPr="00845FBC">
        <w:rPr>
          <w:rFonts w:cs="Arial"/>
        </w:rPr>
        <w:t>G1</w:t>
      </w:r>
      <w:r w:rsidRPr="00845FBC">
        <w:rPr>
          <w:rFonts w:cs="Arial"/>
        </w:rPr>
        <w:tab/>
        <w:t>Well differentiated</w:t>
      </w:r>
      <w:r w:rsidR="00CB2F77" w:rsidRPr="00845FBC">
        <w:rPr>
          <w:rFonts w:cs="Arial"/>
        </w:rPr>
        <w:t>, low grade</w:t>
      </w:r>
    </w:p>
    <w:p w14:paraId="6812A522" w14:textId="77777777" w:rsidR="00B336E3" w:rsidRPr="00845FBC" w:rsidRDefault="00B336E3" w:rsidP="00B336E3">
      <w:pPr>
        <w:rPr>
          <w:rFonts w:cs="Arial"/>
        </w:rPr>
      </w:pPr>
      <w:r w:rsidRPr="00845FBC">
        <w:rPr>
          <w:rFonts w:cs="Arial"/>
        </w:rPr>
        <w:t>G2</w:t>
      </w:r>
      <w:r w:rsidRPr="00845FBC">
        <w:rPr>
          <w:rFonts w:cs="Arial"/>
        </w:rPr>
        <w:tab/>
        <w:t>Moderately differentiated</w:t>
      </w:r>
      <w:r w:rsidR="00CB2F77" w:rsidRPr="00845FBC">
        <w:rPr>
          <w:rFonts w:cs="Arial"/>
        </w:rPr>
        <w:t>, high grade</w:t>
      </w:r>
    </w:p>
    <w:p w14:paraId="2E55F852" w14:textId="77777777" w:rsidR="00B336E3" w:rsidRPr="00845FBC" w:rsidRDefault="00B336E3" w:rsidP="00B336E3">
      <w:pPr>
        <w:rPr>
          <w:rFonts w:cs="Arial"/>
        </w:rPr>
      </w:pPr>
      <w:r w:rsidRPr="00845FBC">
        <w:rPr>
          <w:rFonts w:cs="Arial"/>
        </w:rPr>
        <w:t>G3</w:t>
      </w:r>
      <w:r w:rsidRPr="00845FBC">
        <w:rPr>
          <w:rFonts w:cs="Arial"/>
        </w:rPr>
        <w:tab/>
        <w:t>Poorly differentiated</w:t>
      </w:r>
      <w:r w:rsidR="00CB2F77" w:rsidRPr="00845FBC">
        <w:rPr>
          <w:rFonts w:cs="Arial"/>
        </w:rPr>
        <w:t>, high grade</w:t>
      </w:r>
      <w:r w:rsidRPr="00845FBC">
        <w:rPr>
          <w:rFonts w:cs="Arial"/>
        </w:rPr>
        <w:t xml:space="preserve"> </w:t>
      </w:r>
    </w:p>
    <w:p w14:paraId="33243C01" w14:textId="77777777" w:rsidR="00B336E3" w:rsidRPr="00845FBC" w:rsidRDefault="00B336E3" w:rsidP="00B336E3">
      <w:pPr>
        <w:rPr>
          <w:rFonts w:cs="Arial"/>
        </w:rPr>
      </w:pPr>
    </w:p>
    <w:p w14:paraId="101EC084" w14:textId="09255284" w:rsidR="00B336E3" w:rsidRPr="00845FBC" w:rsidRDefault="00B336E3" w:rsidP="00B336E3">
      <w:pPr>
        <w:rPr>
          <w:rFonts w:cs="Arial"/>
        </w:rPr>
      </w:pPr>
      <w:r w:rsidRPr="00845FBC">
        <w:rPr>
          <w:rFonts w:cs="Arial"/>
        </w:rPr>
        <w:t>For purposes of using the AJCC staging system, 3-grade systems can be converted to a 2-grade (TNM) system as follows: grade</w:t>
      </w:r>
      <w:r w:rsidR="001D6B87">
        <w:rPr>
          <w:rFonts w:cs="Arial"/>
        </w:rPr>
        <w:t xml:space="preserve"> </w:t>
      </w:r>
      <w:r w:rsidRPr="00845FBC">
        <w:rPr>
          <w:rFonts w:cs="Arial"/>
        </w:rPr>
        <w:t>1= low-grade; grade 2 and grade 3 = high-grade.</w:t>
      </w:r>
    </w:p>
    <w:p w14:paraId="06CC4CBE" w14:textId="77777777" w:rsidR="00B336E3" w:rsidRDefault="00B336E3" w:rsidP="00B336E3">
      <w:pPr>
        <w:rPr>
          <w:rFonts w:cs="Arial"/>
        </w:rPr>
      </w:pPr>
    </w:p>
    <w:p w14:paraId="66A8BEC2" w14:textId="77777777" w:rsidR="00DC1132" w:rsidRPr="00010CA3" w:rsidRDefault="00DC1132" w:rsidP="00DC1132">
      <w:pPr>
        <w:pStyle w:val="Heading1"/>
        <w:rPr>
          <w:rFonts w:cs="Arial"/>
          <w:b w:val="0"/>
          <w:kern w:val="18"/>
        </w:rPr>
      </w:pPr>
      <w:r w:rsidRPr="00010CA3">
        <w:rPr>
          <w:rFonts w:cs="Arial"/>
          <w:b w:val="0"/>
          <w:kern w:val="18"/>
        </w:rPr>
        <w:t>References</w:t>
      </w:r>
    </w:p>
    <w:p w14:paraId="72AAF8FB" w14:textId="77777777" w:rsidR="000263D2" w:rsidRPr="00845FBC" w:rsidRDefault="000263D2" w:rsidP="00442350">
      <w:pPr>
        <w:pStyle w:val="BodyText2"/>
        <w:numPr>
          <w:ilvl w:val="3"/>
          <w:numId w:val="7"/>
        </w:numPr>
        <w:tabs>
          <w:tab w:val="left" w:pos="450"/>
        </w:tabs>
        <w:ind w:left="540" w:hanging="540"/>
        <w:rPr>
          <w:rFonts w:cs="Arial"/>
          <w:b w:val="0"/>
        </w:rPr>
      </w:pPr>
      <w:r w:rsidRPr="00845FBC">
        <w:rPr>
          <w:rFonts w:cs="Arial"/>
          <w:b w:val="0"/>
        </w:rPr>
        <w:t xml:space="preserve">Inwards CY, </w:t>
      </w:r>
      <w:proofErr w:type="spellStart"/>
      <w:r w:rsidRPr="00845FBC">
        <w:rPr>
          <w:rFonts w:cs="Arial"/>
          <w:b w:val="0"/>
        </w:rPr>
        <w:t>Unni</w:t>
      </w:r>
      <w:proofErr w:type="spellEnd"/>
      <w:r w:rsidRPr="00845FBC">
        <w:rPr>
          <w:rFonts w:cs="Arial"/>
          <w:b w:val="0"/>
        </w:rPr>
        <w:t xml:space="preserve"> KK. Classification and grading of bone sarcomas. </w:t>
      </w:r>
      <w:proofErr w:type="spellStart"/>
      <w:r w:rsidRPr="00DD7C11">
        <w:rPr>
          <w:rFonts w:cs="Arial"/>
          <w:b w:val="0"/>
          <w:i/>
        </w:rPr>
        <w:t>Hematol</w:t>
      </w:r>
      <w:proofErr w:type="spellEnd"/>
      <w:r w:rsidRPr="00DD7C11">
        <w:rPr>
          <w:rFonts w:cs="Arial"/>
          <w:b w:val="0"/>
          <w:i/>
        </w:rPr>
        <w:t xml:space="preserve"> Oncol Clin North Am</w:t>
      </w:r>
      <w:r w:rsidRPr="00845FBC">
        <w:rPr>
          <w:rFonts w:cs="Arial"/>
          <w:b w:val="0"/>
        </w:rPr>
        <w:t>. 1995;9(3):545-569.</w:t>
      </w:r>
    </w:p>
    <w:p w14:paraId="241EB397" w14:textId="77777777" w:rsidR="00DC1132" w:rsidRDefault="00DC1132" w:rsidP="00442350">
      <w:pPr>
        <w:ind w:left="450" w:hanging="450"/>
        <w:rPr>
          <w:rFonts w:cs="Arial"/>
        </w:rPr>
      </w:pPr>
      <w:bookmarkStart w:id="5" w:name="_Hlk22634068"/>
      <w:r>
        <w:rPr>
          <w:rFonts w:cs="Arial"/>
        </w:rPr>
        <w:t>2</w:t>
      </w:r>
      <w:r w:rsidRPr="00DC1132">
        <w:rPr>
          <w:rFonts w:cs="Arial"/>
        </w:rPr>
        <w:t>.</w:t>
      </w:r>
      <w:r w:rsidRPr="00DC1132">
        <w:rPr>
          <w:rFonts w:cs="Arial"/>
        </w:rPr>
        <w:tab/>
        <w:t xml:space="preserve">Amin MB, Edge SB, Greene FL, et al, eds. </w:t>
      </w:r>
      <w:r w:rsidRPr="00442350">
        <w:rPr>
          <w:rFonts w:cs="Arial"/>
          <w:i/>
          <w:iCs/>
        </w:rPr>
        <w:t>AJCC Cancer Staging Manual. 8th ed</w:t>
      </w:r>
      <w:r w:rsidRPr="00DC1132">
        <w:rPr>
          <w:rFonts w:cs="Arial"/>
        </w:rPr>
        <w:t>. New York, NY: Springer; 2017.</w:t>
      </w:r>
    </w:p>
    <w:p w14:paraId="48DC6BD1" w14:textId="77777777" w:rsidR="000263D2" w:rsidRPr="000263D2" w:rsidRDefault="000263D2" w:rsidP="00442350">
      <w:pPr>
        <w:ind w:left="450" w:hanging="450"/>
        <w:rPr>
          <w:rFonts w:cs="Arial"/>
        </w:rPr>
      </w:pPr>
      <w:r w:rsidRPr="000263D2">
        <w:rPr>
          <w:rFonts w:cs="Arial"/>
          <w:bCs/>
        </w:rPr>
        <w:t>3.</w:t>
      </w:r>
      <w:r w:rsidRPr="000263D2">
        <w:rPr>
          <w:rFonts w:cs="Arial"/>
          <w:bCs/>
        </w:rPr>
        <w:tab/>
      </w:r>
      <w:proofErr w:type="spellStart"/>
      <w:r w:rsidRPr="000263D2">
        <w:rPr>
          <w:rFonts w:cs="Arial"/>
          <w:bCs/>
        </w:rPr>
        <w:t>Guillou</w:t>
      </w:r>
      <w:proofErr w:type="spellEnd"/>
      <w:r w:rsidRPr="000263D2">
        <w:rPr>
          <w:rFonts w:cs="Arial"/>
          <w:bCs/>
        </w:rPr>
        <w:t xml:space="preserve"> L, </w:t>
      </w:r>
      <w:proofErr w:type="spellStart"/>
      <w:r w:rsidRPr="000263D2">
        <w:rPr>
          <w:rFonts w:cs="Arial"/>
          <w:bCs/>
        </w:rPr>
        <w:t>Coindre</w:t>
      </w:r>
      <w:proofErr w:type="spellEnd"/>
      <w:r w:rsidRPr="000263D2">
        <w:rPr>
          <w:rFonts w:cs="Arial"/>
          <w:bCs/>
        </w:rPr>
        <w:t xml:space="preserve"> JM, </w:t>
      </w:r>
      <w:proofErr w:type="spellStart"/>
      <w:r w:rsidRPr="000263D2">
        <w:rPr>
          <w:rFonts w:cs="Arial"/>
          <w:bCs/>
        </w:rPr>
        <w:t>Bonichon</w:t>
      </w:r>
      <w:proofErr w:type="spellEnd"/>
      <w:r w:rsidRPr="000263D2">
        <w:rPr>
          <w:rFonts w:cs="Arial"/>
          <w:bCs/>
        </w:rPr>
        <w:t xml:space="preserve"> F, et al. Comparative study of the National Cancer Institute and French Federation of Cancer Centers Sarcoma Group grading systems in a population of 410 adult patients with soft tissue sarcoma. </w:t>
      </w:r>
      <w:r w:rsidRPr="00442350">
        <w:rPr>
          <w:rFonts w:cs="Arial"/>
          <w:bCs/>
        </w:rPr>
        <w:t>J Clin Oncol</w:t>
      </w:r>
      <w:r w:rsidRPr="000263D2">
        <w:rPr>
          <w:rFonts w:cs="Arial"/>
          <w:bCs/>
        </w:rPr>
        <w:t>. 1997;15(1):350-362.</w:t>
      </w:r>
    </w:p>
    <w:p w14:paraId="4B210119" w14:textId="77777777" w:rsidR="000263D2" w:rsidRPr="000263D2" w:rsidRDefault="000263D2" w:rsidP="00442350">
      <w:pPr>
        <w:ind w:left="450" w:hanging="450"/>
        <w:rPr>
          <w:rFonts w:cs="Arial"/>
        </w:rPr>
      </w:pPr>
      <w:r w:rsidRPr="00391E51">
        <w:rPr>
          <w:rFonts w:cs="Arial"/>
          <w:bCs/>
        </w:rPr>
        <w:t>4.</w:t>
      </w:r>
      <w:r>
        <w:rPr>
          <w:rFonts w:cs="Arial"/>
          <w:bCs/>
        </w:rPr>
        <w:tab/>
      </w:r>
      <w:r w:rsidRPr="000263D2">
        <w:rPr>
          <w:rFonts w:cs="Arial"/>
          <w:bCs/>
        </w:rPr>
        <w:t xml:space="preserve">Laurini JA, Cooper K, Fletcher CDM, et al. Protocol for the Examination of Specimens </w:t>
      </w:r>
      <w:proofErr w:type="gramStart"/>
      <w:r w:rsidRPr="000263D2">
        <w:rPr>
          <w:rFonts w:cs="Arial"/>
          <w:bCs/>
        </w:rPr>
        <w:t>From</w:t>
      </w:r>
      <w:proofErr w:type="gramEnd"/>
      <w:r w:rsidRPr="000263D2">
        <w:rPr>
          <w:rFonts w:cs="Arial"/>
          <w:bCs/>
        </w:rPr>
        <w:t xml:space="preserve"> Patients With Soft Tissue Tumors. 2017. Available at www.cap.org/cancerprotocols.</w:t>
      </w:r>
    </w:p>
    <w:p w14:paraId="4C34038F" w14:textId="77777777" w:rsidR="005E69B5" w:rsidRPr="00391E51" w:rsidRDefault="00DC1132" w:rsidP="00442350">
      <w:pPr>
        <w:kinsoku w:val="0"/>
        <w:overflowPunct w:val="0"/>
        <w:spacing w:line="204" w:lineRule="exact"/>
        <w:ind w:left="450" w:hanging="450"/>
        <w:rPr>
          <w:rFonts w:cs="Arial"/>
          <w:bCs/>
        </w:rPr>
      </w:pPr>
      <w:r>
        <w:rPr>
          <w:rFonts w:cs="Arial"/>
        </w:rPr>
        <w:t>5</w:t>
      </w:r>
      <w:r w:rsidRPr="00DC1132">
        <w:rPr>
          <w:rFonts w:cs="Arial"/>
        </w:rPr>
        <w:t>.</w:t>
      </w:r>
      <w:r w:rsidRPr="00DC1132">
        <w:rPr>
          <w:rFonts w:cs="Arial"/>
        </w:rPr>
        <w:tab/>
      </w:r>
      <w:r w:rsidR="005E69B5" w:rsidRPr="00442350">
        <w:rPr>
          <w:rFonts w:cs="Arial"/>
          <w:bCs/>
        </w:rPr>
        <w:t>B</w:t>
      </w:r>
      <w:r w:rsidR="005E69B5" w:rsidRPr="00391E51">
        <w:rPr>
          <w:rFonts w:cs="Arial"/>
          <w:bCs/>
        </w:rPr>
        <w:t>r</w:t>
      </w:r>
      <w:r w:rsidR="005E69B5" w:rsidRPr="00442350">
        <w:rPr>
          <w:rFonts w:cs="Arial"/>
          <w:bCs/>
        </w:rPr>
        <w:t>ie</w:t>
      </w:r>
      <w:r w:rsidR="005E69B5" w:rsidRPr="00391E51">
        <w:rPr>
          <w:rFonts w:cs="Arial"/>
          <w:bCs/>
        </w:rPr>
        <w:t>r</w:t>
      </w:r>
      <w:r w:rsidR="005E69B5" w:rsidRPr="00442350">
        <w:rPr>
          <w:rFonts w:cs="Arial"/>
          <w:bCs/>
        </w:rPr>
        <w:t>le</w:t>
      </w:r>
      <w:r w:rsidR="005E69B5" w:rsidRPr="00391E51">
        <w:rPr>
          <w:rFonts w:cs="Arial"/>
          <w:bCs/>
        </w:rPr>
        <w:t>y</w:t>
      </w:r>
      <w:r w:rsidR="005E69B5" w:rsidRPr="00442350">
        <w:rPr>
          <w:rFonts w:cs="Arial"/>
          <w:bCs/>
        </w:rPr>
        <w:t xml:space="preserve"> J</w:t>
      </w:r>
      <w:r w:rsidR="005E69B5" w:rsidRPr="00391E51">
        <w:rPr>
          <w:rFonts w:cs="Arial"/>
          <w:bCs/>
        </w:rPr>
        <w:t>D,</w:t>
      </w:r>
      <w:r w:rsidR="005E69B5" w:rsidRPr="00442350">
        <w:rPr>
          <w:rFonts w:cs="Arial"/>
          <w:bCs/>
        </w:rPr>
        <w:t xml:space="preserve"> </w:t>
      </w:r>
      <w:proofErr w:type="spellStart"/>
      <w:r w:rsidR="005E69B5" w:rsidRPr="00442350">
        <w:rPr>
          <w:rFonts w:cs="Arial"/>
          <w:bCs/>
        </w:rPr>
        <w:t>Gospoda</w:t>
      </w:r>
      <w:r w:rsidR="005E69B5" w:rsidRPr="00391E51">
        <w:rPr>
          <w:rFonts w:cs="Arial"/>
          <w:bCs/>
        </w:rPr>
        <w:t>r</w:t>
      </w:r>
      <w:r w:rsidR="005E69B5" w:rsidRPr="00442350">
        <w:rPr>
          <w:rFonts w:cs="Arial"/>
          <w:bCs/>
        </w:rPr>
        <w:t>o</w:t>
      </w:r>
      <w:r w:rsidR="005E69B5" w:rsidRPr="00391E51">
        <w:rPr>
          <w:rFonts w:cs="Arial"/>
          <w:bCs/>
        </w:rPr>
        <w:t>w</w:t>
      </w:r>
      <w:r w:rsidR="005E69B5" w:rsidRPr="00442350">
        <w:rPr>
          <w:rFonts w:cs="Arial"/>
          <w:bCs/>
        </w:rPr>
        <w:t>ic</w:t>
      </w:r>
      <w:r w:rsidR="005E69B5" w:rsidRPr="00391E51">
        <w:rPr>
          <w:rFonts w:cs="Arial"/>
          <w:bCs/>
        </w:rPr>
        <w:t>z</w:t>
      </w:r>
      <w:proofErr w:type="spellEnd"/>
      <w:r w:rsidR="005E69B5" w:rsidRPr="00442350">
        <w:rPr>
          <w:rFonts w:cs="Arial"/>
          <w:bCs/>
        </w:rPr>
        <w:t xml:space="preserve"> MK</w:t>
      </w:r>
      <w:r w:rsidR="005E69B5" w:rsidRPr="00391E51">
        <w:rPr>
          <w:rFonts w:cs="Arial"/>
          <w:bCs/>
        </w:rPr>
        <w:t>,</w:t>
      </w:r>
      <w:r w:rsidR="005E69B5" w:rsidRPr="00442350">
        <w:rPr>
          <w:rFonts w:cs="Arial"/>
          <w:bCs/>
        </w:rPr>
        <w:t xml:space="preserve"> Wittekin</w:t>
      </w:r>
      <w:r w:rsidR="005E69B5" w:rsidRPr="00391E51">
        <w:rPr>
          <w:rFonts w:cs="Arial"/>
          <w:bCs/>
        </w:rPr>
        <w:t>d</w:t>
      </w:r>
      <w:r w:rsidR="005E69B5" w:rsidRPr="00442350">
        <w:rPr>
          <w:rFonts w:cs="Arial"/>
          <w:bCs/>
        </w:rPr>
        <w:t xml:space="preserve"> </w:t>
      </w:r>
      <w:r w:rsidR="005E69B5" w:rsidRPr="00391E51">
        <w:rPr>
          <w:rFonts w:cs="Arial"/>
          <w:bCs/>
        </w:rPr>
        <w:t>C,</w:t>
      </w:r>
      <w:r w:rsidR="005E69B5" w:rsidRPr="00442350">
        <w:rPr>
          <w:rFonts w:cs="Arial"/>
          <w:bCs/>
        </w:rPr>
        <w:t xml:space="preserve"> e</w:t>
      </w:r>
      <w:r w:rsidR="005E69B5" w:rsidRPr="00391E51">
        <w:rPr>
          <w:rFonts w:cs="Arial"/>
          <w:bCs/>
        </w:rPr>
        <w:t>t</w:t>
      </w:r>
      <w:r w:rsidR="005E69B5" w:rsidRPr="00442350">
        <w:rPr>
          <w:rFonts w:cs="Arial"/>
          <w:bCs/>
        </w:rPr>
        <w:t xml:space="preserve"> al</w:t>
      </w:r>
      <w:r w:rsidR="005E69B5" w:rsidRPr="00391E51">
        <w:rPr>
          <w:rFonts w:cs="Arial"/>
          <w:bCs/>
        </w:rPr>
        <w:t>,</w:t>
      </w:r>
      <w:r w:rsidR="005E69B5" w:rsidRPr="00442350">
        <w:rPr>
          <w:rFonts w:cs="Arial"/>
          <w:bCs/>
        </w:rPr>
        <w:t xml:space="preserve"> eds</w:t>
      </w:r>
      <w:r w:rsidR="005E69B5" w:rsidRPr="00442350">
        <w:rPr>
          <w:rFonts w:cs="Arial"/>
          <w:bCs/>
          <w:i/>
          <w:iCs/>
        </w:rPr>
        <w:t xml:space="preserve">. </w:t>
      </w:r>
      <w:r w:rsidR="005E69B5" w:rsidRPr="00391E51">
        <w:rPr>
          <w:rFonts w:cs="Arial"/>
          <w:bCs/>
          <w:i/>
          <w:iCs/>
        </w:rPr>
        <w:t>TNM</w:t>
      </w:r>
      <w:r w:rsidR="005E69B5" w:rsidRPr="00442350">
        <w:rPr>
          <w:rFonts w:cs="Arial"/>
          <w:bCs/>
          <w:i/>
          <w:iCs/>
        </w:rPr>
        <w:t xml:space="preserve"> </w:t>
      </w:r>
      <w:r w:rsidR="005E69B5" w:rsidRPr="00391E51">
        <w:rPr>
          <w:rFonts w:cs="Arial"/>
          <w:bCs/>
          <w:i/>
          <w:iCs/>
        </w:rPr>
        <w:t>C</w:t>
      </w:r>
      <w:r w:rsidR="005E69B5" w:rsidRPr="00442350">
        <w:rPr>
          <w:rFonts w:cs="Arial"/>
          <w:bCs/>
          <w:i/>
          <w:iCs/>
        </w:rPr>
        <w:t>lassificatio</w:t>
      </w:r>
      <w:r w:rsidR="005E69B5" w:rsidRPr="00391E51">
        <w:rPr>
          <w:rFonts w:cs="Arial"/>
          <w:bCs/>
          <w:i/>
          <w:iCs/>
        </w:rPr>
        <w:t>n</w:t>
      </w:r>
      <w:r w:rsidR="005E69B5" w:rsidRPr="00442350">
        <w:rPr>
          <w:rFonts w:cs="Arial"/>
          <w:bCs/>
          <w:i/>
          <w:iCs/>
        </w:rPr>
        <w:t xml:space="preserve"> o</w:t>
      </w:r>
      <w:r w:rsidR="005E69B5" w:rsidRPr="00391E51">
        <w:rPr>
          <w:rFonts w:cs="Arial"/>
          <w:bCs/>
          <w:i/>
          <w:iCs/>
        </w:rPr>
        <w:t>f</w:t>
      </w:r>
      <w:r w:rsidR="005E69B5" w:rsidRPr="00442350">
        <w:rPr>
          <w:rFonts w:cs="Arial"/>
          <w:bCs/>
          <w:i/>
          <w:iCs/>
        </w:rPr>
        <w:t xml:space="preserve"> Malignan</w:t>
      </w:r>
      <w:r w:rsidR="005E69B5" w:rsidRPr="00391E51">
        <w:rPr>
          <w:rFonts w:cs="Arial"/>
          <w:bCs/>
          <w:i/>
          <w:iCs/>
        </w:rPr>
        <w:t>t</w:t>
      </w:r>
      <w:r w:rsidR="005E69B5" w:rsidRPr="00442350">
        <w:rPr>
          <w:rFonts w:cs="Arial"/>
          <w:bCs/>
          <w:i/>
          <w:iCs/>
        </w:rPr>
        <w:t xml:space="preserve"> </w:t>
      </w:r>
      <w:proofErr w:type="spellStart"/>
      <w:r w:rsidR="005E69B5" w:rsidRPr="00391E51">
        <w:rPr>
          <w:rFonts w:cs="Arial"/>
          <w:bCs/>
          <w:i/>
          <w:iCs/>
        </w:rPr>
        <w:t>T</w:t>
      </w:r>
      <w:r w:rsidR="005E69B5" w:rsidRPr="00442350">
        <w:rPr>
          <w:rFonts w:cs="Arial"/>
          <w:bCs/>
          <w:i/>
          <w:iCs/>
        </w:rPr>
        <w:t>umou</w:t>
      </w:r>
      <w:r w:rsidR="005E69B5" w:rsidRPr="00391E51">
        <w:rPr>
          <w:rFonts w:cs="Arial"/>
          <w:bCs/>
          <w:i/>
          <w:iCs/>
        </w:rPr>
        <w:t>r</w:t>
      </w:r>
      <w:r w:rsidR="005E69B5" w:rsidRPr="00442350">
        <w:rPr>
          <w:rFonts w:cs="Arial"/>
          <w:bCs/>
          <w:i/>
          <w:iCs/>
        </w:rPr>
        <w:t>s</w:t>
      </w:r>
      <w:proofErr w:type="spellEnd"/>
      <w:r w:rsidR="005E69B5" w:rsidRPr="00442350">
        <w:rPr>
          <w:rFonts w:cs="Arial"/>
          <w:bCs/>
          <w:i/>
          <w:iCs/>
        </w:rPr>
        <w:t>. 8th ed</w:t>
      </w:r>
      <w:r w:rsidR="005E69B5" w:rsidRPr="00442350">
        <w:rPr>
          <w:rFonts w:cs="Arial"/>
          <w:bCs/>
        </w:rPr>
        <w:t>.</w:t>
      </w:r>
      <w:r w:rsidR="005E69B5">
        <w:rPr>
          <w:rFonts w:cs="Arial"/>
          <w:bCs/>
        </w:rPr>
        <w:t xml:space="preserve"> </w:t>
      </w:r>
      <w:r w:rsidR="005E69B5" w:rsidRPr="00442350">
        <w:rPr>
          <w:rFonts w:cs="Arial"/>
          <w:bCs/>
        </w:rPr>
        <w:t>Oxfo</w:t>
      </w:r>
      <w:r w:rsidR="005E69B5" w:rsidRPr="00391E51">
        <w:rPr>
          <w:rFonts w:cs="Arial"/>
          <w:bCs/>
        </w:rPr>
        <w:t>r</w:t>
      </w:r>
      <w:r w:rsidR="005E69B5" w:rsidRPr="00442350">
        <w:rPr>
          <w:rFonts w:cs="Arial"/>
          <w:bCs/>
        </w:rPr>
        <w:t>d</w:t>
      </w:r>
      <w:r w:rsidR="005E69B5" w:rsidRPr="00391E51">
        <w:rPr>
          <w:rFonts w:cs="Arial"/>
          <w:bCs/>
        </w:rPr>
        <w:t>,</w:t>
      </w:r>
      <w:r w:rsidR="005E69B5" w:rsidRPr="00442350">
        <w:rPr>
          <w:rFonts w:cs="Arial"/>
          <w:bCs/>
        </w:rPr>
        <w:t xml:space="preserve"> </w:t>
      </w:r>
      <w:r w:rsidR="005E69B5" w:rsidRPr="00391E51">
        <w:rPr>
          <w:rFonts w:cs="Arial"/>
          <w:bCs/>
        </w:rPr>
        <w:t>U</w:t>
      </w:r>
      <w:r w:rsidR="005E69B5" w:rsidRPr="00442350">
        <w:rPr>
          <w:rFonts w:cs="Arial"/>
          <w:bCs/>
        </w:rPr>
        <w:t>K</w:t>
      </w:r>
      <w:r w:rsidR="005E69B5" w:rsidRPr="00391E51">
        <w:rPr>
          <w:rFonts w:cs="Arial"/>
          <w:bCs/>
        </w:rPr>
        <w:t>:</w:t>
      </w:r>
      <w:r w:rsidR="005E69B5" w:rsidRPr="00442350">
        <w:rPr>
          <w:rFonts w:cs="Arial"/>
          <w:bCs/>
        </w:rPr>
        <w:t xml:space="preserve"> Wiley</w:t>
      </w:r>
      <w:r w:rsidR="005E69B5" w:rsidRPr="00391E51">
        <w:rPr>
          <w:rFonts w:cs="Arial"/>
          <w:bCs/>
        </w:rPr>
        <w:t>;</w:t>
      </w:r>
      <w:r w:rsidR="005E69B5" w:rsidRPr="00442350">
        <w:rPr>
          <w:rFonts w:cs="Arial"/>
          <w:bCs/>
        </w:rPr>
        <w:t xml:space="preserve"> 2016.</w:t>
      </w:r>
    </w:p>
    <w:bookmarkEnd w:id="5"/>
    <w:p w14:paraId="027958DF" w14:textId="77777777" w:rsidR="00DC1132" w:rsidRPr="00391E51" w:rsidRDefault="00DC1132" w:rsidP="00DC1132">
      <w:pPr>
        <w:rPr>
          <w:rFonts w:cs="Arial"/>
          <w:bCs/>
        </w:rPr>
      </w:pPr>
    </w:p>
    <w:p w14:paraId="05166E1F" w14:textId="30775378" w:rsidR="00B336E3" w:rsidRPr="00845FBC" w:rsidRDefault="00182C11" w:rsidP="00B336E3">
      <w:pPr>
        <w:pStyle w:val="Heading2"/>
        <w:rPr>
          <w:rFonts w:cs="Arial"/>
        </w:rPr>
      </w:pPr>
      <w:r>
        <w:rPr>
          <w:rFonts w:cs="Arial"/>
        </w:rPr>
        <w:t>G</w:t>
      </w:r>
      <w:r w:rsidR="00776309" w:rsidRPr="00845FBC">
        <w:rPr>
          <w:rFonts w:cs="Arial"/>
        </w:rPr>
        <w:t xml:space="preserve">.  </w:t>
      </w:r>
      <w:r w:rsidR="00EF4373">
        <w:rPr>
          <w:rFonts w:cs="Arial"/>
        </w:rPr>
        <w:t>Lymphov</w:t>
      </w:r>
      <w:r w:rsidR="00B336E3" w:rsidRPr="00845FBC">
        <w:rPr>
          <w:rFonts w:cs="Arial"/>
        </w:rPr>
        <w:t>ascular Invasion</w:t>
      </w:r>
    </w:p>
    <w:p w14:paraId="488B3C85" w14:textId="77777777" w:rsidR="00B336E3" w:rsidRPr="00845FBC" w:rsidRDefault="00EF4373" w:rsidP="00B336E3">
      <w:pPr>
        <w:pStyle w:val="Heading2"/>
        <w:rPr>
          <w:rFonts w:cs="Arial"/>
          <w:b w:val="0"/>
          <w:szCs w:val="22"/>
        </w:rPr>
      </w:pPr>
      <w:r>
        <w:rPr>
          <w:rFonts w:cs="Arial"/>
          <w:b w:val="0"/>
          <w:szCs w:val="22"/>
        </w:rPr>
        <w:t>Lympho</w:t>
      </w:r>
      <w:r w:rsidR="00B336E3" w:rsidRPr="00845FBC">
        <w:rPr>
          <w:rFonts w:cs="Arial"/>
          <w:b w:val="0"/>
          <w:szCs w:val="22"/>
        </w:rPr>
        <w:t>vascular invasion (LVI) indicates whet</w:t>
      </w:r>
      <w:r w:rsidR="00F1500A">
        <w:rPr>
          <w:rFonts w:cs="Arial"/>
          <w:b w:val="0"/>
          <w:szCs w:val="22"/>
        </w:rPr>
        <w:t xml:space="preserve">her microscopic </w:t>
      </w:r>
      <w:proofErr w:type="spellStart"/>
      <w:r w:rsidR="00F1500A">
        <w:rPr>
          <w:rFonts w:cs="Arial"/>
          <w:b w:val="0"/>
          <w:szCs w:val="22"/>
        </w:rPr>
        <w:t>lympho</w:t>
      </w:r>
      <w:r w:rsidR="00B336E3" w:rsidRPr="00845FBC">
        <w:rPr>
          <w:rFonts w:cs="Arial"/>
          <w:b w:val="0"/>
          <w:szCs w:val="22"/>
        </w:rPr>
        <w:t>vascular</w:t>
      </w:r>
      <w:proofErr w:type="spellEnd"/>
      <w:r w:rsidR="00B336E3" w:rsidRPr="00845FBC">
        <w:rPr>
          <w:rFonts w:cs="Arial"/>
          <w:b w:val="0"/>
          <w:szCs w:val="22"/>
        </w:rPr>
        <w:t xml:space="preserve"> invasion is identified. LVI includes lymphatic invasi</w:t>
      </w:r>
      <w:r w:rsidR="00F1500A">
        <w:rPr>
          <w:rFonts w:cs="Arial"/>
          <w:b w:val="0"/>
          <w:szCs w:val="22"/>
        </w:rPr>
        <w:t xml:space="preserve">on, vascular invasion, or </w:t>
      </w:r>
      <w:proofErr w:type="spellStart"/>
      <w:r w:rsidR="00F1500A">
        <w:rPr>
          <w:rFonts w:cs="Arial"/>
          <w:b w:val="0"/>
          <w:szCs w:val="22"/>
        </w:rPr>
        <w:t>lympho</w:t>
      </w:r>
      <w:r w:rsidR="00B336E3" w:rsidRPr="00845FBC">
        <w:rPr>
          <w:rFonts w:cs="Arial"/>
          <w:b w:val="0"/>
          <w:szCs w:val="22"/>
        </w:rPr>
        <w:t>vascular</w:t>
      </w:r>
      <w:proofErr w:type="spellEnd"/>
      <w:r w:rsidR="00B336E3" w:rsidRPr="00845FBC">
        <w:rPr>
          <w:rFonts w:cs="Arial"/>
          <w:b w:val="0"/>
          <w:szCs w:val="22"/>
        </w:rPr>
        <w:t xml:space="preserve"> invasion. By AJCC/UICC convention, LVI does not affect the T category indicating local extent of tumor unless specifically included in the definition of a T category.</w:t>
      </w:r>
    </w:p>
    <w:p w14:paraId="2E221D7D" w14:textId="77777777" w:rsidR="00312D9E" w:rsidRPr="00845FBC" w:rsidRDefault="00312D9E" w:rsidP="00442350">
      <w:pPr>
        <w:keepNext/>
        <w:tabs>
          <w:tab w:val="left" w:pos="360"/>
        </w:tabs>
        <w:outlineLvl w:val="1"/>
        <w:rPr>
          <w:rFonts w:cs="Arial"/>
        </w:rPr>
      </w:pPr>
    </w:p>
    <w:sectPr w:rsidR="00312D9E" w:rsidRPr="00845FBC" w:rsidSect="0072709F">
      <w:headerReference w:type="even" r:id="rId18"/>
      <w:headerReference w:type="default" r:id="rId19"/>
      <w:footerReference w:type="even" r:id="rId20"/>
      <w:footerReference w:type="default" r:id="rId21"/>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B1AF" w14:textId="77777777" w:rsidR="004C2DCF" w:rsidRDefault="004C2DCF">
      <w:r>
        <w:separator/>
      </w:r>
    </w:p>
  </w:endnote>
  <w:endnote w:type="continuationSeparator" w:id="0">
    <w:p w14:paraId="3A2B0F95" w14:textId="77777777" w:rsidR="004C2DCF" w:rsidRDefault="004C2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AAC17" w14:textId="77777777"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DE8AC3F" w14:textId="77777777" w:rsidR="004C2DCF" w:rsidRDefault="004C2DC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5CEB" w14:textId="77777777"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32558F2" w14:textId="77777777" w:rsidR="004C2DCF" w:rsidRDefault="004C2DC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2095A" w14:textId="67439453" w:rsidR="004C2DCF" w:rsidRPr="00CA00DE" w:rsidRDefault="004C2DCF" w:rsidP="00CA00DE">
    <w:pPr>
      <w:widowControl w:val="0"/>
      <w:autoSpaceDE w:val="0"/>
      <w:autoSpaceDN w:val="0"/>
      <w:adjustRightInd w:val="0"/>
      <w:rPr>
        <w:color w:val="1F497D"/>
        <w:kern w:val="24"/>
        <w:sz w:val="16"/>
        <w:szCs w:val="16"/>
      </w:rPr>
    </w:pPr>
    <w:r w:rsidRPr="00CA00DE">
      <w:rPr>
        <w:rFonts w:cs="Arial"/>
        <w:b/>
        <w:kern w:val="24"/>
        <w:sz w:val="16"/>
        <w:szCs w:val="16"/>
      </w:rPr>
      <w:t>© 20</w:t>
    </w:r>
    <w:r>
      <w:rPr>
        <w:rFonts w:cs="Arial"/>
        <w:b/>
        <w:kern w:val="24"/>
        <w:sz w:val="16"/>
        <w:szCs w:val="16"/>
      </w:rPr>
      <w:t>20</w:t>
    </w:r>
    <w:r w:rsidRPr="00CA00DE">
      <w:rPr>
        <w:rFonts w:cs="Arial"/>
        <w:b/>
        <w:kern w:val="24"/>
        <w:sz w:val="16"/>
        <w:szCs w:val="16"/>
      </w:rPr>
      <w:t xml:space="preserve"> College of American Pathologists (CAP). All rights reserved.</w:t>
    </w:r>
    <w:r w:rsidRPr="00CA00DE">
      <w:rPr>
        <w:color w:val="1F497D"/>
        <w:kern w:val="24"/>
        <w:sz w:val="16"/>
        <w:szCs w:val="16"/>
      </w:rPr>
      <w:t xml:space="preserve"> </w:t>
    </w:r>
  </w:p>
  <w:p w14:paraId="120DB7A3" w14:textId="77777777" w:rsidR="004C2DCF" w:rsidRDefault="004C2DCF" w:rsidP="00176D28">
    <w:pPr>
      <w:widowControl w:val="0"/>
      <w:autoSpaceDE w:val="0"/>
      <w:autoSpaceDN w:val="0"/>
      <w:adjustRightInd w:val="0"/>
    </w:pPr>
    <w:r w:rsidRPr="00CA00DE">
      <w:rPr>
        <w:color w:val="000000"/>
        <w:kern w:val="24"/>
        <w:sz w:val="16"/>
        <w:szCs w:val="16"/>
      </w:rPr>
      <w:t xml:space="preserve">For Terms of Use please visit </w:t>
    </w:r>
    <w:hyperlink r:id="rId1" w:history="1">
      <w:r w:rsidRPr="00CA00DE">
        <w:rPr>
          <w:color w:val="000000"/>
          <w:kern w:val="24"/>
          <w:sz w:val="16"/>
          <w:szCs w:val="16"/>
          <w:u w:val="single"/>
        </w:rPr>
        <w:t>www.cap.org/cancerprotocols</w:t>
      </w:r>
    </w:hyperlink>
    <w:r w:rsidRPr="00CA00DE">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5885C" w14:textId="77777777"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7AD051E" w14:textId="77777777" w:rsidR="004C2DCF" w:rsidRDefault="004C2DCF">
    <w:pPr>
      <w:pStyle w:val="Footer"/>
      <w:tabs>
        <w:tab w:val="clear" w:pos="4320"/>
      </w:tabs>
      <w:ind w:left="720" w:right="360"/>
      <w:rPr>
        <w:sz w:val="18"/>
      </w:rPr>
    </w:pPr>
    <w:r>
      <w:rPr>
        <w:sz w:val="18"/>
      </w:rPr>
      <w:tab/>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r>
    <w:r>
      <w:rPr>
        <w:sz w:val="18"/>
      </w:rPr>
      <w:tab/>
      <w:t>the Commission on Cancer. These elements may be clinically important,</w:t>
    </w:r>
    <w:r>
      <w:rPr>
        <w:sz w:val="18"/>
      </w:rPr>
      <w:br/>
    </w:r>
    <w:r>
      <w:rPr>
        <w:sz w:val="18"/>
      </w:rPr>
      <w:tab/>
      <w:t>but are not yet validated or regularly used in patient management.</w:t>
    </w:r>
    <w:r>
      <w:rPr>
        <w:sz w:val="18"/>
      </w:rPr>
      <w:br/>
    </w:r>
    <w:r>
      <w:rPr>
        <w:sz w:val="18"/>
      </w:rPr>
      <w:tab/>
      <w:t>Alternatively, the necessary data may not be available to the pathologist</w:t>
    </w:r>
    <w:r>
      <w:rPr>
        <w:sz w:val="18"/>
      </w:rPr>
      <w:br/>
    </w:r>
    <w:r>
      <w:rPr>
        <w:sz w:val="18"/>
      </w:rPr>
      <w:tab/>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1F072" w14:textId="41B2F300"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4E8">
      <w:rPr>
        <w:rStyle w:val="PageNumber"/>
        <w:noProof/>
      </w:rPr>
      <w:t>3</w:t>
    </w:r>
    <w:r>
      <w:rPr>
        <w:rStyle w:val="PageNumber"/>
      </w:rPr>
      <w:fldChar w:fldCharType="end"/>
    </w:r>
  </w:p>
  <w:p w14:paraId="2B221B49" w14:textId="7D29C970" w:rsidR="004C2DCF" w:rsidRPr="0072709F" w:rsidRDefault="004C2DCF" w:rsidP="00442350">
    <w:pPr>
      <w:tabs>
        <w:tab w:val="right" w:pos="8640"/>
      </w:tabs>
      <w:ind w:left="180" w:right="360" w:hanging="180"/>
      <w:rPr>
        <w:bCs/>
        <w:sz w:val="16"/>
        <w:szCs w:val="16"/>
      </w:rPr>
    </w:pPr>
    <w:r w:rsidRPr="007721CD">
      <w:rPr>
        <w:rFonts w:cs="Arial"/>
        <w:sz w:val="16"/>
        <w:szCs w:val="16"/>
      </w:rPr>
      <w:t>The routinely reporte</w:t>
    </w:r>
    <w:r>
      <w:rPr>
        <w:rFonts w:cs="Arial"/>
        <w:sz w:val="16"/>
        <w:szCs w:val="16"/>
      </w:rPr>
      <w:t>d core data elements are bolded</w:t>
    </w:r>
    <w:r w:rsidRPr="007C034D">
      <w:rPr>
        <w:rFonts w:cs="Arial"/>
        <w:sz w:val="16"/>
        <w:szCs w:val="16"/>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FD398" w14:textId="77777777"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10D5516D" w14:textId="77777777" w:rsidR="004C2DCF" w:rsidRDefault="004C2DCF">
    <w:pPr>
      <w:pStyle w:val="Footer"/>
      <w:tabs>
        <w:tab w:val="clear" w:pos="4320"/>
      </w:tabs>
      <w:ind w:left="720" w:right="360"/>
      <w:rPr>
        <w:sz w:val="18"/>
      </w:rPr>
    </w:pP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FE7FB" w14:textId="77777777" w:rsidR="004C2DCF" w:rsidRDefault="004C2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4E8">
      <w:rPr>
        <w:rStyle w:val="PageNumber"/>
        <w:noProof/>
      </w:rPr>
      <w:t>8</w:t>
    </w:r>
    <w:r>
      <w:rPr>
        <w:rStyle w:val="PageNumber"/>
      </w:rPr>
      <w:fldChar w:fldCharType="end"/>
    </w:r>
  </w:p>
  <w:p w14:paraId="7F43853C" w14:textId="77777777" w:rsidR="004C2DCF" w:rsidRDefault="004C2DCF">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B672" w14:textId="77777777" w:rsidR="004C2DCF" w:rsidRDefault="004C2DCF">
      <w:r>
        <w:separator/>
      </w:r>
    </w:p>
  </w:footnote>
  <w:footnote w:type="continuationSeparator" w:id="0">
    <w:p w14:paraId="04BB4223" w14:textId="77777777" w:rsidR="004C2DCF" w:rsidRDefault="004C2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0D" w14:textId="77777777" w:rsidR="004C2DCF" w:rsidRDefault="004C2DCF">
    <w:pPr>
      <w:pStyle w:val="Header"/>
      <w:tabs>
        <w:tab w:val="clear" w:pos="4320"/>
      </w:tabs>
      <w:rPr>
        <w:b/>
      </w:rPr>
    </w:pPr>
    <w:r>
      <w:rPr>
        <w:b/>
      </w:rPr>
      <w:t>Soft Tissue and Bone • Other</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05A9" w14:textId="76EFA9DB" w:rsidR="004C2DCF" w:rsidRDefault="004C2DCF" w:rsidP="0072709F">
    <w:pPr>
      <w:pStyle w:val="Header"/>
      <w:tabs>
        <w:tab w:val="clear" w:pos="4320"/>
        <w:tab w:val="clear" w:pos="8640"/>
        <w:tab w:val="right" w:pos="10080"/>
      </w:tabs>
      <w:rPr>
        <w:b/>
      </w:rPr>
    </w:pPr>
    <w:r>
      <w:rPr>
        <w:b/>
      </w:rPr>
      <w:tab/>
      <w:t>Bone/Soft Tissue • Bone Biopsy 4.1.0.0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E8731" w14:textId="77777777" w:rsidR="004C2DCF" w:rsidRDefault="004C2DCF">
    <w:pPr>
      <w:pStyle w:val="Header"/>
    </w:pPr>
    <w:r>
      <w:rPr>
        <w:noProof/>
      </w:rPr>
      <w:drawing>
        <wp:inline distT="0" distB="0" distL="0" distR="0" wp14:anchorId="18201505" wp14:editId="21D32707">
          <wp:extent cx="2950210" cy="508635"/>
          <wp:effectExtent l="0" t="0" r="0" b="0"/>
          <wp:docPr id="9" name="Picture 9" descr="CAP_logo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08635"/>
                  </a:xfrm>
                  <a:prstGeom prst="rect">
                    <a:avLst/>
                  </a:prstGeom>
                  <a:noFill/>
                  <a:ln>
                    <a:noFill/>
                  </a:ln>
                </pic:spPr>
              </pic:pic>
            </a:graphicData>
          </a:graphic>
        </wp:inline>
      </w:drawing>
    </w:r>
  </w:p>
  <w:p w14:paraId="6EF53B83" w14:textId="77777777" w:rsidR="004C2DCF" w:rsidRPr="001F32D9" w:rsidRDefault="004C2DCF">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AD2E" w14:textId="33F1D387" w:rsidR="004C2DCF" w:rsidRDefault="004C2DCF" w:rsidP="00D410D4">
    <w:pPr>
      <w:pStyle w:val="Header"/>
      <w:tabs>
        <w:tab w:val="clear" w:pos="4320"/>
        <w:tab w:val="clear" w:pos="8640"/>
        <w:tab w:val="right" w:pos="10080"/>
      </w:tabs>
      <w:rPr>
        <w:b/>
      </w:rPr>
    </w:pPr>
    <w:r>
      <w:rPr>
        <w:b/>
      </w:rPr>
      <w:t>CAP Approved</w:t>
    </w:r>
    <w:r>
      <w:rPr>
        <w:b/>
      </w:rPr>
      <w:tab/>
    </w:r>
    <w:bookmarkStart w:id="2" w:name="_Hlk22640097"/>
    <w:r>
      <w:rPr>
        <w:b/>
      </w:rPr>
      <w:t xml:space="preserve">Bone/Soft Tissue </w:t>
    </w:r>
    <w:bookmarkStart w:id="3" w:name="_Hlk22632742"/>
    <w:r>
      <w:rPr>
        <w:b/>
      </w:rPr>
      <w:t>•</w:t>
    </w:r>
    <w:bookmarkEnd w:id="3"/>
    <w:r>
      <w:rPr>
        <w:b/>
      </w:rPr>
      <w:t xml:space="preserve"> Bone • Biopsy • 4.</w:t>
    </w:r>
    <w:r w:rsidR="00442350">
      <w:rPr>
        <w:b/>
      </w:rPr>
      <w:t>0</w:t>
    </w:r>
    <w:r>
      <w:rPr>
        <w:b/>
      </w:rPr>
      <w:t>.</w:t>
    </w:r>
    <w:r w:rsidR="00442350">
      <w:rPr>
        <w:b/>
      </w:rPr>
      <w:t>1</w:t>
    </w:r>
    <w:r>
      <w:rPr>
        <w:b/>
      </w:rPr>
      <w:t>.0</w:t>
    </w:r>
  </w:p>
  <w:bookmarkEnd w:id="2"/>
  <w:p w14:paraId="20D88454" w14:textId="63D97598" w:rsidR="004C2DCF" w:rsidRPr="0072709F" w:rsidRDefault="004C2DCF" w:rsidP="00D410D4">
    <w:pPr>
      <w:pStyle w:val="Header"/>
      <w:tabs>
        <w:tab w:val="clear" w:pos="4320"/>
        <w:tab w:val="clear" w:pos="8640"/>
        <w:tab w:val="right" w:pos="10080"/>
      </w:tabs>
      <w:rPr>
        <w:b/>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27B5" w14:textId="77777777" w:rsidR="004C2DCF" w:rsidRDefault="004C2DCF">
    <w:pPr>
      <w:pStyle w:val="Header"/>
      <w:tabs>
        <w:tab w:val="clear" w:pos="4320"/>
      </w:tabs>
      <w:rPr>
        <w:b/>
      </w:rPr>
    </w:pPr>
    <w:r>
      <w:rPr>
        <w:b/>
      </w:rPr>
      <w:t>Soft Tissue and Bone • Other</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C64B" w14:textId="68B3B5F0" w:rsidR="004C2DCF" w:rsidRPr="0072709F" w:rsidRDefault="004C2DCF" w:rsidP="00442350">
    <w:pPr>
      <w:pStyle w:val="Header"/>
      <w:tabs>
        <w:tab w:val="clear" w:pos="4320"/>
        <w:tab w:val="clear" w:pos="8640"/>
        <w:tab w:val="right" w:pos="10080"/>
      </w:tabs>
      <w:rPr>
        <w:b/>
        <w:sz w:val="18"/>
        <w:szCs w:val="18"/>
      </w:rPr>
    </w:pPr>
    <w:r>
      <w:rPr>
        <w:b/>
      </w:rPr>
      <w:t>Background Documentation</w:t>
    </w:r>
    <w:r>
      <w:rPr>
        <w:b/>
      </w:rPr>
      <w:tab/>
      <w:t>Bone/Soft Tissue • Bone • Biopsy • 4.</w:t>
    </w:r>
    <w:r w:rsidR="00442350">
      <w:rPr>
        <w:b/>
      </w:rPr>
      <w:t>0</w:t>
    </w:r>
    <w:r>
      <w:rPr>
        <w:b/>
      </w:rPr>
      <w:t>.</w:t>
    </w:r>
    <w:r w:rsidR="00442350">
      <w:rPr>
        <w:b/>
      </w:rPr>
      <w:t>1</w:t>
    </w:r>
    <w:r>
      <w:rPr>
        <w:b/>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F6BF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26B3F"/>
    <w:multiLevelType w:val="hybridMultilevel"/>
    <w:tmpl w:val="571425FE"/>
    <w:lvl w:ilvl="0" w:tplc="3FB097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47512"/>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4DB9"/>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E6EC8"/>
    <w:multiLevelType w:val="hybridMultilevel"/>
    <w:tmpl w:val="96F0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631DB"/>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D6884"/>
    <w:multiLevelType w:val="hybridMultilevel"/>
    <w:tmpl w:val="70642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455108"/>
    <w:multiLevelType w:val="hybridMultilevel"/>
    <w:tmpl w:val="B874E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84214E"/>
    <w:multiLevelType w:val="hybridMultilevel"/>
    <w:tmpl w:val="E40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337E9"/>
    <w:multiLevelType w:val="hybridMultilevel"/>
    <w:tmpl w:val="489E586E"/>
    <w:lvl w:ilvl="0" w:tplc="7D72087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6BBC5AFB"/>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A372C"/>
    <w:multiLevelType w:val="hybridMultilevel"/>
    <w:tmpl w:val="C952F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2"/>
  </w:num>
  <w:num w:numId="5">
    <w:abstractNumId w:val="0"/>
  </w:num>
  <w:num w:numId="6">
    <w:abstractNumId w:val="4"/>
  </w:num>
  <w:num w:numId="7">
    <w:abstractNumId w:val="7"/>
  </w:num>
  <w:num w:numId="8">
    <w:abstractNumId w:val="5"/>
  </w:num>
  <w:num w:numId="9">
    <w:abstractNumId w:val="13"/>
  </w:num>
  <w:num w:numId="10">
    <w:abstractNumId w:val="1"/>
  </w:num>
  <w:num w:numId="11">
    <w:abstractNumId w:val="11"/>
  </w:num>
  <w:num w:numId="12">
    <w:abstractNumId w:val="10"/>
  </w:num>
  <w:num w:numId="13">
    <w:abstractNumId w:val="3"/>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capsarc.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5C7D21"/>
    <w:rsid w:val="00002910"/>
    <w:rsid w:val="000054A2"/>
    <w:rsid w:val="00005F3B"/>
    <w:rsid w:val="0000684C"/>
    <w:rsid w:val="00011153"/>
    <w:rsid w:val="00023ADB"/>
    <w:rsid w:val="000263D2"/>
    <w:rsid w:val="00026B4D"/>
    <w:rsid w:val="000276E5"/>
    <w:rsid w:val="0003730B"/>
    <w:rsid w:val="00042E2B"/>
    <w:rsid w:val="00051266"/>
    <w:rsid w:val="00056CF2"/>
    <w:rsid w:val="00065E59"/>
    <w:rsid w:val="00073884"/>
    <w:rsid w:val="00092611"/>
    <w:rsid w:val="000A6041"/>
    <w:rsid w:val="000A62D5"/>
    <w:rsid w:val="000D003B"/>
    <w:rsid w:val="000D6761"/>
    <w:rsid w:val="000E4615"/>
    <w:rsid w:val="000F41D7"/>
    <w:rsid w:val="000F76B6"/>
    <w:rsid w:val="0010230D"/>
    <w:rsid w:val="00106BBA"/>
    <w:rsid w:val="00110386"/>
    <w:rsid w:val="001133CF"/>
    <w:rsid w:val="001258C6"/>
    <w:rsid w:val="00132658"/>
    <w:rsid w:val="00142F46"/>
    <w:rsid w:val="00146F2E"/>
    <w:rsid w:val="00147487"/>
    <w:rsid w:val="00154726"/>
    <w:rsid w:val="00162810"/>
    <w:rsid w:val="00165537"/>
    <w:rsid w:val="001718B6"/>
    <w:rsid w:val="00176D28"/>
    <w:rsid w:val="00177213"/>
    <w:rsid w:val="00177D85"/>
    <w:rsid w:val="00181179"/>
    <w:rsid w:val="00182C11"/>
    <w:rsid w:val="00185C08"/>
    <w:rsid w:val="00193AFC"/>
    <w:rsid w:val="001A1580"/>
    <w:rsid w:val="001A3D83"/>
    <w:rsid w:val="001A7ABA"/>
    <w:rsid w:val="001B4AE3"/>
    <w:rsid w:val="001B70AD"/>
    <w:rsid w:val="001C6C05"/>
    <w:rsid w:val="001D106B"/>
    <w:rsid w:val="001D6B87"/>
    <w:rsid w:val="001E3D94"/>
    <w:rsid w:val="001E70D4"/>
    <w:rsid w:val="001E7277"/>
    <w:rsid w:val="001F32D9"/>
    <w:rsid w:val="0020309B"/>
    <w:rsid w:val="0020380C"/>
    <w:rsid w:val="00210111"/>
    <w:rsid w:val="0021253C"/>
    <w:rsid w:val="002134CF"/>
    <w:rsid w:val="00214405"/>
    <w:rsid w:val="00215F36"/>
    <w:rsid w:val="002250DB"/>
    <w:rsid w:val="00226350"/>
    <w:rsid w:val="00230C49"/>
    <w:rsid w:val="0023350A"/>
    <w:rsid w:val="0023689B"/>
    <w:rsid w:val="00241BC6"/>
    <w:rsid w:val="002426A4"/>
    <w:rsid w:val="00255345"/>
    <w:rsid w:val="00265372"/>
    <w:rsid w:val="002709DA"/>
    <w:rsid w:val="00276336"/>
    <w:rsid w:val="00280F68"/>
    <w:rsid w:val="00282C80"/>
    <w:rsid w:val="0029554A"/>
    <w:rsid w:val="002B62AC"/>
    <w:rsid w:val="002C1308"/>
    <w:rsid w:val="002C624A"/>
    <w:rsid w:val="002D51A1"/>
    <w:rsid w:val="002E1289"/>
    <w:rsid w:val="002E32BC"/>
    <w:rsid w:val="002F1124"/>
    <w:rsid w:val="002F11D9"/>
    <w:rsid w:val="003015FC"/>
    <w:rsid w:val="00312D9E"/>
    <w:rsid w:val="00325E40"/>
    <w:rsid w:val="0033713A"/>
    <w:rsid w:val="003434C5"/>
    <w:rsid w:val="00365C41"/>
    <w:rsid w:val="00370DE4"/>
    <w:rsid w:val="00374CA0"/>
    <w:rsid w:val="00375C82"/>
    <w:rsid w:val="00380477"/>
    <w:rsid w:val="00391E51"/>
    <w:rsid w:val="003923B1"/>
    <w:rsid w:val="003B0981"/>
    <w:rsid w:val="003C4F8C"/>
    <w:rsid w:val="003E0728"/>
    <w:rsid w:val="003E0909"/>
    <w:rsid w:val="003E6F38"/>
    <w:rsid w:val="003F2CA9"/>
    <w:rsid w:val="003F54B5"/>
    <w:rsid w:val="003F5BDF"/>
    <w:rsid w:val="00401F43"/>
    <w:rsid w:val="004102BC"/>
    <w:rsid w:val="004176AF"/>
    <w:rsid w:val="004226DE"/>
    <w:rsid w:val="00427EE5"/>
    <w:rsid w:val="00432102"/>
    <w:rsid w:val="00442350"/>
    <w:rsid w:val="00443A19"/>
    <w:rsid w:val="0045579D"/>
    <w:rsid w:val="00456DF6"/>
    <w:rsid w:val="004720D0"/>
    <w:rsid w:val="00480731"/>
    <w:rsid w:val="0048565C"/>
    <w:rsid w:val="0049140F"/>
    <w:rsid w:val="004A17AC"/>
    <w:rsid w:val="004A4D28"/>
    <w:rsid w:val="004C2DCF"/>
    <w:rsid w:val="004D388B"/>
    <w:rsid w:val="004D4D9A"/>
    <w:rsid w:val="004D5EF6"/>
    <w:rsid w:val="004D6EB1"/>
    <w:rsid w:val="004E144A"/>
    <w:rsid w:val="004E6CB4"/>
    <w:rsid w:val="004F3738"/>
    <w:rsid w:val="00511E57"/>
    <w:rsid w:val="00523AB4"/>
    <w:rsid w:val="00525675"/>
    <w:rsid w:val="00530A01"/>
    <w:rsid w:val="00534F28"/>
    <w:rsid w:val="00541824"/>
    <w:rsid w:val="00557303"/>
    <w:rsid w:val="005617F0"/>
    <w:rsid w:val="00563FCB"/>
    <w:rsid w:val="00564332"/>
    <w:rsid w:val="00564382"/>
    <w:rsid w:val="0056485D"/>
    <w:rsid w:val="00582E60"/>
    <w:rsid w:val="005914B1"/>
    <w:rsid w:val="00596D85"/>
    <w:rsid w:val="005A12C6"/>
    <w:rsid w:val="005A6179"/>
    <w:rsid w:val="005A754B"/>
    <w:rsid w:val="005B64AE"/>
    <w:rsid w:val="005C63BC"/>
    <w:rsid w:val="005C7D21"/>
    <w:rsid w:val="005E69B5"/>
    <w:rsid w:val="005E6EDC"/>
    <w:rsid w:val="005F2DE4"/>
    <w:rsid w:val="005F58BA"/>
    <w:rsid w:val="00606A42"/>
    <w:rsid w:val="00611A0D"/>
    <w:rsid w:val="006156A1"/>
    <w:rsid w:val="00623068"/>
    <w:rsid w:val="00624679"/>
    <w:rsid w:val="00632B63"/>
    <w:rsid w:val="006518DD"/>
    <w:rsid w:val="0067213E"/>
    <w:rsid w:val="00672515"/>
    <w:rsid w:val="00684734"/>
    <w:rsid w:val="00695ABC"/>
    <w:rsid w:val="00696089"/>
    <w:rsid w:val="006A5DEC"/>
    <w:rsid w:val="006A6C3A"/>
    <w:rsid w:val="006B5312"/>
    <w:rsid w:val="006C5DAB"/>
    <w:rsid w:val="006C6EDA"/>
    <w:rsid w:val="006C6F99"/>
    <w:rsid w:val="006D2329"/>
    <w:rsid w:val="006D78D0"/>
    <w:rsid w:val="00702DD0"/>
    <w:rsid w:val="007039B8"/>
    <w:rsid w:val="007140EC"/>
    <w:rsid w:val="007166AE"/>
    <w:rsid w:val="0072709F"/>
    <w:rsid w:val="00742A5F"/>
    <w:rsid w:val="007526E1"/>
    <w:rsid w:val="00762E19"/>
    <w:rsid w:val="00770CC1"/>
    <w:rsid w:val="00776309"/>
    <w:rsid w:val="00783537"/>
    <w:rsid w:val="007866FF"/>
    <w:rsid w:val="00790AFD"/>
    <w:rsid w:val="007968D6"/>
    <w:rsid w:val="007968DE"/>
    <w:rsid w:val="007A305F"/>
    <w:rsid w:val="007B192F"/>
    <w:rsid w:val="007B48BD"/>
    <w:rsid w:val="007C466B"/>
    <w:rsid w:val="007E5718"/>
    <w:rsid w:val="0080155C"/>
    <w:rsid w:val="008019BD"/>
    <w:rsid w:val="00802467"/>
    <w:rsid w:val="00804193"/>
    <w:rsid w:val="008057A7"/>
    <w:rsid w:val="00807352"/>
    <w:rsid w:val="00815700"/>
    <w:rsid w:val="008217D0"/>
    <w:rsid w:val="008250BA"/>
    <w:rsid w:val="0083194A"/>
    <w:rsid w:val="0084036B"/>
    <w:rsid w:val="00840A69"/>
    <w:rsid w:val="00845FBC"/>
    <w:rsid w:val="008518CB"/>
    <w:rsid w:val="00853946"/>
    <w:rsid w:val="00864FB8"/>
    <w:rsid w:val="008672FE"/>
    <w:rsid w:val="00872BCF"/>
    <w:rsid w:val="008841A8"/>
    <w:rsid w:val="00886342"/>
    <w:rsid w:val="008931C1"/>
    <w:rsid w:val="008C59E4"/>
    <w:rsid w:val="008D20B6"/>
    <w:rsid w:val="008D62ED"/>
    <w:rsid w:val="008E1A44"/>
    <w:rsid w:val="008E64A8"/>
    <w:rsid w:val="008E6CF4"/>
    <w:rsid w:val="008F4A77"/>
    <w:rsid w:val="008F4F69"/>
    <w:rsid w:val="00901EAC"/>
    <w:rsid w:val="00916353"/>
    <w:rsid w:val="0091676C"/>
    <w:rsid w:val="009244CE"/>
    <w:rsid w:val="0093286C"/>
    <w:rsid w:val="00932EA9"/>
    <w:rsid w:val="009350E9"/>
    <w:rsid w:val="00941F58"/>
    <w:rsid w:val="00942928"/>
    <w:rsid w:val="00942E79"/>
    <w:rsid w:val="009470F6"/>
    <w:rsid w:val="00951454"/>
    <w:rsid w:val="00962609"/>
    <w:rsid w:val="00967D50"/>
    <w:rsid w:val="00971E4A"/>
    <w:rsid w:val="0097245E"/>
    <w:rsid w:val="00983840"/>
    <w:rsid w:val="009865DE"/>
    <w:rsid w:val="009927CA"/>
    <w:rsid w:val="009941C5"/>
    <w:rsid w:val="00996B46"/>
    <w:rsid w:val="009A23F6"/>
    <w:rsid w:val="009A375F"/>
    <w:rsid w:val="009B3B71"/>
    <w:rsid w:val="009C0C56"/>
    <w:rsid w:val="009C6970"/>
    <w:rsid w:val="009D3313"/>
    <w:rsid w:val="009E219B"/>
    <w:rsid w:val="009F0D80"/>
    <w:rsid w:val="009F33E8"/>
    <w:rsid w:val="009F36D2"/>
    <w:rsid w:val="00A06C35"/>
    <w:rsid w:val="00A250FC"/>
    <w:rsid w:val="00A3398B"/>
    <w:rsid w:val="00A340B3"/>
    <w:rsid w:val="00A36903"/>
    <w:rsid w:val="00A432B8"/>
    <w:rsid w:val="00A4478A"/>
    <w:rsid w:val="00A552D1"/>
    <w:rsid w:val="00A706F1"/>
    <w:rsid w:val="00A73113"/>
    <w:rsid w:val="00A8251E"/>
    <w:rsid w:val="00A87DBE"/>
    <w:rsid w:val="00AA18B3"/>
    <w:rsid w:val="00AC1B4C"/>
    <w:rsid w:val="00AC32AD"/>
    <w:rsid w:val="00AC7710"/>
    <w:rsid w:val="00AE5189"/>
    <w:rsid w:val="00AF44A2"/>
    <w:rsid w:val="00AF6D69"/>
    <w:rsid w:val="00B006F5"/>
    <w:rsid w:val="00B01E4E"/>
    <w:rsid w:val="00B15AB6"/>
    <w:rsid w:val="00B16E41"/>
    <w:rsid w:val="00B23439"/>
    <w:rsid w:val="00B336E3"/>
    <w:rsid w:val="00B43C78"/>
    <w:rsid w:val="00B56C69"/>
    <w:rsid w:val="00B60A99"/>
    <w:rsid w:val="00B61A07"/>
    <w:rsid w:val="00B6280F"/>
    <w:rsid w:val="00B737DA"/>
    <w:rsid w:val="00B87B5C"/>
    <w:rsid w:val="00BA035A"/>
    <w:rsid w:val="00BB11DD"/>
    <w:rsid w:val="00BC5EC1"/>
    <w:rsid w:val="00BD21DB"/>
    <w:rsid w:val="00BD3686"/>
    <w:rsid w:val="00BD56E1"/>
    <w:rsid w:val="00BE3E8E"/>
    <w:rsid w:val="00BF6AF8"/>
    <w:rsid w:val="00C03DB6"/>
    <w:rsid w:val="00C11FF2"/>
    <w:rsid w:val="00C174E8"/>
    <w:rsid w:val="00C21F84"/>
    <w:rsid w:val="00C25B95"/>
    <w:rsid w:val="00C35FC0"/>
    <w:rsid w:val="00C42AD1"/>
    <w:rsid w:val="00C433E0"/>
    <w:rsid w:val="00C55CC2"/>
    <w:rsid w:val="00C55DF0"/>
    <w:rsid w:val="00C62ECC"/>
    <w:rsid w:val="00C720FD"/>
    <w:rsid w:val="00C73830"/>
    <w:rsid w:val="00C83132"/>
    <w:rsid w:val="00C87276"/>
    <w:rsid w:val="00CA00DE"/>
    <w:rsid w:val="00CA1321"/>
    <w:rsid w:val="00CB2F77"/>
    <w:rsid w:val="00CB3646"/>
    <w:rsid w:val="00CB4967"/>
    <w:rsid w:val="00CB7C00"/>
    <w:rsid w:val="00CC3B6D"/>
    <w:rsid w:val="00CC6991"/>
    <w:rsid w:val="00CD16A6"/>
    <w:rsid w:val="00CD36A5"/>
    <w:rsid w:val="00CD5CCE"/>
    <w:rsid w:val="00CF3BF9"/>
    <w:rsid w:val="00CF4916"/>
    <w:rsid w:val="00D130F8"/>
    <w:rsid w:val="00D20336"/>
    <w:rsid w:val="00D31701"/>
    <w:rsid w:val="00D3444F"/>
    <w:rsid w:val="00D410D4"/>
    <w:rsid w:val="00D4116C"/>
    <w:rsid w:val="00D45C52"/>
    <w:rsid w:val="00D7208E"/>
    <w:rsid w:val="00D735AD"/>
    <w:rsid w:val="00D95570"/>
    <w:rsid w:val="00D9747C"/>
    <w:rsid w:val="00DA1119"/>
    <w:rsid w:val="00DA7FCF"/>
    <w:rsid w:val="00DB0097"/>
    <w:rsid w:val="00DB0440"/>
    <w:rsid w:val="00DB342B"/>
    <w:rsid w:val="00DC1132"/>
    <w:rsid w:val="00DC1AED"/>
    <w:rsid w:val="00DD7C11"/>
    <w:rsid w:val="00DE2140"/>
    <w:rsid w:val="00DE4341"/>
    <w:rsid w:val="00DE71B8"/>
    <w:rsid w:val="00DE7995"/>
    <w:rsid w:val="00DF6699"/>
    <w:rsid w:val="00DF6D74"/>
    <w:rsid w:val="00E03385"/>
    <w:rsid w:val="00E104E0"/>
    <w:rsid w:val="00E17229"/>
    <w:rsid w:val="00E51FE6"/>
    <w:rsid w:val="00E5457F"/>
    <w:rsid w:val="00E64C46"/>
    <w:rsid w:val="00E658C7"/>
    <w:rsid w:val="00E83311"/>
    <w:rsid w:val="00E84592"/>
    <w:rsid w:val="00E90A7B"/>
    <w:rsid w:val="00E95914"/>
    <w:rsid w:val="00E96688"/>
    <w:rsid w:val="00EA185B"/>
    <w:rsid w:val="00EA22E4"/>
    <w:rsid w:val="00EB31DA"/>
    <w:rsid w:val="00EB6F38"/>
    <w:rsid w:val="00EC0D55"/>
    <w:rsid w:val="00ED2D14"/>
    <w:rsid w:val="00EE19A2"/>
    <w:rsid w:val="00EE4728"/>
    <w:rsid w:val="00EF432B"/>
    <w:rsid w:val="00EF4373"/>
    <w:rsid w:val="00EF6873"/>
    <w:rsid w:val="00F0531B"/>
    <w:rsid w:val="00F11793"/>
    <w:rsid w:val="00F1500A"/>
    <w:rsid w:val="00F21DCB"/>
    <w:rsid w:val="00F30CE3"/>
    <w:rsid w:val="00F41F4A"/>
    <w:rsid w:val="00F4305D"/>
    <w:rsid w:val="00F52D2B"/>
    <w:rsid w:val="00F53DAA"/>
    <w:rsid w:val="00F607D8"/>
    <w:rsid w:val="00F66C5F"/>
    <w:rsid w:val="00F70DA9"/>
    <w:rsid w:val="00F7306B"/>
    <w:rsid w:val="00F93616"/>
    <w:rsid w:val="00FA53EA"/>
    <w:rsid w:val="00FB2098"/>
    <w:rsid w:val="00FB3A42"/>
    <w:rsid w:val="00FB5369"/>
    <w:rsid w:val="00FC4A50"/>
    <w:rsid w:val="00FD6F8D"/>
    <w:rsid w:val="00FE7B4D"/>
    <w:rsid w:val="00FF1B19"/>
    <w:rsid w:val="00FF5052"/>
    <w:rsid w:val="00FF5D25"/>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643436E"/>
  <w15:docId w15:val="{4AF067AE-AB39-4B9C-92E7-E74D65B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FBC"/>
    <w:rPr>
      <w:rFonts w:ascii="Arial" w:hAnsi="Arial"/>
    </w:rPr>
  </w:style>
  <w:style w:type="paragraph" w:styleId="Heading1">
    <w:name w:val="heading 1"/>
    <w:basedOn w:val="Normal"/>
    <w:next w:val="Normal"/>
    <w:qFormat/>
    <w:rsid w:val="0072709F"/>
    <w:pPr>
      <w:keepNext/>
      <w:tabs>
        <w:tab w:val="left" w:pos="360"/>
      </w:tabs>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ind w:firstLine="720"/>
      <w:outlineLvl w:val="3"/>
    </w:pPr>
    <w:rPr>
      <w:b/>
      <w:bCs/>
    </w:rPr>
  </w:style>
  <w:style w:type="paragraph" w:styleId="Heading5">
    <w:name w:val="heading 5"/>
    <w:basedOn w:val="Normal"/>
    <w:next w:val="Normal"/>
    <w:qFormat/>
    <w:pPr>
      <w:keepNext/>
      <w:tabs>
        <w:tab w:val="left" w:pos="360"/>
        <w:tab w:val="left" w:pos="9240"/>
      </w:tabs>
      <w:outlineLvl w:val="4"/>
    </w:pPr>
    <w:rPr>
      <w:b/>
      <w:bCs/>
    </w:rPr>
  </w:style>
  <w:style w:type="paragraph" w:styleId="Heading6">
    <w:name w:val="heading 6"/>
    <w:basedOn w:val="Normal"/>
    <w:next w:val="Normal"/>
    <w:qFormat/>
    <w:pPr>
      <w:keepNext/>
      <w:tabs>
        <w:tab w:val="left" w:pos="4200"/>
        <w:tab w:val="left" w:pos="9240"/>
      </w:tabs>
      <w:ind w:left="480" w:hanging="480"/>
      <w:outlineLvl w:val="5"/>
    </w:pPr>
    <w:rPr>
      <w:b/>
      <w:bCs/>
    </w:rPr>
  </w:style>
  <w:style w:type="paragraph" w:styleId="Heading7">
    <w:name w:val="heading 7"/>
    <w:basedOn w:val="Normal"/>
    <w:next w:val="Normal"/>
    <w:qFormat/>
    <w:pPr>
      <w:keepNext/>
      <w:tabs>
        <w:tab w:val="left" w:pos="4200"/>
        <w:tab w:val="left" w:pos="9240"/>
      </w:tabs>
      <w:ind w:left="245" w:hanging="245"/>
      <w:outlineLvl w:val="6"/>
    </w:pPr>
    <w:rPr>
      <w:b/>
      <w:bCs/>
    </w:rPr>
  </w:style>
  <w:style w:type="paragraph" w:styleId="Heading8">
    <w:name w:val="heading 8"/>
    <w:basedOn w:val="Normal"/>
    <w:next w:val="Normal"/>
    <w:qFormat/>
    <w:pPr>
      <w:keepNext/>
      <w:tabs>
        <w:tab w:val="left" w:pos="360"/>
        <w:tab w:val="left" w:pos="4200"/>
        <w:tab w:val="left" w:pos="9240"/>
      </w:tabs>
      <w:spacing w:before="60"/>
      <w:ind w:left="360" w:hanging="245"/>
      <w:outlineLvl w:val="7"/>
    </w:pPr>
    <w:rPr>
      <w:b/>
      <w:bCs/>
    </w:rPr>
  </w:style>
  <w:style w:type="paragraph" w:styleId="Heading9">
    <w:name w:val="heading 9"/>
    <w:basedOn w:val="Normal"/>
    <w:next w:val="Normal"/>
    <w:qFormat/>
    <w:pPr>
      <w:keepNext/>
      <w:tabs>
        <w:tab w:val="left" w:pos="4200"/>
        <w:tab w:val="left" w:pos="9240"/>
      </w:tabs>
      <w:ind w:left="360" w:hanging="3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rPr>
      <w:b/>
      <w:bCs/>
    </w:rPr>
  </w:style>
  <w:style w:type="paragraph" w:styleId="PlainText">
    <w:name w:val="Plain Text"/>
    <w:basedOn w:val="Normal"/>
    <w:rPr>
      <w:rFonts w:ascii="Courier New" w:hAnsi="Courier New"/>
    </w:rPr>
  </w:style>
  <w:style w:type="character" w:styleId="Hyperlink">
    <w:name w:val="Hyperlink"/>
    <w:rPr>
      <w:color w:val="0000FF"/>
      <w:u w:val="single"/>
    </w:rPr>
  </w:style>
  <w:style w:type="paragraph" w:styleId="BodyTextIndent">
    <w:name w:val="Body Text Indent"/>
    <w:basedOn w:val="Normal"/>
    <w:pPr>
      <w:ind w:left="2520" w:hanging="360"/>
    </w:pPr>
  </w:style>
  <w:style w:type="paragraph" w:styleId="BodyTextIndent2">
    <w:name w:val="Body Text Indent 2"/>
    <w:basedOn w:val="Normal"/>
    <w:pPr>
      <w:tabs>
        <w:tab w:val="left" w:pos="4200"/>
        <w:tab w:val="left" w:pos="9240"/>
      </w:tabs>
      <w:ind w:left="480" w:firstLine="60"/>
    </w:pPr>
    <w:rPr>
      <w:b/>
      <w:bCs/>
    </w:rPr>
  </w:style>
  <w:style w:type="paragraph" w:styleId="Footer">
    <w:name w:val="footer"/>
    <w:basedOn w:val="Normal"/>
    <w:pPr>
      <w:tabs>
        <w:tab w:val="center" w:pos="4320"/>
        <w:tab w:val="right" w:pos="8640"/>
      </w:tabs>
    </w:pPr>
  </w:style>
  <w:style w:type="character" w:styleId="PageNumber">
    <w:name w:val="page number"/>
    <w:rsid w:val="00845FBC"/>
    <w:rPr>
      <w:rFonts w:ascii="Arial" w:hAnsi="Arial"/>
      <w:sz w:val="20"/>
    </w:rPr>
  </w:style>
  <w:style w:type="character" w:styleId="FollowedHyperlink">
    <w:name w:val="FollowedHyperlink"/>
    <w:rPr>
      <w:color w:val="800080"/>
      <w:u w:val="single"/>
    </w:rPr>
  </w:style>
  <w:style w:type="paragraph" w:styleId="BodyTextIndent3">
    <w:name w:val="Body Text Indent 3"/>
    <w:basedOn w:val="Normal"/>
    <w:pPr>
      <w:tabs>
        <w:tab w:val="left" w:pos="2520"/>
      </w:tabs>
      <w:ind w:left="2160"/>
    </w:pPr>
  </w:style>
  <w:style w:type="paragraph" w:styleId="Header">
    <w:name w:val="header"/>
    <w:basedOn w:val="Normal"/>
    <w:pPr>
      <w:tabs>
        <w:tab w:val="center" w:pos="4320"/>
        <w:tab w:val="right" w:pos="8640"/>
      </w:tabs>
    </w:pPr>
  </w:style>
  <w:style w:type="paragraph" w:customStyle="1" w:styleId="Head1">
    <w:name w:val="Head 1"/>
    <w:basedOn w:val="Normal"/>
    <w:rPr>
      <w:b/>
      <w:sz w:val="32"/>
    </w:rPr>
  </w:style>
  <w:style w:type="paragraph" w:customStyle="1" w:styleId="Head2">
    <w:name w:val="Head 2"/>
    <w:basedOn w:val="Normal"/>
    <w:rsid w:val="0072709F"/>
    <w:pPr>
      <w:pBdr>
        <w:bottom w:val="single" w:sz="4" w:space="1" w:color="auto"/>
      </w:pBdr>
    </w:pPr>
    <w:rPr>
      <w:b/>
      <w:sz w:val="26"/>
    </w:rPr>
  </w:style>
  <w:style w:type="paragraph" w:customStyle="1" w:styleId="Head3">
    <w:name w:val="Head 3"/>
    <w:basedOn w:val="Normal"/>
    <w:pPr>
      <w:keepNext/>
      <w:spacing w:before="60"/>
      <w:jc w:val="right"/>
    </w:pPr>
    <w:rPr>
      <w:i/>
    </w:rPr>
  </w:style>
  <w:style w:type="paragraph" w:customStyle="1" w:styleId="Head">
    <w:name w:val="Head"/>
    <w:basedOn w:val="Normal"/>
    <w:pPr>
      <w:tabs>
        <w:tab w:val="left" w:pos="360"/>
      </w:tabs>
      <w:spacing w:after="180"/>
    </w:pPr>
    <w:rPr>
      <w:b/>
      <w:sz w:val="32"/>
    </w:rPr>
  </w:style>
  <w:style w:type="paragraph" w:customStyle="1" w:styleId="1">
    <w:name w:val="(1)"/>
    <w:basedOn w:val="Normal"/>
    <w:pPr>
      <w:ind w:left="1440" w:hanging="360"/>
    </w:pPr>
  </w:style>
  <w:style w:type="paragraph" w:styleId="BalloonText">
    <w:name w:val="Balloon Text"/>
    <w:basedOn w:val="Normal"/>
    <w:semiHidden/>
    <w:rPr>
      <w:rFonts w:ascii="Tahoma" w:hAnsi="Tahoma" w:cs="Courier New"/>
      <w:sz w:val="16"/>
      <w:szCs w:val="16"/>
    </w:rPr>
  </w:style>
  <w:style w:type="paragraph" w:customStyle="1" w:styleId="10">
    <w:name w:val="1."/>
    <w:basedOn w:val="Normal"/>
    <w:pPr>
      <w:ind w:left="720" w:hanging="360"/>
    </w:pPr>
  </w:style>
  <w:style w:type="paragraph" w:customStyle="1" w:styleId="a">
    <w:name w:val="a."/>
    <w:basedOn w:val="Normal"/>
    <w:pPr>
      <w:ind w:left="1080" w:hanging="360"/>
    </w:pPr>
  </w:style>
  <w:style w:type="paragraph" w:customStyle="1" w:styleId="i">
    <w:name w:val="i."/>
    <w:basedOn w:val="Normal"/>
    <w:pPr>
      <w:ind w:left="1800" w:hanging="360"/>
    </w:pPr>
  </w:style>
  <w:style w:type="paragraph" w:customStyle="1" w:styleId="a0">
    <w:name w:val="(a)"/>
    <w:basedOn w:val="Normal"/>
    <w:pPr>
      <w:tabs>
        <w:tab w:val="left" w:pos="3600"/>
      </w:tabs>
      <w:ind w:left="2160" w:hanging="360"/>
    </w:pPr>
  </w:style>
  <w:style w:type="paragraph" w:customStyle="1" w:styleId="i0">
    <w:name w:val="(i)"/>
    <w:basedOn w:val="Normal"/>
    <w:pPr>
      <w:ind w:left="2520" w:hanging="360"/>
    </w:pPr>
  </w:style>
  <w:style w:type="paragraph" w:customStyle="1" w:styleId="NormalTableText">
    <w:name w:val="Normal Table Text"/>
    <w:basedOn w:val="Normal"/>
    <w:rPr>
      <w:sz w:val="18"/>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sid w:val="00561834"/>
    <w:rPr>
      <w:sz w:val="16"/>
      <w:szCs w:val="16"/>
    </w:rPr>
  </w:style>
  <w:style w:type="paragraph" w:styleId="CommentText">
    <w:name w:val="annotation text"/>
    <w:basedOn w:val="Normal"/>
    <w:link w:val="CommentTextChar"/>
    <w:semiHidden/>
    <w:rsid w:val="00561834"/>
  </w:style>
  <w:style w:type="paragraph" w:styleId="CommentSubject">
    <w:name w:val="annotation subject"/>
    <w:basedOn w:val="CommentText"/>
    <w:next w:val="CommentText"/>
    <w:semiHidden/>
    <w:rsid w:val="00561834"/>
    <w:rPr>
      <w:b/>
      <w:bCs/>
    </w:rPr>
  </w:style>
  <w:style w:type="character" w:customStyle="1" w:styleId="CommentTextChar">
    <w:name w:val="Comment Text Char"/>
    <w:link w:val="CommentText"/>
    <w:semiHidden/>
    <w:rsid w:val="008C59E4"/>
    <w:rPr>
      <w:rFonts w:ascii="Century Gothic" w:hAnsi="Century Gothic"/>
    </w:rPr>
  </w:style>
  <w:style w:type="paragraph" w:customStyle="1" w:styleId="References">
    <w:name w:val="References"/>
    <w:basedOn w:val="Normal"/>
    <w:rsid w:val="00312D9E"/>
    <w:pPr>
      <w:ind w:left="450" w:hanging="450"/>
    </w:pPr>
  </w:style>
  <w:style w:type="paragraph" w:customStyle="1" w:styleId="MediumList2-Accent21">
    <w:name w:val="Medium List 2 - Accent 21"/>
    <w:hidden/>
    <w:uiPriority w:val="71"/>
    <w:rsid w:val="00154726"/>
    <w:rPr>
      <w:rFonts w:ascii="Arial" w:hAnsi="Arial"/>
    </w:rPr>
  </w:style>
  <w:style w:type="character" w:customStyle="1" w:styleId="BodyText2Char">
    <w:name w:val="Body Text 2 Char"/>
    <w:link w:val="BodyText2"/>
    <w:rsid w:val="00FF5052"/>
    <w:rPr>
      <w:rFonts w:ascii="Arial" w:hAnsi="Arial"/>
      <w:b/>
      <w:bCs/>
    </w:rPr>
  </w:style>
  <w:style w:type="paragraph" w:customStyle="1" w:styleId="Default">
    <w:name w:val="Default"/>
    <w:rsid w:val="00215F3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2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61070-2E81-493F-9103-77C5137C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CAP Cancer Protocol Bone </vt:lpstr>
    </vt:vector>
  </TitlesOfParts>
  <Company>Penn Medicine</Company>
  <LinksUpToDate>false</LinksUpToDate>
  <CharactersWithSpaces>20016</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Bone </dc:title>
  <dc:subject/>
  <dc:creator>College of American Pathologists</dc:creator>
  <cp:keywords/>
  <cp:lastModifiedBy>Zack Sessions (s)</cp:lastModifiedBy>
  <cp:revision>11</cp:revision>
  <cp:lastPrinted>2019-10-28T13:04:00Z</cp:lastPrinted>
  <dcterms:created xsi:type="dcterms:W3CDTF">2019-10-25T12:15:00Z</dcterms:created>
  <dcterms:modified xsi:type="dcterms:W3CDTF">2020-02-24T15:27:00Z</dcterms:modified>
</cp:coreProperties>
</file>