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CA5CDCE" w14:textId="77777777" w:rsidR="00B336E3" w:rsidRPr="00845FBC" w:rsidRDefault="00B336E3" w:rsidP="00B336E3">
      <w:pPr>
        <w:pStyle w:val="Head1"/>
        <w:spacing w:after="180"/>
        <w:rPr>
          <w:rFonts w:cs="Arial"/>
        </w:rPr>
      </w:pPr>
      <w:r w:rsidRPr="00845FBC">
        <w:rPr>
          <w:rFonts w:cs="Arial"/>
        </w:rPr>
        <w:t>Protocol fo</w:t>
      </w:r>
      <w:r w:rsidR="0072709F" w:rsidRPr="00845FBC">
        <w:rPr>
          <w:rFonts w:cs="Arial"/>
        </w:rPr>
        <w:t xml:space="preserve">r the Examination of </w:t>
      </w:r>
      <w:r w:rsidR="000557B1">
        <w:rPr>
          <w:rFonts w:cs="Arial"/>
        </w:rPr>
        <w:t>Resection</w:t>
      </w:r>
      <w:r w:rsidR="006A6C3A">
        <w:rPr>
          <w:rFonts w:cs="Arial"/>
        </w:rPr>
        <w:t xml:space="preserve"> </w:t>
      </w:r>
      <w:r w:rsidR="0072709F" w:rsidRPr="00845FBC">
        <w:rPr>
          <w:rFonts w:cs="Arial"/>
        </w:rPr>
        <w:t xml:space="preserve">Specimens </w:t>
      </w:r>
      <w:proofErr w:type="gramStart"/>
      <w:r w:rsidR="00176D28">
        <w:rPr>
          <w:rFonts w:cs="Arial"/>
        </w:rPr>
        <w:t>F</w:t>
      </w:r>
      <w:r w:rsidR="0072709F" w:rsidRPr="00845FBC">
        <w:rPr>
          <w:rFonts w:cs="Arial"/>
        </w:rPr>
        <w:t>rom</w:t>
      </w:r>
      <w:proofErr w:type="gramEnd"/>
      <w:r w:rsidR="0072709F" w:rsidRPr="00845FBC">
        <w:rPr>
          <w:rFonts w:cs="Arial"/>
        </w:rPr>
        <w:t xml:space="preserve"> Patients </w:t>
      </w:r>
      <w:r w:rsidR="00176D28">
        <w:rPr>
          <w:rFonts w:cs="Arial"/>
        </w:rPr>
        <w:t>W</w:t>
      </w:r>
      <w:r w:rsidRPr="00845FBC">
        <w:rPr>
          <w:rFonts w:cs="Arial"/>
        </w:rPr>
        <w:t xml:space="preserve">ith </w:t>
      </w:r>
      <w:r w:rsidR="00CA00DE">
        <w:rPr>
          <w:rFonts w:cs="Arial"/>
        </w:rPr>
        <w:t xml:space="preserve">Primary </w:t>
      </w:r>
      <w:r w:rsidRPr="00845FBC">
        <w:rPr>
          <w:rFonts w:cs="Arial"/>
        </w:rPr>
        <w:t>Tumors of Bone</w:t>
      </w:r>
    </w:p>
    <w:tbl>
      <w:tblPr>
        <w:tblW w:w="10206" w:type="dxa"/>
        <w:tblLook w:val="04A0" w:firstRow="1" w:lastRow="0" w:firstColumn="1" w:lastColumn="0" w:noHBand="0" w:noVBand="1"/>
      </w:tblPr>
      <w:tblGrid>
        <w:gridCol w:w="108"/>
        <w:gridCol w:w="7578"/>
        <w:gridCol w:w="1170"/>
        <w:gridCol w:w="1350"/>
      </w:tblGrid>
      <w:tr w:rsidR="000557B1" w:rsidRPr="00A706F1" w14:paraId="5DB8936C" w14:textId="77777777" w:rsidTr="009A4BFE">
        <w:tc>
          <w:tcPr>
            <w:tcW w:w="10206" w:type="dxa"/>
            <w:gridSpan w:val="4"/>
            <w:shd w:val="clear" w:color="auto" w:fill="auto"/>
          </w:tcPr>
          <w:tbl>
            <w:tblPr>
              <w:tblW w:w="9990" w:type="dxa"/>
              <w:tblLook w:val="04A0" w:firstRow="1" w:lastRow="0" w:firstColumn="1" w:lastColumn="0" w:noHBand="0" w:noVBand="1"/>
            </w:tblPr>
            <w:tblGrid>
              <w:gridCol w:w="4500"/>
              <w:gridCol w:w="5490"/>
            </w:tblGrid>
            <w:tr w:rsidR="000557B1" w:rsidRPr="00B74B56" w14:paraId="32668902" w14:textId="77777777" w:rsidTr="009A4BFE">
              <w:tc>
                <w:tcPr>
                  <w:tcW w:w="4500" w:type="dxa"/>
                  <w:shd w:val="clear" w:color="auto" w:fill="auto"/>
                </w:tcPr>
                <w:p w14:paraId="0FD539B2" w14:textId="2CF8B314" w:rsidR="000557B1" w:rsidRPr="00B74B56" w:rsidRDefault="000557B1" w:rsidP="006A6C3A">
                  <w:pPr>
                    <w:keepNext/>
                    <w:tabs>
                      <w:tab w:val="left" w:pos="360"/>
                    </w:tabs>
                    <w:ind w:left="-105"/>
                    <w:outlineLvl w:val="1"/>
                    <w:rPr>
                      <w:rFonts w:eastAsia="SimSun" w:cs="Arial"/>
                      <w:b/>
                    </w:rPr>
                  </w:pPr>
                  <w:r w:rsidRPr="00B74B56">
                    <w:rPr>
                      <w:rFonts w:eastAsia="SimSun" w:cs="Arial"/>
                      <w:b/>
                    </w:rPr>
                    <w:t xml:space="preserve">Version: </w:t>
                  </w:r>
                  <w:r w:rsidRPr="009A4BFE">
                    <w:rPr>
                      <w:rFonts w:eastAsia="SimSun" w:cs="Arial"/>
                      <w:bCs/>
                    </w:rPr>
                    <w:t xml:space="preserve">Bone </w:t>
                  </w:r>
                  <w:r>
                    <w:rPr>
                      <w:rFonts w:eastAsia="SimSun" w:cs="Arial"/>
                      <w:bCs/>
                    </w:rPr>
                    <w:t>Resection</w:t>
                  </w:r>
                  <w:r>
                    <w:rPr>
                      <w:rFonts w:eastAsia="SimSun" w:cs="Arial"/>
                      <w:b/>
                    </w:rPr>
                    <w:t xml:space="preserve"> </w:t>
                  </w:r>
                  <w:r>
                    <w:rPr>
                      <w:rFonts w:cs="Arial"/>
                      <w:kern w:val="18"/>
                    </w:rPr>
                    <w:t>4</w:t>
                  </w:r>
                  <w:r w:rsidRPr="006A6C3A">
                    <w:rPr>
                      <w:rFonts w:cs="Arial"/>
                      <w:color w:val="000000"/>
                    </w:rPr>
                    <w:t>.</w:t>
                  </w:r>
                  <w:r w:rsidR="00B31E01">
                    <w:rPr>
                      <w:rFonts w:cs="Arial"/>
                      <w:color w:val="000000"/>
                    </w:rPr>
                    <w:t>0.1.0</w:t>
                  </w:r>
                </w:p>
              </w:tc>
              <w:tc>
                <w:tcPr>
                  <w:tcW w:w="5490" w:type="dxa"/>
                  <w:shd w:val="clear" w:color="auto" w:fill="auto"/>
                </w:tcPr>
                <w:p w14:paraId="02131DB0" w14:textId="77777777" w:rsidR="000557B1" w:rsidRPr="00B74B56" w:rsidRDefault="000557B1" w:rsidP="006A6C3A">
                  <w:pPr>
                    <w:keepNext/>
                    <w:tabs>
                      <w:tab w:val="left" w:pos="360"/>
                    </w:tabs>
                    <w:outlineLvl w:val="1"/>
                    <w:rPr>
                      <w:rFonts w:eastAsia="SimSun" w:cs="Arial"/>
                      <w:b/>
                    </w:rPr>
                  </w:pPr>
                  <w:r w:rsidRPr="00B74B56">
                    <w:rPr>
                      <w:rFonts w:eastAsia="SimSun" w:cs="Arial"/>
                      <w:b/>
                    </w:rPr>
                    <w:t xml:space="preserve">Protocol Posting Date: </w:t>
                  </w:r>
                  <w:r>
                    <w:rPr>
                      <w:rFonts w:eastAsia="SimSun" w:cs="Arial"/>
                    </w:rPr>
                    <w:t>February 2020</w:t>
                  </w:r>
                </w:p>
              </w:tc>
            </w:tr>
          </w:tbl>
          <w:p w14:paraId="22A2E1AE" w14:textId="39ADB392" w:rsidR="000557B1" w:rsidRPr="00A706F1" w:rsidRDefault="000557B1" w:rsidP="009A4BFE">
            <w:pPr>
              <w:rPr>
                <w:rFonts w:eastAsia="SimSun" w:cs="Arial"/>
                <w:b/>
                <w:sz w:val="22"/>
                <w:szCs w:val="24"/>
                <w:lang w:eastAsia="es-ES_tradnl"/>
              </w:rPr>
            </w:pPr>
          </w:p>
        </w:tc>
      </w:tr>
      <w:tr w:rsidR="009A4BFE" w:rsidRPr="00A706F1" w14:paraId="3EF08352" w14:textId="77777777" w:rsidTr="009A4BFE">
        <w:tc>
          <w:tcPr>
            <w:tcW w:w="10206" w:type="dxa"/>
            <w:gridSpan w:val="4"/>
            <w:shd w:val="clear" w:color="auto" w:fill="auto"/>
          </w:tcPr>
          <w:p w14:paraId="77A98F6F" w14:textId="77777777" w:rsidR="009A4BFE" w:rsidRPr="00B74B56" w:rsidRDefault="009A4BFE" w:rsidP="006A6C3A">
            <w:pPr>
              <w:keepNext/>
              <w:tabs>
                <w:tab w:val="left" w:pos="360"/>
              </w:tabs>
              <w:ind w:left="-105"/>
              <w:outlineLvl w:val="1"/>
              <w:rPr>
                <w:rFonts w:eastAsia="SimSun" w:cs="Arial"/>
                <w:b/>
              </w:rPr>
            </w:pPr>
          </w:p>
        </w:tc>
      </w:tr>
      <w:tr w:rsidR="000557B1" w:rsidRPr="00B74B56" w14:paraId="4AFFBF1A" w14:textId="77777777" w:rsidTr="009A4BFE">
        <w:trPr>
          <w:gridBefore w:val="1"/>
          <w:gridAfter w:val="1"/>
          <w:wBefore w:w="108" w:type="dxa"/>
          <w:wAfter w:w="1350" w:type="dxa"/>
        </w:trPr>
        <w:tc>
          <w:tcPr>
            <w:tcW w:w="8748" w:type="dxa"/>
            <w:gridSpan w:val="2"/>
            <w:shd w:val="clear" w:color="auto" w:fill="auto"/>
          </w:tcPr>
          <w:p w14:paraId="0CFC6D74" w14:textId="77777777" w:rsidR="000557B1" w:rsidRPr="00B74B56" w:rsidRDefault="000557B1" w:rsidP="009A4BFE">
            <w:pPr>
              <w:keepNext/>
              <w:tabs>
                <w:tab w:val="left" w:pos="360"/>
              </w:tabs>
              <w:spacing w:line="360" w:lineRule="auto"/>
              <w:ind w:left="-90"/>
              <w:outlineLvl w:val="1"/>
              <w:rPr>
                <w:rFonts w:eastAsia="SimSun" w:cs="Arial"/>
              </w:rPr>
            </w:pPr>
            <w:r w:rsidRPr="00B74B56">
              <w:rPr>
                <w:rFonts w:eastAsia="SimSun" w:cs="Arial"/>
                <w:b/>
              </w:rPr>
              <w:t xml:space="preserve">CAP Laboratory Accreditation Program Protocol Required Use Date: </w:t>
            </w:r>
            <w:r>
              <w:rPr>
                <w:rFonts w:eastAsia="SimSun" w:cs="Arial"/>
              </w:rPr>
              <w:t>November 2020</w:t>
            </w:r>
          </w:p>
        </w:tc>
      </w:tr>
      <w:tr w:rsidR="000557B1" w:rsidRPr="00B74B56" w14:paraId="1EE44CE0" w14:textId="77777777" w:rsidTr="009A4BFE">
        <w:trPr>
          <w:gridBefore w:val="1"/>
          <w:gridAfter w:val="2"/>
          <w:wBefore w:w="108" w:type="dxa"/>
          <w:wAfter w:w="2520" w:type="dxa"/>
        </w:trPr>
        <w:tc>
          <w:tcPr>
            <w:tcW w:w="7578" w:type="dxa"/>
            <w:shd w:val="clear" w:color="auto" w:fill="auto"/>
          </w:tcPr>
          <w:p w14:paraId="5053189E" w14:textId="77777777" w:rsidR="000557B1" w:rsidRPr="00B74B56" w:rsidRDefault="000557B1" w:rsidP="009A4BFE">
            <w:pPr>
              <w:keepNext/>
              <w:tabs>
                <w:tab w:val="left" w:pos="360"/>
              </w:tabs>
              <w:spacing w:line="360" w:lineRule="auto"/>
              <w:ind w:left="-90"/>
              <w:outlineLvl w:val="1"/>
              <w:rPr>
                <w:rFonts w:eastAsia="SimSun" w:cs="Arial"/>
                <w:b/>
              </w:rPr>
            </w:pPr>
            <w:r w:rsidRPr="00B74B56">
              <w:rPr>
                <w:rFonts w:eastAsia="SimSun" w:cs="Arial"/>
              </w:rPr>
              <w:t xml:space="preserve">Includes </w:t>
            </w:r>
            <w:proofErr w:type="spellStart"/>
            <w:r w:rsidRPr="00B74B56">
              <w:rPr>
                <w:rFonts w:eastAsia="SimSun" w:cs="Arial"/>
              </w:rPr>
              <w:t>pTNM</w:t>
            </w:r>
            <w:proofErr w:type="spellEnd"/>
            <w:r w:rsidRPr="00B74B56">
              <w:rPr>
                <w:rFonts w:eastAsia="SimSun" w:cs="Arial"/>
              </w:rPr>
              <w:t xml:space="preserve"> requirements from the </w:t>
            </w:r>
            <w:r>
              <w:rPr>
                <w:rFonts w:eastAsia="SimSun" w:cs="Arial"/>
              </w:rPr>
              <w:t>8</w:t>
            </w:r>
            <w:r w:rsidRPr="00B74B56">
              <w:rPr>
                <w:rFonts w:eastAsia="SimSun" w:cs="Arial"/>
                <w:vertAlign w:val="superscript"/>
              </w:rPr>
              <w:t>th</w:t>
            </w:r>
            <w:r w:rsidRPr="00B74B56">
              <w:rPr>
                <w:rFonts w:eastAsia="SimSun" w:cs="Arial"/>
              </w:rPr>
              <w:t xml:space="preserve"> Edition, AJCC Staging Manual</w:t>
            </w:r>
          </w:p>
        </w:tc>
      </w:tr>
    </w:tbl>
    <w:p w14:paraId="3766014C" w14:textId="77777777" w:rsidR="006A6C3A" w:rsidRPr="009A4BFE" w:rsidRDefault="006A6C3A" w:rsidP="009A4BFE">
      <w:pPr>
        <w:ind w:left="-90"/>
        <w:rPr>
          <w:rFonts w:eastAsia="Calibri" w:cs="Arial"/>
        </w:rPr>
      </w:pPr>
    </w:p>
    <w:p w14:paraId="5F4C84DE" w14:textId="77777777" w:rsidR="001E70D4" w:rsidRPr="0048565C" w:rsidRDefault="001E70D4" w:rsidP="001E70D4">
      <w:pPr>
        <w:keepNext/>
        <w:tabs>
          <w:tab w:val="left" w:pos="360"/>
        </w:tabs>
        <w:outlineLvl w:val="1"/>
        <w:rPr>
          <w:rFonts w:eastAsia="Calibri" w:cs="Arial"/>
          <w:b/>
        </w:rPr>
      </w:pPr>
      <w:r w:rsidRPr="0048565C">
        <w:rPr>
          <w:rFonts w:eastAsia="Calibri" w:cs="Arial"/>
          <w:b/>
          <w:color w:val="000000"/>
        </w:rPr>
        <w:t xml:space="preserve">For accreditation purposes, this protocol should be used </w:t>
      </w:r>
      <w:r w:rsidRPr="0048565C">
        <w:rPr>
          <w:rFonts w:eastAsia="Calibri" w:cs="Arial"/>
          <w:b/>
        </w:rPr>
        <w:t>for the following procedures and tumor types:</w:t>
      </w: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0"/>
        <w:gridCol w:w="7200"/>
      </w:tblGrid>
      <w:tr w:rsidR="001E70D4" w:rsidRPr="00C433E0" w14:paraId="0644DD74" w14:textId="77777777" w:rsidTr="00C433E0">
        <w:tc>
          <w:tcPr>
            <w:tcW w:w="2970" w:type="dxa"/>
            <w:shd w:val="clear" w:color="auto" w:fill="C0C0C0"/>
          </w:tcPr>
          <w:p w14:paraId="159224B3" w14:textId="77777777" w:rsidR="001E70D4" w:rsidRPr="0048565C" w:rsidRDefault="001E70D4" w:rsidP="00DE4341">
            <w:pPr>
              <w:rPr>
                <w:rFonts w:eastAsia="SimSun" w:cs="Arial"/>
                <w:b/>
              </w:rPr>
            </w:pPr>
            <w:r w:rsidRPr="0048565C">
              <w:rPr>
                <w:rFonts w:eastAsia="SimSun" w:cs="Arial"/>
                <w:b/>
              </w:rPr>
              <w:t>Procedure</w:t>
            </w:r>
          </w:p>
        </w:tc>
        <w:tc>
          <w:tcPr>
            <w:tcW w:w="7200" w:type="dxa"/>
            <w:shd w:val="clear" w:color="auto" w:fill="C0C0C0"/>
          </w:tcPr>
          <w:p w14:paraId="229697A8" w14:textId="77777777" w:rsidR="001E70D4" w:rsidRPr="0048565C" w:rsidRDefault="001E70D4" w:rsidP="00DE4341">
            <w:pPr>
              <w:rPr>
                <w:rFonts w:eastAsia="SimSun" w:cs="Arial"/>
                <w:b/>
              </w:rPr>
            </w:pPr>
            <w:r w:rsidRPr="0048565C">
              <w:rPr>
                <w:rFonts w:eastAsia="SimSun" w:cs="Arial"/>
                <w:b/>
              </w:rPr>
              <w:t>Description</w:t>
            </w:r>
          </w:p>
        </w:tc>
      </w:tr>
      <w:tr w:rsidR="001E70D4" w:rsidRPr="00C433E0" w14:paraId="223260FF" w14:textId="77777777" w:rsidTr="00C433E0">
        <w:tc>
          <w:tcPr>
            <w:tcW w:w="2970" w:type="dxa"/>
          </w:tcPr>
          <w:p w14:paraId="1AF06151" w14:textId="77777777" w:rsidR="001E70D4" w:rsidRPr="00142F46" w:rsidRDefault="00142F46" w:rsidP="00DE4341">
            <w:pPr>
              <w:rPr>
                <w:rFonts w:eastAsia="SimSun" w:cs="Arial"/>
              </w:rPr>
            </w:pPr>
            <w:r>
              <w:rPr>
                <w:rFonts w:eastAsia="SimSun" w:cs="Arial"/>
              </w:rPr>
              <w:t>Resection</w:t>
            </w:r>
          </w:p>
        </w:tc>
        <w:tc>
          <w:tcPr>
            <w:tcW w:w="7200" w:type="dxa"/>
          </w:tcPr>
          <w:p w14:paraId="12D2206B" w14:textId="77777777" w:rsidR="001E70D4" w:rsidRPr="00142F46" w:rsidRDefault="001E70D4" w:rsidP="00142F46">
            <w:pPr>
              <w:rPr>
                <w:rFonts w:eastAsia="SimSun" w:cs="Arial"/>
              </w:rPr>
            </w:pPr>
            <w:r w:rsidRPr="00142F46">
              <w:rPr>
                <w:rFonts w:eastAsia="Calibri" w:cs="Arial"/>
              </w:rPr>
              <w:t xml:space="preserve">Includes specimens designated </w:t>
            </w:r>
            <w:r w:rsidR="00142F46">
              <w:rPr>
                <w:rFonts w:eastAsia="Calibri" w:cs="Arial"/>
              </w:rPr>
              <w:t>i</w:t>
            </w:r>
            <w:r w:rsidR="00142F46" w:rsidRPr="00142F46">
              <w:rPr>
                <w:rFonts w:eastAsia="Calibri" w:cs="Arial"/>
              </w:rPr>
              <w:t>ntralesional resection</w:t>
            </w:r>
            <w:r w:rsidR="00142F46">
              <w:rPr>
                <w:rFonts w:eastAsia="Calibri" w:cs="Arial"/>
              </w:rPr>
              <w:t xml:space="preserve">, </w:t>
            </w:r>
            <w:r w:rsidR="00142F46">
              <w:rPr>
                <w:rFonts w:cs="Arial"/>
              </w:rPr>
              <w:t>m</w:t>
            </w:r>
            <w:r w:rsidR="00142F46" w:rsidRPr="00845FBC">
              <w:rPr>
                <w:rFonts w:cs="Arial"/>
              </w:rPr>
              <w:t>arginal resection</w:t>
            </w:r>
            <w:r w:rsidR="00142F46">
              <w:rPr>
                <w:rFonts w:cs="Arial"/>
              </w:rPr>
              <w:t>, s</w:t>
            </w:r>
            <w:r w:rsidR="00142F46" w:rsidRPr="00142F46">
              <w:rPr>
                <w:rFonts w:cs="Arial"/>
              </w:rPr>
              <w:t>egmental/wide resection</w:t>
            </w:r>
            <w:r w:rsidR="00142F46">
              <w:rPr>
                <w:rFonts w:cs="Arial"/>
              </w:rPr>
              <w:t xml:space="preserve">, </w:t>
            </w:r>
            <w:r w:rsidR="00C433E0">
              <w:rPr>
                <w:rFonts w:cs="Arial"/>
              </w:rPr>
              <w:t xml:space="preserve">or </w:t>
            </w:r>
            <w:r w:rsidR="00142F46">
              <w:rPr>
                <w:rFonts w:cs="Arial"/>
              </w:rPr>
              <w:t>r</w:t>
            </w:r>
            <w:r w:rsidR="00142F46" w:rsidRPr="00142F46">
              <w:rPr>
                <w:rFonts w:cs="Arial"/>
              </w:rPr>
              <w:t>adical resection</w:t>
            </w:r>
          </w:p>
        </w:tc>
      </w:tr>
      <w:tr w:rsidR="001E70D4" w:rsidRPr="00C433E0" w14:paraId="6F24FDE9" w14:textId="77777777" w:rsidTr="00C433E0">
        <w:tc>
          <w:tcPr>
            <w:tcW w:w="2970" w:type="dxa"/>
            <w:shd w:val="clear" w:color="auto" w:fill="C0C0C0"/>
          </w:tcPr>
          <w:p w14:paraId="01BFCBFD" w14:textId="77777777" w:rsidR="001E70D4" w:rsidRPr="00C433E0" w:rsidRDefault="001F32D9" w:rsidP="00DE4341">
            <w:pPr>
              <w:rPr>
                <w:rFonts w:eastAsia="SimSun" w:cs="Arial"/>
                <w:b/>
              </w:rPr>
            </w:pPr>
            <w:r>
              <w:rPr>
                <w:rFonts w:eastAsia="SimSun" w:cs="Arial"/>
                <w:b/>
              </w:rPr>
              <w:t>Tumor T</w:t>
            </w:r>
            <w:r w:rsidR="001E70D4" w:rsidRPr="00C433E0">
              <w:rPr>
                <w:rFonts w:eastAsia="SimSun" w:cs="Arial"/>
                <w:b/>
              </w:rPr>
              <w:t>ype</w:t>
            </w:r>
          </w:p>
        </w:tc>
        <w:tc>
          <w:tcPr>
            <w:tcW w:w="7200" w:type="dxa"/>
            <w:shd w:val="clear" w:color="auto" w:fill="C0C0C0"/>
          </w:tcPr>
          <w:p w14:paraId="360168FA" w14:textId="77777777" w:rsidR="001E70D4" w:rsidRPr="00C433E0" w:rsidRDefault="001E70D4" w:rsidP="00DE4341">
            <w:pPr>
              <w:rPr>
                <w:rFonts w:eastAsia="SimSun" w:cs="Arial"/>
                <w:b/>
              </w:rPr>
            </w:pPr>
            <w:r w:rsidRPr="00C433E0">
              <w:rPr>
                <w:rFonts w:eastAsia="SimSun" w:cs="Arial"/>
                <w:b/>
              </w:rPr>
              <w:t>Description</w:t>
            </w:r>
          </w:p>
        </w:tc>
      </w:tr>
      <w:tr w:rsidR="001E70D4" w:rsidRPr="00C433E0" w14:paraId="617AE305" w14:textId="77777777" w:rsidTr="00C433E0">
        <w:tc>
          <w:tcPr>
            <w:tcW w:w="2970" w:type="dxa"/>
          </w:tcPr>
          <w:p w14:paraId="792DC23C" w14:textId="77777777" w:rsidR="001E70D4" w:rsidRPr="00C433E0" w:rsidRDefault="00CA00DE" w:rsidP="00CD16A6">
            <w:pPr>
              <w:rPr>
                <w:rFonts w:eastAsia="SimSun" w:cs="Arial"/>
              </w:rPr>
            </w:pPr>
            <w:r>
              <w:rPr>
                <w:rFonts w:eastAsia="SimSun" w:cs="Arial"/>
              </w:rPr>
              <w:t>Primary m</w:t>
            </w:r>
            <w:r w:rsidR="00624679">
              <w:rPr>
                <w:rFonts w:eastAsia="SimSun" w:cs="Arial"/>
              </w:rPr>
              <w:t>alignant bone tumors</w:t>
            </w:r>
            <w:r w:rsidR="00624679" w:rsidRPr="00C433E0">
              <w:rPr>
                <w:rFonts w:eastAsia="SimSun" w:cs="Arial"/>
              </w:rPr>
              <w:t xml:space="preserve"> </w:t>
            </w:r>
          </w:p>
        </w:tc>
        <w:tc>
          <w:tcPr>
            <w:tcW w:w="7200" w:type="dxa"/>
          </w:tcPr>
          <w:p w14:paraId="6B817BE5" w14:textId="77777777" w:rsidR="001E70D4" w:rsidRPr="00C433E0" w:rsidRDefault="001E70D4" w:rsidP="00AE5189">
            <w:pPr>
              <w:rPr>
                <w:rFonts w:eastAsia="SimSun" w:cs="Arial"/>
              </w:rPr>
            </w:pPr>
            <w:r w:rsidRPr="00C433E0">
              <w:rPr>
                <w:rFonts w:eastAsia="SimSun" w:cs="Arial"/>
              </w:rPr>
              <w:t xml:space="preserve">Includes </w:t>
            </w:r>
            <w:r w:rsidR="00C25B95">
              <w:rPr>
                <w:rFonts w:eastAsia="SimSun" w:cs="Arial"/>
              </w:rPr>
              <w:t>chondrogenic tumors, osteogenic t</w:t>
            </w:r>
            <w:r w:rsidR="00C433E0" w:rsidRPr="00C433E0">
              <w:rPr>
                <w:rFonts w:eastAsia="SimSun" w:cs="Arial"/>
              </w:rPr>
              <w:t xml:space="preserve">umors, </w:t>
            </w:r>
            <w:proofErr w:type="spellStart"/>
            <w:r w:rsidR="00C25B95">
              <w:rPr>
                <w:rFonts w:eastAsia="SimSun" w:cs="Arial"/>
              </w:rPr>
              <w:t>f</w:t>
            </w:r>
            <w:r w:rsidR="00C433E0" w:rsidRPr="00C433E0">
              <w:rPr>
                <w:rFonts w:eastAsia="SimSun" w:cs="Arial"/>
              </w:rPr>
              <w:t>ibrogenic</w:t>
            </w:r>
            <w:proofErr w:type="spellEnd"/>
            <w:r w:rsidR="00C433E0" w:rsidRPr="00C433E0">
              <w:rPr>
                <w:rFonts w:eastAsia="SimSun" w:cs="Arial"/>
              </w:rPr>
              <w:t xml:space="preserve"> </w:t>
            </w:r>
            <w:r w:rsidR="00C25B95">
              <w:rPr>
                <w:rFonts w:eastAsia="SimSun" w:cs="Arial"/>
              </w:rPr>
              <w:t>t</w:t>
            </w:r>
            <w:r w:rsidR="00C433E0" w:rsidRPr="00C433E0">
              <w:rPr>
                <w:rFonts w:eastAsia="SimSun" w:cs="Arial"/>
              </w:rPr>
              <w:t xml:space="preserve">umors, </w:t>
            </w:r>
            <w:r w:rsidR="00C25B95">
              <w:rPr>
                <w:rFonts w:eastAsia="SimSun" w:cs="Arial"/>
              </w:rPr>
              <w:t>osteoclastic giant c</w:t>
            </w:r>
            <w:r w:rsidR="00C433E0" w:rsidRPr="00C433E0">
              <w:rPr>
                <w:rFonts w:eastAsia="SimSun" w:cs="Arial"/>
              </w:rPr>
              <w:t xml:space="preserve">ell </w:t>
            </w:r>
            <w:r w:rsidR="00C25B95">
              <w:rPr>
                <w:rFonts w:eastAsia="SimSun" w:cs="Arial"/>
              </w:rPr>
              <w:t>rich t</w:t>
            </w:r>
            <w:r w:rsidR="00C433E0" w:rsidRPr="00C433E0">
              <w:rPr>
                <w:rFonts w:eastAsia="SimSun" w:cs="Arial"/>
              </w:rPr>
              <w:t xml:space="preserve">umors, </w:t>
            </w:r>
            <w:r w:rsidR="00C25B95">
              <w:rPr>
                <w:rFonts w:eastAsia="SimSun" w:cs="Arial"/>
              </w:rPr>
              <w:t>n</w:t>
            </w:r>
            <w:r w:rsidR="00C433E0" w:rsidRPr="00C433E0">
              <w:rPr>
                <w:rFonts w:eastAsia="SimSun" w:cs="Arial"/>
              </w:rPr>
              <w:t xml:space="preserve">otochordal </w:t>
            </w:r>
            <w:r w:rsidR="00C25B95">
              <w:rPr>
                <w:rFonts w:eastAsia="SimSun" w:cs="Arial"/>
              </w:rPr>
              <w:t>t</w:t>
            </w:r>
            <w:r w:rsidR="00C433E0" w:rsidRPr="00C433E0">
              <w:rPr>
                <w:rFonts w:eastAsia="SimSun" w:cs="Arial"/>
              </w:rPr>
              <w:t>umors,</w:t>
            </w:r>
            <w:r w:rsidR="00C25B95">
              <w:rPr>
                <w:rFonts w:eastAsia="SimSun" w:cs="Arial"/>
              </w:rPr>
              <w:t xml:space="preserve"> v</w:t>
            </w:r>
            <w:r w:rsidR="00C433E0" w:rsidRPr="00C433E0">
              <w:rPr>
                <w:rFonts w:eastAsia="SimSun" w:cs="Arial"/>
              </w:rPr>
              <w:t xml:space="preserve">ascular </w:t>
            </w:r>
            <w:r w:rsidR="00C25B95">
              <w:rPr>
                <w:rFonts w:eastAsia="SimSun" w:cs="Arial"/>
              </w:rPr>
              <w:t>t</w:t>
            </w:r>
            <w:r w:rsidR="00C433E0" w:rsidRPr="00C433E0">
              <w:rPr>
                <w:rFonts w:eastAsia="SimSun" w:cs="Arial"/>
              </w:rPr>
              <w:t xml:space="preserve">umors, </w:t>
            </w:r>
            <w:r w:rsidR="00C25B95">
              <w:rPr>
                <w:rFonts w:eastAsia="SimSun" w:cs="Arial"/>
              </w:rPr>
              <w:t>m</w:t>
            </w:r>
            <w:r w:rsidR="00C433E0" w:rsidRPr="00C433E0">
              <w:rPr>
                <w:rFonts w:eastAsia="SimSun" w:cs="Arial"/>
              </w:rPr>
              <w:t xml:space="preserve">yogenic </w:t>
            </w:r>
            <w:r w:rsidR="00C25B95">
              <w:rPr>
                <w:rFonts w:eastAsia="SimSun" w:cs="Arial"/>
              </w:rPr>
              <w:t>t</w:t>
            </w:r>
            <w:r w:rsidR="00C433E0" w:rsidRPr="00C433E0">
              <w:rPr>
                <w:rFonts w:eastAsia="SimSun" w:cs="Arial"/>
              </w:rPr>
              <w:t>umors,</w:t>
            </w:r>
            <w:r w:rsidR="00CA00DE">
              <w:rPr>
                <w:rFonts w:eastAsia="SimSun" w:cs="Arial"/>
              </w:rPr>
              <w:t xml:space="preserve"> and</w:t>
            </w:r>
            <w:r w:rsidR="00C25B95">
              <w:rPr>
                <w:rFonts w:eastAsia="SimSun" w:cs="Arial"/>
              </w:rPr>
              <w:t xml:space="preserve"> l</w:t>
            </w:r>
            <w:r w:rsidR="00C433E0" w:rsidRPr="00C433E0">
              <w:rPr>
                <w:rFonts w:eastAsia="SimSun" w:cs="Arial"/>
              </w:rPr>
              <w:t xml:space="preserve">ipogenic </w:t>
            </w:r>
            <w:r w:rsidR="00C25B95">
              <w:rPr>
                <w:rFonts w:eastAsia="SimSun" w:cs="Arial"/>
              </w:rPr>
              <w:t>t</w:t>
            </w:r>
            <w:r w:rsidR="00C433E0" w:rsidRPr="00C433E0">
              <w:rPr>
                <w:rFonts w:eastAsia="SimSun" w:cs="Arial"/>
              </w:rPr>
              <w:t>umors</w:t>
            </w:r>
          </w:p>
        </w:tc>
      </w:tr>
    </w:tbl>
    <w:p w14:paraId="42642722" w14:textId="77777777" w:rsidR="001E70D4" w:rsidRPr="00C433E0" w:rsidRDefault="001E70D4" w:rsidP="001E70D4">
      <w:pPr>
        <w:rPr>
          <w:rFonts w:eastAsia="Calibri" w:cs="Arial"/>
        </w:rPr>
      </w:pPr>
    </w:p>
    <w:p w14:paraId="173E27E8" w14:textId="77777777" w:rsidR="001E70D4" w:rsidRPr="00C433E0" w:rsidRDefault="001E70D4" w:rsidP="001E70D4">
      <w:pPr>
        <w:keepNext/>
        <w:tabs>
          <w:tab w:val="left" w:pos="360"/>
        </w:tabs>
        <w:outlineLvl w:val="1"/>
        <w:rPr>
          <w:rFonts w:eastAsia="Calibri" w:cs="Arial"/>
          <w:b/>
        </w:rPr>
      </w:pPr>
      <w:r w:rsidRPr="00C433E0">
        <w:rPr>
          <w:rFonts w:eastAsia="Calibri" w:cs="Arial"/>
          <w:b/>
        </w:rPr>
        <w:t xml:space="preserve">This protocol is </w:t>
      </w:r>
      <w:r w:rsidRPr="00C433E0">
        <w:rPr>
          <w:rFonts w:eastAsia="Calibri" w:cs="Arial"/>
          <w:b/>
          <w:u w:val="single"/>
        </w:rPr>
        <w:t>NOT</w:t>
      </w:r>
      <w:r w:rsidRPr="00C433E0">
        <w:rPr>
          <w:rFonts w:eastAsia="Calibri" w:cs="Arial"/>
          <w:b/>
        </w:rPr>
        <w:t xml:space="preserve"> required </w:t>
      </w:r>
      <w:r w:rsidRPr="00C433E0">
        <w:rPr>
          <w:rFonts w:eastAsia="Calibri" w:cs="Arial"/>
          <w:b/>
          <w:color w:val="000000"/>
        </w:rPr>
        <w:t xml:space="preserve">for accreditation purposes </w:t>
      </w:r>
      <w:r w:rsidRPr="00C433E0">
        <w:rPr>
          <w:rFonts w:eastAsia="Calibri" w:cs="Arial"/>
          <w:b/>
        </w:rPr>
        <w:t>for the following: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0"/>
      </w:tblGrid>
      <w:tr w:rsidR="001E70D4" w:rsidRPr="00C433E0" w14:paraId="470ACBB6" w14:textId="77777777" w:rsidTr="00C433E0">
        <w:tc>
          <w:tcPr>
            <w:tcW w:w="10170" w:type="dxa"/>
            <w:shd w:val="clear" w:color="auto" w:fill="C0C0C0"/>
          </w:tcPr>
          <w:p w14:paraId="468DBFFB" w14:textId="77777777" w:rsidR="001E70D4" w:rsidRPr="00C433E0" w:rsidRDefault="001E70D4" w:rsidP="00DE4341">
            <w:pPr>
              <w:rPr>
                <w:rFonts w:eastAsia="SimSun" w:cs="Arial"/>
                <w:b/>
              </w:rPr>
            </w:pPr>
            <w:r w:rsidRPr="00C433E0">
              <w:rPr>
                <w:rFonts w:eastAsia="SimSun" w:cs="Arial"/>
                <w:b/>
              </w:rPr>
              <w:t>Procedure</w:t>
            </w:r>
          </w:p>
        </w:tc>
      </w:tr>
      <w:tr w:rsidR="001E70D4" w:rsidRPr="00C433E0" w14:paraId="22412878" w14:textId="77777777" w:rsidTr="00C433E0">
        <w:tc>
          <w:tcPr>
            <w:tcW w:w="10170" w:type="dxa"/>
          </w:tcPr>
          <w:p w14:paraId="0435E28F" w14:textId="77777777" w:rsidR="001E70D4" w:rsidRPr="00C433E0" w:rsidRDefault="001E70D4" w:rsidP="00C25B95">
            <w:pPr>
              <w:rPr>
                <w:rFonts w:eastAsia="SimSun" w:cs="Arial"/>
                <w:color w:val="000000"/>
              </w:rPr>
            </w:pPr>
            <w:r w:rsidRPr="00C433E0">
              <w:rPr>
                <w:rFonts w:eastAsia="Calibri" w:cs="Arial"/>
                <w:color w:val="000000"/>
              </w:rPr>
              <w:t>Biopsy</w:t>
            </w:r>
            <w:r w:rsidR="00C25B95">
              <w:rPr>
                <w:rFonts w:eastAsia="Calibri" w:cs="Arial"/>
                <w:color w:val="000000"/>
              </w:rPr>
              <w:t xml:space="preserve"> (includes c</w:t>
            </w:r>
            <w:r w:rsidR="00C25B95" w:rsidRPr="00C25B95">
              <w:rPr>
                <w:rFonts w:eastAsia="Calibri" w:cs="Arial"/>
                <w:color w:val="000000"/>
              </w:rPr>
              <w:t>ore needle biopsy</w:t>
            </w:r>
            <w:r w:rsidR="00C25B95">
              <w:rPr>
                <w:rFonts w:eastAsia="Calibri" w:cs="Arial"/>
                <w:color w:val="000000"/>
              </w:rPr>
              <w:t>, c</w:t>
            </w:r>
            <w:r w:rsidR="00C25B95" w:rsidRPr="00C25B95">
              <w:rPr>
                <w:rFonts w:eastAsia="Calibri" w:cs="Arial"/>
                <w:color w:val="000000"/>
              </w:rPr>
              <w:t>urettage</w:t>
            </w:r>
            <w:r w:rsidR="00C25B95">
              <w:rPr>
                <w:rFonts w:eastAsia="Calibri" w:cs="Arial"/>
                <w:color w:val="000000"/>
              </w:rPr>
              <w:t xml:space="preserve">, </w:t>
            </w:r>
            <w:r w:rsidR="00312D9E">
              <w:rPr>
                <w:rFonts w:eastAsia="Calibri" w:cs="Arial"/>
                <w:color w:val="000000"/>
              </w:rPr>
              <w:t xml:space="preserve">or </w:t>
            </w:r>
            <w:r w:rsidR="00C25B95">
              <w:rPr>
                <w:rFonts w:eastAsia="Calibri" w:cs="Arial"/>
                <w:color w:val="000000"/>
              </w:rPr>
              <w:t>e</w:t>
            </w:r>
            <w:r w:rsidR="00C25B95" w:rsidRPr="00C25B95">
              <w:rPr>
                <w:rFonts w:eastAsia="Calibri" w:cs="Arial"/>
                <w:color w:val="000000"/>
              </w:rPr>
              <w:t>xcisional biopsy</w:t>
            </w:r>
            <w:r w:rsidR="00312D9E">
              <w:rPr>
                <w:rFonts w:eastAsia="Calibri" w:cs="Arial"/>
                <w:color w:val="000000"/>
              </w:rPr>
              <w:t>)</w:t>
            </w:r>
          </w:p>
        </w:tc>
      </w:tr>
      <w:tr w:rsidR="001E70D4" w:rsidRPr="00C433E0" w14:paraId="5FA8081E" w14:textId="77777777" w:rsidTr="00C433E0">
        <w:trPr>
          <w:trHeight w:val="152"/>
        </w:trPr>
        <w:tc>
          <w:tcPr>
            <w:tcW w:w="10170" w:type="dxa"/>
          </w:tcPr>
          <w:p w14:paraId="38BA56FD" w14:textId="77777777" w:rsidR="001E70D4" w:rsidRPr="00C433E0" w:rsidRDefault="001E70D4" w:rsidP="00DD7C11">
            <w:pPr>
              <w:rPr>
                <w:rFonts w:eastAsia="SimSun" w:cs="Arial"/>
                <w:color w:val="000000"/>
              </w:rPr>
            </w:pPr>
            <w:r w:rsidRPr="00C433E0">
              <w:rPr>
                <w:rFonts w:eastAsia="SimSun" w:cs="Arial"/>
                <w:color w:val="000000"/>
              </w:rPr>
              <w:t>Primary resection specimen with no residual cancer (</w:t>
            </w:r>
            <w:proofErr w:type="spellStart"/>
            <w:r w:rsidRPr="00C433E0">
              <w:rPr>
                <w:rFonts w:eastAsia="SimSun" w:cs="Arial"/>
                <w:color w:val="000000"/>
              </w:rPr>
              <w:t>eg</w:t>
            </w:r>
            <w:proofErr w:type="spellEnd"/>
            <w:r w:rsidR="00DD7C11">
              <w:rPr>
                <w:rFonts w:eastAsia="SimSun" w:cs="Arial"/>
                <w:color w:val="000000"/>
              </w:rPr>
              <w:t>,</w:t>
            </w:r>
            <w:r w:rsidRPr="00C433E0">
              <w:rPr>
                <w:rFonts w:eastAsia="SimSun" w:cs="Arial"/>
                <w:color w:val="000000"/>
              </w:rPr>
              <w:t xml:space="preserve"> following neoadjuvant therapy)</w:t>
            </w:r>
          </w:p>
        </w:tc>
      </w:tr>
      <w:tr w:rsidR="001E70D4" w:rsidRPr="00C433E0" w14:paraId="25A9D555" w14:textId="77777777" w:rsidTr="00C433E0">
        <w:tc>
          <w:tcPr>
            <w:tcW w:w="10170" w:type="dxa"/>
          </w:tcPr>
          <w:p w14:paraId="4C4C496E" w14:textId="77777777" w:rsidR="001E70D4" w:rsidRPr="00C433E0" w:rsidRDefault="001E70D4" w:rsidP="00DE4341">
            <w:pPr>
              <w:rPr>
                <w:rFonts w:eastAsia="SimSun" w:cs="Arial"/>
                <w:color w:val="000000"/>
              </w:rPr>
            </w:pPr>
            <w:r w:rsidRPr="00C433E0">
              <w:rPr>
                <w:rFonts w:eastAsia="SimSun" w:cs="Arial"/>
              </w:rPr>
              <w:t>Cytologic specimens</w:t>
            </w:r>
          </w:p>
        </w:tc>
      </w:tr>
    </w:tbl>
    <w:p w14:paraId="7F69E595" w14:textId="77777777" w:rsidR="001E70D4" w:rsidRPr="00C433E0" w:rsidRDefault="001E70D4" w:rsidP="001E70D4">
      <w:pPr>
        <w:rPr>
          <w:rFonts w:eastAsia="Calibri" w:cs="Arial"/>
        </w:rPr>
      </w:pPr>
    </w:p>
    <w:p w14:paraId="1C997ED1" w14:textId="77777777" w:rsidR="001E70D4" w:rsidRPr="00C433E0" w:rsidRDefault="001E70D4" w:rsidP="001E70D4">
      <w:pPr>
        <w:rPr>
          <w:rFonts w:eastAsia="Calibri" w:cs="Arial"/>
          <w:b/>
          <w:kern w:val="18"/>
        </w:rPr>
      </w:pPr>
      <w:r w:rsidRPr="00C433E0">
        <w:rPr>
          <w:rFonts w:eastAsia="Calibri" w:cs="Arial"/>
          <w:b/>
          <w:kern w:val="18"/>
        </w:rPr>
        <w:t xml:space="preserve">The following tumor types should </w:t>
      </w:r>
      <w:r w:rsidR="004102BC">
        <w:rPr>
          <w:rFonts w:eastAsia="Calibri" w:cs="Arial"/>
          <w:b/>
          <w:kern w:val="18"/>
        </w:rPr>
        <w:t xml:space="preserve">NOT </w:t>
      </w:r>
      <w:r w:rsidRPr="00C433E0">
        <w:rPr>
          <w:rFonts w:eastAsia="Calibri" w:cs="Arial"/>
          <w:b/>
          <w:kern w:val="18"/>
        </w:rPr>
        <w:t xml:space="preserve">be reported using </w:t>
      </w:r>
      <w:r w:rsidR="004102BC">
        <w:rPr>
          <w:rFonts w:eastAsia="Calibri" w:cs="Arial"/>
          <w:b/>
          <w:kern w:val="18"/>
        </w:rPr>
        <w:t>this</w:t>
      </w:r>
      <w:r w:rsidRPr="00C433E0">
        <w:rPr>
          <w:rFonts w:eastAsia="Calibri" w:cs="Arial"/>
          <w:b/>
          <w:kern w:val="18"/>
        </w:rPr>
        <w:t xml:space="preserve"> protocol: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0"/>
      </w:tblGrid>
      <w:tr w:rsidR="004102BC" w:rsidRPr="00C433E0" w14:paraId="4B4B0120" w14:textId="77777777" w:rsidTr="00176D28">
        <w:tc>
          <w:tcPr>
            <w:tcW w:w="10170" w:type="dxa"/>
            <w:shd w:val="clear" w:color="auto" w:fill="C0C0C0"/>
          </w:tcPr>
          <w:p w14:paraId="47A2CACD" w14:textId="77777777" w:rsidR="004102BC" w:rsidRPr="00C433E0" w:rsidRDefault="001F32D9" w:rsidP="00DE4341">
            <w:pPr>
              <w:rPr>
                <w:rFonts w:eastAsia="SimSun" w:cs="Arial"/>
                <w:b/>
              </w:rPr>
            </w:pPr>
            <w:r>
              <w:rPr>
                <w:rFonts w:eastAsia="SimSun" w:cs="Arial"/>
                <w:b/>
              </w:rPr>
              <w:t>Tumor T</w:t>
            </w:r>
            <w:r w:rsidR="004102BC" w:rsidRPr="00C433E0">
              <w:rPr>
                <w:rFonts w:eastAsia="SimSun" w:cs="Arial"/>
                <w:b/>
              </w:rPr>
              <w:t>ype</w:t>
            </w:r>
          </w:p>
        </w:tc>
      </w:tr>
      <w:tr w:rsidR="004102BC" w:rsidRPr="00C433E0" w14:paraId="4AC62AFD" w14:textId="77777777" w:rsidTr="00176D28">
        <w:tc>
          <w:tcPr>
            <w:tcW w:w="10170" w:type="dxa"/>
          </w:tcPr>
          <w:p w14:paraId="1776FC9F" w14:textId="77777777" w:rsidR="004102BC" w:rsidRPr="0048565C" w:rsidRDefault="00CA00DE" w:rsidP="00CA00DE">
            <w:pPr>
              <w:rPr>
                <w:rFonts w:eastAsia="SimSun" w:cs="Arial"/>
              </w:rPr>
            </w:pPr>
            <w:r>
              <w:rPr>
                <w:rFonts w:eastAsia="SimSun" w:cs="Arial"/>
              </w:rPr>
              <w:t>Plasma cell neoplasms (consider the Plasma Cell Neoplasms protocol)</w:t>
            </w:r>
          </w:p>
        </w:tc>
      </w:tr>
      <w:tr w:rsidR="00CA00DE" w:rsidRPr="00B51FD5" w14:paraId="6041D01B" w14:textId="77777777" w:rsidTr="00CA00DE">
        <w:tc>
          <w:tcPr>
            <w:tcW w:w="10170" w:type="dxa"/>
            <w:tcBorders>
              <w:top w:val="single" w:sz="4" w:space="0" w:color="auto"/>
              <w:left w:val="single" w:sz="4" w:space="0" w:color="auto"/>
              <w:bottom w:val="single" w:sz="4" w:space="0" w:color="auto"/>
              <w:right w:val="single" w:sz="4" w:space="0" w:color="auto"/>
            </w:tcBorders>
          </w:tcPr>
          <w:p w14:paraId="2F6C13D6" w14:textId="77777777" w:rsidR="00CA00DE" w:rsidRPr="00C433E0" w:rsidRDefault="00CA00DE" w:rsidP="00996B46">
            <w:pPr>
              <w:rPr>
                <w:rFonts w:eastAsia="SimSun" w:cs="Arial"/>
              </w:rPr>
            </w:pPr>
            <w:r w:rsidRPr="00CA00DE">
              <w:rPr>
                <w:rFonts w:eastAsia="SimSun" w:cs="Arial"/>
              </w:rPr>
              <w:t>Lymphoma (consider the Hodgkin or non-Hodgkin Lymphoma protocols)</w:t>
            </w:r>
          </w:p>
        </w:tc>
      </w:tr>
      <w:tr w:rsidR="004102BC" w:rsidRPr="00C433E0" w14:paraId="51123E78" w14:textId="77777777" w:rsidTr="00176D28">
        <w:tc>
          <w:tcPr>
            <w:tcW w:w="10170" w:type="dxa"/>
          </w:tcPr>
          <w:p w14:paraId="57D99411" w14:textId="77777777" w:rsidR="004102BC" w:rsidRPr="00C433E0" w:rsidRDefault="004102BC" w:rsidP="00DE4341">
            <w:pPr>
              <w:rPr>
                <w:rFonts w:eastAsia="SimSun" w:cs="Arial"/>
              </w:rPr>
            </w:pPr>
            <w:r>
              <w:rPr>
                <w:rFonts w:eastAsia="SimSun" w:cs="Arial"/>
              </w:rPr>
              <w:t xml:space="preserve">Pediatric </w:t>
            </w:r>
            <w:r w:rsidRPr="00C433E0">
              <w:rPr>
                <w:rFonts w:eastAsia="SimSun" w:cs="Arial"/>
              </w:rPr>
              <w:t>Ewing sarcoma</w:t>
            </w:r>
            <w:r>
              <w:rPr>
                <w:rFonts w:eastAsia="SimSun" w:cs="Arial"/>
              </w:rPr>
              <w:t xml:space="preserve"> (consider the Ewing Sarcoma protocol)</w:t>
            </w:r>
          </w:p>
        </w:tc>
      </w:tr>
      <w:tr w:rsidR="004102BC" w:rsidRPr="00B51FD5" w14:paraId="6C2F6A2A" w14:textId="77777777" w:rsidTr="00176D28">
        <w:tc>
          <w:tcPr>
            <w:tcW w:w="10170" w:type="dxa"/>
          </w:tcPr>
          <w:p w14:paraId="43F369D2" w14:textId="77777777" w:rsidR="004102BC" w:rsidRPr="003549A1" w:rsidRDefault="00DD7C11" w:rsidP="003F5BDF">
            <w:r>
              <w:t>Soft tissue s</w:t>
            </w:r>
            <w:r w:rsidR="004102BC" w:rsidRPr="003549A1">
              <w:t>arcoma (consider the Soft Tissue protocol)</w:t>
            </w:r>
          </w:p>
        </w:tc>
      </w:tr>
    </w:tbl>
    <w:p w14:paraId="7208B508" w14:textId="77777777" w:rsidR="00142F46" w:rsidRDefault="00142F46" w:rsidP="00A706F1">
      <w:pPr>
        <w:tabs>
          <w:tab w:val="left" w:pos="0"/>
        </w:tabs>
        <w:rPr>
          <w:rFonts w:cs="Arial"/>
          <w:b/>
          <w:kern w:val="18"/>
          <w:szCs w:val="24"/>
        </w:rPr>
      </w:pPr>
    </w:p>
    <w:p w14:paraId="5315E3C6" w14:textId="77777777" w:rsidR="004102BC" w:rsidRPr="00A706F1" w:rsidRDefault="004102BC" w:rsidP="004102BC">
      <w:pPr>
        <w:tabs>
          <w:tab w:val="center" w:pos="5040"/>
        </w:tabs>
        <w:rPr>
          <w:rFonts w:eastAsia="Calibri" w:cs="Arial"/>
          <w:b/>
          <w:kern w:val="18"/>
        </w:rPr>
      </w:pPr>
      <w:r w:rsidRPr="00A706F1">
        <w:rPr>
          <w:rFonts w:eastAsia="Calibri" w:cs="Arial"/>
          <w:b/>
          <w:kern w:val="18"/>
        </w:rPr>
        <w:t>Authors</w:t>
      </w:r>
    </w:p>
    <w:p w14:paraId="09D0041E" w14:textId="77777777" w:rsidR="004102BC" w:rsidRPr="00845FBC" w:rsidRDefault="004102BC" w:rsidP="004102BC">
      <w:pPr>
        <w:rPr>
          <w:rFonts w:cs="Arial"/>
        </w:rPr>
      </w:pPr>
      <w:r>
        <w:rPr>
          <w:rFonts w:eastAsia="Calibri" w:cs="Arial"/>
          <w:kern w:val="18"/>
        </w:rPr>
        <w:t>Javier A. Laurini, MD</w:t>
      </w:r>
      <w:r w:rsidRPr="00A706F1">
        <w:rPr>
          <w:rFonts w:eastAsia="Calibri" w:cs="Arial"/>
          <w:kern w:val="18"/>
        </w:rPr>
        <w:t>*</w:t>
      </w:r>
      <w:r w:rsidR="00DD7C11">
        <w:rPr>
          <w:rFonts w:eastAsia="Calibri" w:cs="Arial"/>
          <w:kern w:val="18"/>
        </w:rPr>
        <w:t>;</w:t>
      </w:r>
      <w:r w:rsidRPr="00A706F1">
        <w:rPr>
          <w:rFonts w:eastAsia="Calibri" w:cs="Arial"/>
          <w:kern w:val="18"/>
        </w:rPr>
        <w:t xml:space="preserve"> </w:t>
      </w:r>
      <w:r>
        <w:rPr>
          <w:rFonts w:eastAsia="Calibri" w:cs="Arial"/>
          <w:kern w:val="18"/>
        </w:rPr>
        <w:t xml:space="preserve">Cristina R. </w:t>
      </w:r>
      <w:proofErr w:type="spellStart"/>
      <w:r>
        <w:rPr>
          <w:rFonts w:eastAsia="Calibri" w:cs="Arial"/>
          <w:kern w:val="18"/>
        </w:rPr>
        <w:t>Antonescu</w:t>
      </w:r>
      <w:proofErr w:type="spellEnd"/>
      <w:r>
        <w:rPr>
          <w:rFonts w:eastAsia="Calibri" w:cs="Arial"/>
          <w:kern w:val="18"/>
        </w:rPr>
        <w:t>,</w:t>
      </w:r>
      <w:r w:rsidRPr="00A706F1">
        <w:rPr>
          <w:rFonts w:eastAsia="Calibri" w:cs="Arial"/>
          <w:kern w:val="18"/>
        </w:rPr>
        <w:t xml:space="preserve"> </w:t>
      </w:r>
      <w:r w:rsidR="00DD7C11">
        <w:rPr>
          <w:rFonts w:eastAsia="Calibri" w:cs="Arial"/>
          <w:kern w:val="18"/>
        </w:rPr>
        <w:t xml:space="preserve">MD; </w:t>
      </w:r>
      <w:proofErr w:type="spellStart"/>
      <w:r w:rsidRPr="00A706F1">
        <w:rPr>
          <w:rFonts w:eastAsia="Calibri" w:cs="Arial"/>
          <w:kern w:val="18"/>
        </w:rPr>
        <w:t>Kumarasen</w:t>
      </w:r>
      <w:proofErr w:type="spellEnd"/>
      <w:r w:rsidRPr="00A706F1">
        <w:rPr>
          <w:rFonts w:eastAsia="Calibri" w:cs="Arial"/>
          <w:kern w:val="18"/>
        </w:rPr>
        <w:t xml:space="preserve"> Cooper</w:t>
      </w:r>
      <w:r w:rsidR="00DD7C11">
        <w:rPr>
          <w:rFonts w:eastAsia="Calibri" w:cs="Arial"/>
          <w:kern w:val="18"/>
        </w:rPr>
        <w:t>,</w:t>
      </w:r>
      <w:r>
        <w:rPr>
          <w:rFonts w:eastAsia="Calibri" w:cs="Arial"/>
          <w:kern w:val="18"/>
        </w:rPr>
        <w:t xml:space="preserve"> MBChB</w:t>
      </w:r>
      <w:r w:rsidR="00DD7C11">
        <w:rPr>
          <w:rFonts w:eastAsia="Calibri" w:cs="Arial"/>
          <w:kern w:val="18"/>
        </w:rPr>
        <w:t>,</w:t>
      </w:r>
      <w:r w:rsidRPr="00A706F1">
        <w:rPr>
          <w:rFonts w:eastAsia="Calibri" w:cs="Arial"/>
          <w:kern w:val="18"/>
        </w:rPr>
        <w:t xml:space="preserve"> DPhil</w:t>
      </w:r>
      <w:r w:rsidR="00DD7C11">
        <w:rPr>
          <w:rFonts w:eastAsia="Calibri" w:cs="Arial"/>
          <w:kern w:val="18"/>
        </w:rPr>
        <w:t>;</w:t>
      </w:r>
      <w:r w:rsidRPr="00A706F1">
        <w:t xml:space="preserve"> </w:t>
      </w:r>
      <w:r w:rsidRPr="00A706F1">
        <w:rPr>
          <w:rFonts w:eastAsia="Calibri" w:cs="Arial"/>
          <w:kern w:val="18"/>
        </w:rPr>
        <w:t>Francis H. Gannon</w:t>
      </w:r>
      <w:r w:rsidR="00DD7C11">
        <w:rPr>
          <w:rFonts w:eastAsia="Calibri" w:cs="Arial"/>
          <w:kern w:val="18"/>
        </w:rPr>
        <w:t>,</w:t>
      </w:r>
      <w:r w:rsidRPr="00A706F1">
        <w:rPr>
          <w:rFonts w:eastAsia="Calibri" w:cs="Arial"/>
          <w:kern w:val="18"/>
        </w:rPr>
        <w:t xml:space="preserve"> MD</w:t>
      </w:r>
      <w:r w:rsidR="00DD7C11">
        <w:rPr>
          <w:rFonts w:eastAsia="Calibri" w:cs="Arial"/>
          <w:kern w:val="18"/>
        </w:rPr>
        <w:t>;</w:t>
      </w:r>
      <w:r>
        <w:rPr>
          <w:rFonts w:eastAsia="Calibri" w:cs="Arial"/>
          <w:kern w:val="18"/>
        </w:rPr>
        <w:t xml:space="preserve"> </w:t>
      </w:r>
      <w:r w:rsidRPr="00A706F1">
        <w:rPr>
          <w:rFonts w:eastAsia="Calibri" w:cs="Arial"/>
          <w:kern w:val="18"/>
        </w:rPr>
        <w:t>Jennifer Leigh Hunt</w:t>
      </w:r>
      <w:r w:rsidR="00DD7C11">
        <w:rPr>
          <w:rFonts w:eastAsia="Calibri" w:cs="Arial"/>
          <w:kern w:val="18"/>
        </w:rPr>
        <w:t>,</w:t>
      </w:r>
      <w:r w:rsidRPr="00A706F1">
        <w:rPr>
          <w:rFonts w:eastAsia="Calibri" w:cs="Arial"/>
          <w:kern w:val="18"/>
        </w:rPr>
        <w:t xml:space="preserve"> MD</w:t>
      </w:r>
      <w:r w:rsidR="00DD7C11">
        <w:rPr>
          <w:rFonts w:eastAsia="Calibri" w:cs="Arial"/>
          <w:kern w:val="18"/>
        </w:rPr>
        <w:t>;</w:t>
      </w:r>
      <w:r>
        <w:t xml:space="preserve"> </w:t>
      </w:r>
      <w:r w:rsidRPr="00A706F1">
        <w:rPr>
          <w:rFonts w:eastAsia="Calibri" w:cs="Arial"/>
          <w:kern w:val="18"/>
        </w:rPr>
        <w:t>Carrie Y. Inwards</w:t>
      </w:r>
      <w:r w:rsidR="00DD7C11">
        <w:rPr>
          <w:rFonts w:eastAsia="Calibri" w:cs="Arial"/>
          <w:kern w:val="18"/>
        </w:rPr>
        <w:t>,</w:t>
      </w:r>
      <w:r w:rsidRPr="00A706F1">
        <w:rPr>
          <w:rFonts w:eastAsia="Calibri" w:cs="Arial"/>
          <w:kern w:val="18"/>
        </w:rPr>
        <w:t xml:space="preserve"> MD</w:t>
      </w:r>
      <w:r w:rsidR="00DD7C11">
        <w:rPr>
          <w:rFonts w:eastAsia="Calibri" w:cs="Arial"/>
          <w:kern w:val="18"/>
        </w:rPr>
        <w:t>;</w:t>
      </w:r>
      <w:r>
        <w:rPr>
          <w:rFonts w:eastAsia="Calibri" w:cs="Arial"/>
          <w:kern w:val="18"/>
        </w:rPr>
        <w:t xml:space="preserve"> Michael Jeffrey Klein</w:t>
      </w:r>
      <w:r w:rsidR="00DD7C11">
        <w:rPr>
          <w:rFonts w:eastAsia="Calibri" w:cs="Arial"/>
          <w:kern w:val="18"/>
        </w:rPr>
        <w:t>,</w:t>
      </w:r>
      <w:r w:rsidRPr="00A706F1">
        <w:rPr>
          <w:rFonts w:eastAsia="Calibri" w:cs="Arial"/>
          <w:kern w:val="18"/>
        </w:rPr>
        <w:t xml:space="preserve"> MD</w:t>
      </w:r>
      <w:r w:rsidR="00DD7C11">
        <w:rPr>
          <w:rFonts w:eastAsia="Calibri" w:cs="Arial"/>
          <w:kern w:val="18"/>
        </w:rPr>
        <w:t>;</w:t>
      </w:r>
      <w:r>
        <w:rPr>
          <w:rFonts w:eastAsia="Calibri" w:cs="Arial"/>
          <w:kern w:val="18"/>
        </w:rPr>
        <w:t xml:space="preserve"> </w:t>
      </w:r>
      <w:r w:rsidRPr="00A706F1">
        <w:rPr>
          <w:rFonts w:eastAsia="Calibri" w:cs="Arial"/>
          <w:kern w:val="18"/>
        </w:rPr>
        <w:t xml:space="preserve">Jeffrey S. </w:t>
      </w:r>
      <w:proofErr w:type="spellStart"/>
      <w:r w:rsidRPr="00A706F1">
        <w:rPr>
          <w:rFonts w:eastAsia="Calibri" w:cs="Arial"/>
          <w:kern w:val="18"/>
        </w:rPr>
        <w:t>Kneisl</w:t>
      </w:r>
      <w:proofErr w:type="spellEnd"/>
      <w:r w:rsidR="00DD7C11">
        <w:rPr>
          <w:rFonts w:eastAsia="Calibri" w:cs="Arial"/>
          <w:kern w:val="18"/>
        </w:rPr>
        <w:t>,</w:t>
      </w:r>
      <w:r w:rsidRPr="00A706F1">
        <w:rPr>
          <w:rFonts w:eastAsia="Calibri" w:cs="Arial"/>
          <w:kern w:val="18"/>
        </w:rPr>
        <w:t xml:space="preserve"> MD</w:t>
      </w:r>
      <w:r w:rsidR="00DD7C11">
        <w:rPr>
          <w:rFonts w:eastAsia="Calibri" w:cs="Arial"/>
          <w:kern w:val="18"/>
        </w:rPr>
        <w:t>;</w:t>
      </w:r>
      <w:r w:rsidRPr="0021253C">
        <w:rPr>
          <w:rFonts w:cs="Arial"/>
        </w:rPr>
        <w:t xml:space="preserve"> </w:t>
      </w:r>
      <w:r w:rsidRPr="001E70D4">
        <w:rPr>
          <w:rFonts w:cs="Arial"/>
        </w:rPr>
        <w:t xml:space="preserve">Thomas </w:t>
      </w:r>
      <w:proofErr w:type="spellStart"/>
      <w:r w:rsidRPr="001E70D4">
        <w:rPr>
          <w:rFonts w:cs="Arial"/>
        </w:rPr>
        <w:t>Krausz</w:t>
      </w:r>
      <w:proofErr w:type="spellEnd"/>
      <w:r w:rsidR="00DD7C11">
        <w:rPr>
          <w:rFonts w:cs="Arial"/>
        </w:rPr>
        <w:t>,</w:t>
      </w:r>
      <w:r w:rsidRPr="001E70D4">
        <w:rPr>
          <w:rFonts w:cs="Arial"/>
        </w:rPr>
        <w:t xml:space="preserve"> MD</w:t>
      </w:r>
      <w:r w:rsidR="00DD7C11">
        <w:rPr>
          <w:rFonts w:cs="Arial"/>
        </w:rPr>
        <w:t>;</w:t>
      </w:r>
      <w:r>
        <w:rPr>
          <w:rFonts w:eastAsia="Calibri" w:cs="Arial"/>
          <w:kern w:val="18"/>
        </w:rPr>
        <w:t xml:space="preserve"> </w:t>
      </w:r>
      <w:r w:rsidRPr="00845FBC">
        <w:rPr>
          <w:rFonts w:cs="Arial"/>
        </w:rPr>
        <w:t>Alexander Lazar</w:t>
      </w:r>
      <w:r w:rsidR="00DD7C11">
        <w:rPr>
          <w:rFonts w:cs="Arial"/>
        </w:rPr>
        <w:t>,</w:t>
      </w:r>
      <w:r w:rsidRPr="00845FBC">
        <w:rPr>
          <w:rFonts w:cs="Arial"/>
        </w:rPr>
        <w:t xml:space="preserve"> MD</w:t>
      </w:r>
      <w:r w:rsidR="00DD7C11">
        <w:rPr>
          <w:rFonts w:cs="Arial"/>
        </w:rPr>
        <w:t>,</w:t>
      </w:r>
      <w:r w:rsidRPr="00845FBC">
        <w:rPr>
          <w:rFonts w:cs="Arial"/>
        </w:rPr>
        <w:t xml:space="preserve"> PhD</w:t>
      </w:r>
      <w:r w:rsidR="00DD7C11">
        <w:rPr>
          <w:rFonts w:cs="Arial"/>
        </w:rPr>
        <w:t>;</w:t>
      </w:r>
      <w:r>
        <w:rPr>
          <w:rFonts w:cs="Arial"/>
        </w:rPr>
        <w:t xml:space="preserve"> Anthony G. Montag</w:t>
      </w:r>
      <w:r w:rsidR="00DD7C11">
        <w:rPr>
          <w:rFonts w:cs="Arial"/>
        </w:rPr>
        <w:t>,</w:t>
      </w:r>
      <w:r w:rsidRPr="00A706F1">
        <w:rPr>
          <w:rFonts w:cs="Arial"/>
        </w:rPr>
        <w:t xml:space="preserve"> MD</w:t>
      </w:r>
      <w:r w:rsidR="00DD7C11">
        <w:rPr>
          <w:rFonts w:cs="Arial"/>
        </w:rPr>
        <w:t>;</w:t>
      </w:r>
      <w:r>
        <w:rPr>
          <w:rFonts w:cs="Arial"/>
        </w:rPr>
        <w:t xml:space="preserve"> </w:t>
      </w:r>
      <w:r w:rsidR="00176D28">
        <w:rPr>
          <w:rFonts w:cs="Arial"/>
        </w:rPr>
        <w:t>Jordan Olson, MD</w:t>
      </w:r>
      <w:r w:rsidR="00DD7C11">
        <w:rPr>
          <w:rFonts w:cs="Arial"/>
        </w:rPr>
        <w:t>;</w:t>
      </w:r>
      <w:r w:rsidR="00176D28">
        <w:rPr>
          <w:rFonts w:cs="Arial"/>
        </w:rPr>
        <w:t xml:space="preserve"> </w:t>
      </w:r>
      <w:r>
        <w:rPr>
          <w:rFonts w:cs="Arial"/>
        </w:rPr>
        <w:t>Terrance D. Peabody</w:t>
      </w:r>
      <w:r w:rsidR="00DD7C11">
        <w:rPr>
          <w:rFonts w:cs="Arial"/>
        </w:rPr>
        <w:t>,</w:t>
      </w:r>
      <w:r w:rsidRPr="00A706F1">
        <w:rPr>
          <w:rFonts w:cs="Arial"/>
        </w:rPr>
        <w:t xml:space="preserve"> MD</w:t>
      </w:r>
      <w:r w:rsidR="00DD7C11">
        <w:rPr>
          <w:rFonts w:cs="Arial"/>
        </w:rPr>
        <w:t>;</w:t>
      </w:r>
      <w:r>
        <w:rPr>
          <w:rFonts w:cs="Arial"/>
        </w:rPr>
        <w:t xml:space="preserve"> </w:t>
      </w:r>
      <w:r w:rsidRPr="00A706F1">
        <w:rPr>
          <w:rFonts w:cs="Arial"/>
        </w:rPr>
        <w:t>John D. Reith</w:t>
      </w:r>
      <w:r w:rsidR="00DD7C11">
        <w:rPr>
          <w:rFonts w:cs="Arial"/>
        </w:rPr>
        <w:t>,</w:t>
      </w:r>
      <w:r w:rsidRPr="00A706F1">
        <w:rPr>
          <w:rFonts w:cs="Arial"/>
        </w:rPr>
        <w:t xml:space="preserve"> MD</w:t>
      </w:r>
      <w:r w:rsidR="00DD7C11">
        <w:rPr>
          <w:rFonts w:cs="Arial"/>
        </w:rPr>
        <w:t>;</w:t>
      </w:r>
      <w:r>
        <w:rPr>
          <w:rFonts w:cs="Arial"/>
        </w:rPr>
        <w:t xml:space="preserve"> Andrew E. Rosenberg</w:t>
      </w:r>
      <w:r w:rsidR="00DD7C11">
        <w:rPr>
          <w:rFonts w:cs="Arial"/>
        </w:rPr>
        <w:t>,</w:t>
      </w:r>
      <w:r w:rsidRPr="00A706F1">
        <w:rPr>
          <w:rFonts w:cs="Arial"/>
        </w:rPr>
        <w:t xml:space="preserve"> MD</w:t>
      </w:r>
      <w:r w:rsidR="00DD7C11">
        <w:rPr>
          <w:rFonts w:cs="Arial"/>
        </w:rPr>
        <w:t>;</w:t>
      </w:r>
      <w:r>
        <w:rPr>
          <w:rFonts w:cs="Arial"/>
        </w:rPr>
        <w:t xml:space="preserve"> </w:t>
      </w:r>
      <w:r w:rsidRPr="00A706F1">
        <w:rPr>
          <w:rFonts w:cs="Arial"/>
        </w:rPr>
        <w:t>Brian P. Rubin</w:t>
      </w:r>
      <w:r w:rsidR="00DD7C11">
        <w:rPr>
          <w:rFonts w:cs="Arial"/>
        </w:rPr>
        <w:t>,</w:t>
      </w:r>
      <w:r w:rsidRPr="00A706F1">
        <w:rPr>
          <w:rFonts w:cs="Arial"/>
        </w:rPr>
        <w:t xml:space="preserve"> MD</w:t>
      </w:r>
      <w:r w:rsidR="00DD7C11">
        <w:rPr>
          <w:rFonts w:cs="Arial"/>
        </w:rPr>
        <w:t>,</w:t>
      </w:r>
      <w:r w:rsidRPr="00A706F1">
        <w:rPr>
          <w:rFonts w:cs="Arial"/>
        </w:rPr>
        <w:t xml:space="preserve"> PhD</w:t>
      </w:r>
      <w:r>
        <w:rPr>
          <w:rFonts w:cs="Arial"/>
        </w:rPr>
        <w:t xml:space="preserve"> </w:t>
      </w:r>
    </w:p>
    <w:p w14:paraId="3EAEFDD6" w14:textId="77777777" w:rsidR="004102BC" w:rsidRPr="001E70D4" w:rsidRDefault="004102BC" w:rsidP="004102BC">
      <w:pPr>
        <w:rPr>
          <w:rFonts w:eastAsia="Calibri" w:cs="Arial"/>
          <w:kern w:val="18"/>
        </w:rPr>
      </w:pPr>
      <w:r w:rsidRPr="001E70D4">
        <w:rPr>
          <w:rFonts w:eastAsia="Calibri" w:cs="Arial"/>
          <w:kern w:val="18"/>
        </w:rPr>
        <w:t>With guidance from the CAP Cancer and CAP Pathology Electronic Reporting Committees.</w:t>
      </w:r>
    </w:p>
    <w:p w14:paraId="5A4CC751" w14:textId="77777777" w:rsidR="006444D3" w:rsidRDefault="004102BC" w:rsidP="00611A0D">
      <w:pPr>
        <w:spacing w:before="60"/>
        <w:rPr>
          <w:rFonts w:eastAsia="Calibri" w:cs="Arial"/>
          <w:i/>
          <w:kern w:val="18"/>
          <w:sz w:val="18"/>
          <w:szCs w:val="18"/>
        </w:rPr>
      </w:pPr>
      <w:r w:rsidRPr="001E70D4">
        <w:rPr>
          <w:rFonts w:eastAsia="Calibri" w:cs="Arial"/>
          <w:i/>
          <w:kern w:val="18"/>
          <w:sz w:val="18"/>
          <w:szCs w:val="18"/>
        </w:rPr>
        <w:t xml:space="preserve">* Denotes primary author. </w:t>
      </w:r>
      <w:r w:rsidRPr="001E70D4">
        <w:rPr>
          <w:rFonts w:eastAsia="Calibri" w:cs="Arial"/>
          <w:i/>
          <w:kern w:val="20"/>
          <w:sz w:val="18"/>
          <w:szCs w:val="18"/>
        </w:rPr>
        <w:t>A</w:t>
      </w:r>
      <w:r w:rsidRPr="001E70D4">
        <w:rPr>
          <w:rFonts w:eastAsia="Calibri" w:cs="Arial"/>
          <w:i/>
          <w:kern w:val="18"/>
          <w:sz w:val="18"/>
          <w:szCs w:val="18"/>
        </w:rPr>
        <w:t>ll other contributing authors are listed alphabetically.</w:t>
      </w:r>
    </w:p>
    <w:p w14:paraId="4E8760B1" w14:textId="77777777" w:rsidR="006444D3" w:rsidRDefault="006444D3">
      <w:pPr>
        <w:rPr>
          <w:rFonts w:eastAsia="Calibri" w:cs="Arial"/>
          <w:i/>
          <w:kern w:val="18"/>
          <w:sz w:val="18"/>
          <w:szCs w:val="18"/>
        </w:rPr>
      </w:pPr>
      <w:r>
        <w:rPr>
          <w:rFonts w:eastAsia="Calibri" w:cs="Arial"/>
          <w:i/>
          <w:kern w:val="18"/>
          <w:sz w:val="18"/>
          <w:szCs w:val="18"/>
        </w:rPr>
        <w:br w:type="page"/>
      </w:r>
    </w:p>
    <w:p w14:paraId="3A954037" w14:textId="77777777" w:rsidR="004102BC" w:rsidRPr="001E70D4" w:rsidRDefault="004102BC" w:rsidP="00611A0D">
      <w:pPr>
        <w:spacing w:before="60"/>
        <w:rPr>
          <w:rFonts w:eastAsia="Calibri" w:cs="Arial"/>
          <w:i/>
          <w:kern w:val="18"/>
          <w:sz w:val="18"/>
          <w:szCs w:val="18"/>
        </w:rPr>
      </w:pPr>
    </w:p>
    <w:p w14:paraId="0ACD56A0" w14:textId="57CEADF2" w:rsidR="00A706F1" w:rsidRPr="00A706F1" w:rsidRDefault="00A706F1">
      <w:pPr>
        <w:tabs>
          <w:tab w:val="left" w:pos="0"/>
        </w:tabs>
        <w:rPr>
          <w:rFonts w:cs="Arial"/>
          <w:b/>
          <w:kern w:val="18"/>
          <w:szCs w:val="24"/>
        </w:rPr>
      </w:pPr>
      <w:r w:rsidRPr="00A706F1">
        <w:rPr>
          <w:rFonts w:cs="Arial"/>
          <w:b/>
          <w:kern w:val="18"/>
          <w:szCs w:val="24"/>
        </w:rPr>
        <w:t>Accreditation Requirements</w:t>
      </w:r>
    </w:p>
    <w:p w14:paraId="0280E709" w14:textId="77777777" w:rsidR="00A706F1" w:rsidRPr="00A706F1" w:rsidRDefault="00A706F1" w:rsidP="00BA20B3">
      <w:pPr>
        <w:rPr>
          <w:rFonts w:eastAsia="Arial" w:cs="Arial"/>
          <w:iCs/>
          <w:szCs w:val="24"/>
        </w:rPr>
      </w:pPr>
      <w:r w:rsidRPr="00A706F1">
        <w:rPr>
          <w:rFonts w:eastAsia="Calibri" w:cs="Arial"/>
          <w:szCs w:val="24"/>
        </w:rPr>
        <w:t>This protocol can be utilized for a variety of procedures and tumor types for clinical care purposes.</w:t>
      </w:r>
      <w:r w:rsidRPr="00A706F1">
        <w:rPr>
          <w:rFonts w:eastAsia="Calibri" w:cs="Arial"/>
          <w:color w:val="000000"/>
          <w:szCs w:val="24"/>
        </w:rPr>
        <w:t xml:space="preserve"> </w:t>
      </w:r>
      <w:r w:rsidRPr="00A706F1">
        <w:rPr>
          <w:rFonts w:eastAsia="Calibri" w:cs="Arial"/>
          <w:szCs w:val="24"/>
        </w:rPr>
        <w:t>For accreditation purposes</w:t>
      </w:r>
      <w:r w:rsidR="004102BC">
        <w:rPr>
          <w:rFonts w:eastAsia="Calibri" w:cs="Arial"/>
          <w:szCs w:val="24"/>
        </w:rPr>
        <w:t>,</w:t>
      </w:r>
      <w:r w:rsidRPr="00A706F1">
        <w:rPr>
          <w:rFonts w:eastAsia="Calibri" w:cs="Arial"/>
          <w:szCs w:val="24"/>
        </w:rPr>
        <w:t xml:space="preserve"> only the definitive primary cancer resection specimen is required to have the core and conditional data elements reported in a synoptic format</w:t>
      </w:r>
      <w:r w:rsidRPr="00A706F1">
        <w:rPr>
          <w:rFonts w:eastAsia="Calibri" w:cs="Arial"/>
          <w:color w:val="000000"/>
          <w:szCs w:val="24"/>
        </w:rPr>
        <w:t xml:space="preserve">. </w:t>
      </w:r>
    </w:p>
    <w:p w14:paraId="262BEC82" w14:textId="77777777" w:rsidR="00A706F1" w:rsidRPr="00A706F1" w:rsidRDefault="00A706F1" w:rsidP="00BA20B3">
      <w:pPr>
        <w:numPr>
          <w:ilvl w:val="0"/>
          <w:numId w:val="1"/>
        </w:numPr>
        <w:tabs>
          <w:tab w:val="left" w:pos="540"/>
        </w:tabs>
        <w:ind w:left="540"/>
        <w:contextualSpacing/>
        <w:rPr>
          <w:rFonts w:eastAsia="Arial" w:cs="Arial"/>
          <w:color w:val="000000"/>
          <w:szCs w:val="24"/>
        </w:rPr>
      </w:pPr>
      <w:r w:rsidRPr="00A706F1">
        <w:rPr>
          <w:rFonts w:eastAsia="Arial" w:cs="Arial"/>
          <w:color w:val="000000"/>
          <w:szCs w:val="24"/>
          <w:u w:val="single"/>
        </w:rPr>
        <w:t>Core data elements</w:t>
      </w:r>
      <w:r w:rsidRPr="00A706F1">
        <w:rPr>
          <w:rFonts w:eastAsia="Arial" w:cs="Arial"/>
          <w:color w:val="000000"/>
          <w:szCs w:val="24"/>
        </w:rPr>
        <w:t xml:space="preserve"> are required in reports to adequately describe appropriate malignancies. For accreditation purposes, essential data elements must be reported in all instances, even if the response is “not applicable” or “cannot be determined</w:t>
      </w:r>
      <w:r w:rsidR="00DD7C11">
        <w:rPr>
          <w:rFonts w:eastAsia="Arial" w:cs="Arial"/>
          <w:color w:val="000000"/>
          <w:szCs w:val="24"/>
        </w:rPr>
        <w:t>.</w:t>
      </w:r>
      <w:r w:rsidRPr="00A706F1">
        <w:rPr>
          <w:rFonts w:eastAsia="Arial" w:cs="Arial"/>
          <w:color w:val="000000"/>
          <w:szCs w:val="24"/>
        </w:rPr>
        <w:t>”</w:t>
      </w:r>
    </w:p>
    <w:p w14:paraId="7E1CFF75" w14:textId="77777777" w:rsidR="00A706F1" w:rsidRPr="00A706F1" w:rsidRDefault="00A706F1" w:rsidP="00BA20B3">
      <w:pPr>
        <w:numPr>
          <w:ilvl w:val="0"/>
          <w:numId w:val="1"/>
        </w:numPr>
        <w:tabs>
          <w:tab w:val="left" w:pos="540"/>
        </w:tabs>
        <w:ind w:left="540"/>
        <w:contextualSpacing/>
        <w:rPr>
          <w:rFonts w:eastAsia="Arial" w:cs="Arial"/>
          <w:color w:val="000000"/>
          <w:szCs w:val="24"/>
        </w:rPr>
      </w:pPr>
      <w:r w:rsidRPr="00A706F1">
        <w:rPr>
          <w:rFonts w:eastAsia="Arial" w:cs="Arial"/>
          <w:color w:val="000000"/>
          <w:szCs w:val="24"/>
          <w:u w:val="single"/>
        </w:rPr>
        <w:t>Conditional data elements</w:t>
      </w:r>
      <w:r w:rsidRPr="00A706F1">
        <w:rPr>
          <w:rFonts w:eastAsia="Arial" w:cs="Arial"/>
          <w:color w:val="000000"/>
          <w:szCs w:val="24"/>
        </w:rPr>
        <w:t xml:space="preserve"> are</w:t>
      </w:r>
      <w:r w:rsidRPr="00A706F1">
        <w:rPr>
          <w:szCs w:val="24"/>
        </w:rPr>
        <w:t xml:space="preserve"> only required to be reported if applicable</w:t>
      </w:r>
      <w:r w:rsidRPr="00A706F1">
        <w:rPr>
          <w:rFonts w:eastAsia="Arial" w:cs="Arial"/>
          <w:color w:val="000000"/>
          <w:szCs w:val="24"/>
        </w:rPr>
        <w:t xml:space="preserve"> as deli</w:t>
      </w:r>
      <w:r w:rsidR="00C25B95">
        <w:rPr>
          <w:rFonts w:eastAsia="Arial" w:cs="Arial"/>
          <w:color w:val="000000"/>
          <w:szCs w:val="24"/>
        </w:rPr>
        <w:t>neated in the protocol.</w:t>
      </w:r>
    </w:p>
    <w:p w14:paraId="3981203E" w14:textId="77777777" w:rsidR="00A706F1" w:rsidRPr="00A706F1" w:rsidRDefault="00A706F1" w:rsidP="00BA20B3">
      <w:pPr>
        <w:numPr>
          <w:ilvl w:val="0"/>
          <w:numId w:val="1"/>
        </w:numPr>
        <w:tabs>
          <w:tab w:val="left" w:pos="540"/>
        </w:tabs>
        <w:ind w:left="540"/>
        <w:rPr>
          <w:rFonts w:eastAsia="Arial" w:cs="Arial"/>
          <w:color w:val="000000"/>
          <w:szCs w:val="24"/>
        </w:rPr>
      </w:pPr>
      <w:r w:rsidRPr="00A706F1">
        <w:rPr>
          <w:rFonts w:eastAsia="Arial" w:cs="Arial"/>
          <w:color w:val="000000"/>
          <w:szCs w:val="24"/>
          <w:u w:val="single"/>
        </w:rPr>
        <w:t>Optional data elements</w:t>
      </w:r>
      <w:r w:rsidRPr="00A706F1">
        <w:rPr>
          <w:rFonts w:eastAsia="Arial" w:cs="Arial"/>
          <w:color w:val="000000"/>
          <w:szCs w:val="24"/>
        </w:rPr>
        <w:t>, are identified with “+</w:t>
      </w:r>
      <w:proofErr w:type="gramStart"/>
      <w:r w:rsidRPr="00A706F1">
        <w:rPr>
          <w:rFonts w:eastAsia="Arial" w:cs="Arial"/>
          <w:color w:val="000000"/>
          <w:szCs w:val="24"/>
        </w:rPr>
        <w:t>”  and</w:t>
      </w:r>
      <w:proofErr w:type="gramEnd"/>
      <w:r w:rsidRPr="00A706F1">
        <w:rPr>
          <w:rFonts w:eastAsia="Arial" w:cs="Arial"/>
          <w:color w:val="000000"/>
          <w:szCs w:val="24"/>
        </w:rPr>
        <w:t xml:space="preserve"> although not required for CAP accreditation purposes, may be considered for reporting as determined by local practice standards</w:t>
      </w:r>
    </w:p>
    <w:p w14:paraId="29BEC45D" w14:textId="77777777" w:rsidR="00A706F1" w:rsidRDefault="00A706F1" w:rsidP="00BA20B3">
      <w:pPr>
        <w:rPr>
          <w:rFonts w:eastAsia="Calibri" w:cs="Arial"/>
          <w:color w:val="000000"/>
          <w:szCs w:val="24"/>
        </w:rPr>
      </w:pPr>
      <w:r w:rsidRPr="00A706F1">
        <w:rPr>
          <w:rFonts w:eastAsia="Calibri" w:cs="Arial"/>
          <w:color w:val="000000"/>
          <w:szCs w:val="24"/>
        </w:rPr>
        <w:t>The use of this protocol is not required for recurrent tumors or for metastatic tumors that are resected at a different time than the primary tumor. Use of this protocol is also not required for pathology reviews performed at a second institution (i.e. secondary consultation, second opinion, or review of outside case at second institution).</w:t>
      </w:r>
    </w:p>
    <w:p w14:paraId="167FF576" w14:textId="77777777" w:rsidR="00E03385" w:rsidRDefault="00E03385" w:rsidP="00BA20B3">
      <w:pPr>
        <w:rPr>
          <w:rFonts w:eastAsia="Calibri" w:cs="Arial"/>
          <w:color w:val="000000"/>
          <w:szCs w:val="24"/>
        </w:rPr>
      </w:pPr>
    </w:p>
    <w:p w14:paraId="45F862E5" w14:textId="77777777" w:rsidR="00E03385" w:rsidRPr="00E03385" w:rsidRDefault="00E03385" w:rsidP="00BA20B3">
      <w:pPr>
        <w:rPr>
          <w:rFonts w:cs="Arial"/>
          <w:b/>
          <w:bCs/>
          <w:kern w:val="24"/>
        </w:rPr>
      </w:pPr>
      <w:r w:rsidRPr="00E03385">
        <w:rPr>
          <w:rFonts w:cs="Arial"/>
          <w:b/>
          <w:bCs/>
          <w:kern w:val="24"/>
        </w:rPr>
        <w:t>Synoptic Reporting</w:t>
      </w:r>
    </w:p>
    <w:p w14:paraId="64F6B96A" w14:textId="77777777" w:rsidR="00E03385" w:rsidRPr="00E03385" w:rsidRDefault="00E03385" w:rsidP="00BA20B3">
      <w:pPr>
        <w:rPr>
          <w:rFonts w:cs="Arial"/>
          <w:kern w:val="24"/>
        </w:rPr>
      </w:pPr>
      <w:r w:rsidRPr="00E03385">
        <w:rPr>
          <w:rFonts w:cs="Arial"/>
          <w:kern w:val="24"/>
        </w:rPr>
        <w:t>All core and conditionally required data elements outlined on the surgical case summary from this cancer protocol must be displayed in synoptic report format. Synoptic format is defined as:</w:t>
      </w:r>
    </w:p>
    <w:p w14:paraId="6834099F" w14:textId="77777777" w:rsidR="00E03385" w:rsidRPr="00E03385" w:rsidRDefault="00E03385" w:rsidP="00BA20B3">
      <w:pPr>
        <w:numPr>
          <w:ilvl w:val="0"/>
          <w:numId w:val="1"/>
        </w:numPr>
        <w:tabs>
          <w:tab w:val="left" w:pos="540"/>
        </w:tabs>
        <w:ind w:left="540"/>
        <w:contextualSpacing/>
        <w:rPr>
          <w:rFonts w:eastAsia="Arial" w:cs="Arial"/>
          <w:color w:val="000000"/>
          <w:kern w:val="24"/>
        </w:rPr>
      </w:pPr>
      <w:r w:rsidRPr="00E03385">
        <w:rPr>
          <w:rFonts w:eastAsia="Arial" w:cs="Arial"/>
          <w:color w:val="000000"/>
          <w:kern w:val="24"/>
        </w:rPr>
        <w:t>Data element: followed by its answer (response), outline format without the paired "Data element: Response" format is NOT considered synoptic.</w:t>
      </w:r>
    </w:p>
    <w:p w14:paraId="2F620B1B" w14:textId="6302DC9E" w:rsidR="00E03385" w:rsidRPr="00E03385" w:rsidRDefault="00E03385" w:rsidP="00BA20B3">
      <w:pPr>
        <w:numPr>
          <w:ilvl w:val="0"/>
          <w:numId w:val="1"/>
        </w:numPr>
        <w:tabs>
          <w:tab w:val="left" w:pos="540"/>
        </w:tabs>
        <w:ind w:left="540"/>
        <w:contextualSpacing/>
        <w:rPr>
          <w:rFonts w:eastAsia="Arial" w:cs="Arial"/>
          <w:color w:val="000000"/>
          <w:kern w:val="24"/>
        </w:rPr>
      </w:pPr>
      <w:r w:rsidRPr="00E03385">
        <w:rPr>
          <w:rFonts w:eastAsia="Arial" w:cs="Arial"/>
          <w:color w:val="000000"/>
          <w:kern w:val="24"/>
        </w:rPr>
        <w:t xml:space="preserve">The data element </w:t>
      </w:r>
      <w:r w:rsidR="00D12E77">
        <w:rPr>
          <w:rFonts w:eastAsia="Arial" w:cs="Arial"/>
          <w:color w:val="000000"/>
          <w:kern w:val="24"/>
        </w:rPr>
        <w:t>should</w:t>
      </w:r>
      <w:r w:rsidR="00D12E77" w:rsidRPr="00E03385">
        <w:rPr>
          <w:rFonts w:eastAsia="Arial" w:cs="Arial"/>
          <w:color w:val="000000"/>
          <w:kern w:val="24"/>
        </w:rPr>
        <w:t xml:space="preserve"> </w:t>
      </w:r>
      <w:r w:rsidRPr="00E03385">
        <w:rPr>
          <w:rFonts w:eastAsia="Arial" w:cs="Arial"/>
          <w:color w:val="000000"/>
          <w:kern w:val="24"/>
        </w:rPr>
        <w:t xml:space="preserve">be represented in the report as it is listed in the case summary. The response for any data element may be modified from those listed in the case summary, including “Cannot be determined” if appropriate. </w:t>
      </w:r>
    </w:p>
    <w:p w14:paraId="5F50C553" w14:textId="77777777" w:rsidR="00E03385" w:rsidRPr="00E03385" w:rsidRDefault="00E03385" w:rsidP="00BA20B3">
      <w:pPr>
        <w:numPr>
          <w:ilvl w:val="0"/>
          <w:numId w:val="1"/>
        </w:numPr>
        <w:tabs>
          <w:tab w:val="left" w:pos="540"/>
        </w:tabs>
        <w:ind w:left="540"/>
        <w:contextualSpacing/>
        <w:rPr>
          <w:rFonts w:eastAsia="Arial" w:cs="Arial"/>
          <w:color w:val="000000"/>
          <w:kern w:val="24"/>
        </w:rPr>
      </w:pPr>
      <w:r w:rsidRPr="00E03385">
        <w:rPr>
          <w:rFonts w:eastAsia="Arial" w:cs="Arial"/>
          <w:color w:val="000000"/>
          <w:kern w:val="24"/>
        </w:rPr>
        <w:t xml:space="preserve">Each diagnostic parameter pair (Data element: Response) is listed on a separate line or in a tabular format to achieve visual separation. The following exceptions </w:t>
      </w:r>
      <w:proofErr w:type="gramStart"/>
      <w:r w:rsidRPr="00E03385">
        <w:rPr>
          <w:rFonts w:eastAsia="Arial" w:cs="Arial"/>
          <w:color w:val="000000"/>
          <w:kern w:val="24"/>
        </w:rPr>
        <w:t>are allowed to</w:t>
      </w:r>
      <w:proofErr w:type="gramEnd"/>
      <w:r w:rsidRPr="00E03385">
        <w:rPr>
          <w:rFonts w:eastAsia="Arial" w:cs="Arial"/>
          <w:color w:val="000000"/>
          <w:kern w:val="24"/>
        </w:rPr>
        <w:t xml:space="preserve"> be listed on one line:</w:t>
      </w:r>
    </w:p>
    <w:p w14:paraId="38AEFC09" w14:textId="77777777" w:rsidR="00E03385" w:rsidRPr="00E03385" w:rsidRDefault="00E03385" w:rsidP="00BA20B3">
      <w:pPr>
        <w:numPr>
          <w:ilvl w:val="1"/>
          <w:numId w:val="7"/>
        </w:numPr>
        <w:tabs>
          <w:tab w:val="left" w:pos="540"/>
        </w:tabs>
        <w:contextualSpacing/>
        <w:rPr>
          <w:rFonts w:eastAsia="Arial" w:cs="Arial"/>
          <w:color w:val="000000"/>
          <w:kern w:val="24"/>
        </w:rPr>
      </w:pPr>
      <w:r w:rsidRPr="00E03385">
        <w:rPr>
          <w:rFonts w:eastAsia="Arial" w:cs="Arial"/>
          <w:color w:val="000000"/>
          <w:kern w:val="24"/>
        </w:rPr>
        <w:t>Anatomic site or specimen, laterality, and procedure</w:t>
      </w:r>
    </w:p>
    <w:p w14:paraId="2C07BAEA" w14:textId="77777777" w:rsidR="00E03385" w:rsidRPr="00E03385" w:rsidRDefault="00E03385" w:rsidP="00BA20B3">
      <w:pPr>
        <w:numPr>
          <w:ilvl w:val="1"/>
          <w:numId w:val="7"/>
        </w:numPr>
        <w:tabs>
          <w:tab w:val="left" w:pos="540"/>
        </w:tabs>
        <w:contextualSpacing/>
        <w:rPr>
          <w:rFonts w:eastAsia="Arial" w:cs="Arial"/>
          <w:color w:val="000000"/>
          <w:kern w:val="24"/>
        </w:rPr>
      </w:pPr>
      <w:r w:rsidRPr="00E03385">
        <w:rPr>
          <w:rFonts w:eastAsia="Arial" w:cs="Arial"/>
          <w:color w:val="000000"/>
          <w:kern w:val="24"/>
        </w:rPr>
        <w:t>Pathologic Stage Classification (</w:t>
      </w:r>
      <w:proofErr w:type="spellStart"/>
      <w:r w:rsidRPr="00E03385">
        <w:rPr>
          <w:rFonts w:eastAsia="Arial" w:cs="Arial"/>
          <w:color w:val="000000"/>
          <w:kern w:val="24"/>
        </w:rPr>
        <w:t>pTNM</w:t>
      </w:r>
      <w:proofErr w:type="spellEnd"/>
      <w:r w:rsidRPr="00E03385">
        <w:rPr>
          <w:rFonts w:eastAsia="Arial" w:cs="Arial"/>
          <w:color w:val="000000"/>
          <w:kern w:val="24"/>
        </w:rPr>
        <w:t>) elements</w:t>
      </w:r>
    </w:p>
    <w:p w14:paraId="3F9A6E16" w14:textId="77777777" w:rsidR="00E03385" w:rsidRPr="00E03385" w:rsidRDefault="00E03385" w:rsidP="00BA20B3">
      <w:pPr>
        <w:numPr>
          <w:ilvl w:val="1"/>
          <w:numId w:val="7"/>
        </w:numPr>
        <w:tabs>
          <w:tab w:val="left" w:pos="540"/>
        </w:tabs>
        <w:contextualSpacing/>
        <w:rPr>
          <w:rFonts w:eastAsia="Arial" w:cs="Arial"/>
          <w:color w:val="000000"/>
          <w:kern w:val="24"/>
        </w:rPr>
      </w:pPr>
      <w:r w:rsidRPr="00E03385">
        <w:rPr>
          <w:rFonts w:eastAsia="Arial" w:cs="Arial"/>
          <w:color w:val="000000"/>
          <w:kern w:val="24"/>
        </w:rPr>
        <w:t xml:space="preserve">Negative margins, </w:t>
      </w:r>
      <w:proofErr w:type="gramStart"/>
      <w:r w:rsidRPr="00E03385">
        <w:rPr>
          <w:rFonts w:eastAsia="Arial" w:cs="Arial"/>
          <w:color w:val="000000"/>
          <w:kern w:val="24"/>
        </w:rPr>
        <w:t>as long as</w:t>
      </w:r>
      <w:proofErr w:type="gramEnd"/>
      <w:r w:rsidRPr="00E03385">
        <w:rPr>
          <w:rFonts w:eastAsia="Arial" w:cs="Arial"/>
          <w:color w:val="000000"/>
          <w:kern w:val="24"/>
        </w:rPr>
        <w:t xml:space="preserve"> all negative margins are specifically enumerated where applicable</w:t>
      </w:r>
    </w:p>
    <w:p w14:paraId="227E1BFC" w14:textId="77777777" w:rsidR="00E03385" w:rsidRPr="00E03385" w:rsidRDefault="00E03385" w:rsidP="00BA20B3">
      <w:pPr>
        <w:numPr>
          <w:ilvl w:val="0"/>
          <w:numId w:val="1"/>
        </w:numPr>
        <w:tabs>
          <w:tab w:val="left" w:pos="540"/>
        </w:tabs>
        <w:ind w:left="540"/>
        <w:contextualSpacing/>
        <w:rPr>
          <w:rFonts w:eastAsia="Arial" w:cs="Arial"/>
          <w:color w:val="000000"/>
          <w:kern w:val="24"/>
        </w:rPr>
      </w:pPr>
      <w:r w:rsidRPr="00E03385">
        <w:rPr>
          <w:rFonts w:eastAsia="Arial" w:cs="Arial"/>
          <w:color w:val="000000"/>
          <w:kern w:val="24"/>
        </w:rPr>
        <w:t>The synoptic portion of the report can appear in the diagnosis section of the pathology report, at the end of the report or in a separate section, but all Data element: Responses must be listed together in one location</w:t>
      </w:r>
    </w:p>
    <w:p w14:paraId="5B044BCA" w14:textId="77777777" w:rsidR="00E03385" w:rsidRPr="00E03385" w:rsidRDefault="00E03385" w:rsidP="00BA20B3">
      <w:pPr>
        <w:rPr>
          <w:rFonts w:eastAsia="Arial" w:cs="Arial"/>
          <w:iCs/>
        </w:rPr>
      </w:pPr>
      <w:r w:rsidRPr="00E03385">
        <w:rPr>
          <w:rFonts w:eastAsia="Arial" w:cs="Arial"/>
        </w:rPr>
        <w:t xml:space="preserve">Organizations and pathologists may choose to </w:t>
      </w:r>
      <w:r w:rsidRPr="00E03385">
        <w:rPr>
          <w:rFonts w:eastAsia="Arial" w:cs="Arial"/>
          <w:iCs/>
        </w:rPr>
        <w:t>list the required elements in any order</w:t>
      </w:r>
      <w:r w:rsidRPr="00E03385">
        <w:rPr>
          <w:rFonts w:eastAsia="Arial" w:cs="Arial"/>
        </w:rPr>
        <w:t xml:space="preserve">, </w:t>
      </w:r>
      <w:r w:rsidRPr="00E03385">
        <w:rPr>
          <w:rFonts w:eastAsia="Arial" w:cs="Arial"/>
          <w:iCs/>
        </w:rPr>
        <w:t>use additional methods in order to enhance or achieve visual separation</w:t>
      </w:r>
      <w:r w:rsidRPr="00E03385">
        <w:rPr>
          <w:rFonts w:eastAsia="Arial" w:cs="Arial"/>
        </w:rPr>
        <w:t xml:space="preserve">, or </w:t>
      </w:r>
      <w:r w:rsidRPr="00E03385">
        <w:rPr>
          <w:rFonts w:eastAsia="Arial" w:cs="Arial"/>
          <w:iCs/>
        </w:rPr>
        <w:t>add optional items within the synoptic report</w:t>
      </w:r>
      <w:r w:rsidRPr="00E03385">
        <w:rPr>
          <w:rFonts w:eastAsia="Arial" w:cs="Arial"/>
        </w:rPr>
        <w:t xml:space="preserve">. The report may </w:t>
      </w:r>
      <w:r w:rsidRPr="00E03385">
        <w:rPr>
          <w:rFonts w:eastAsia="Arial" w:cs="Arial"/>
          <w:iCs/>
        </w:rPr>
        <w:t>have required elements in a summary format elsewhere in the report IN ADDITION TO but not as replacement for the synoptic report i.e. all required elements must be in the synoptic portion of the report in the format defined above.</w:t>
      </w:r>
    </w:p>
    <w:p w14:paraId="4EDC7BE5" w14:textId="77777777" w:rsidR="00A706F1" w:rsidRPr="00A706F1" w:rsidRDefault="00A706F1" w:rsidP="00A706F1">
      <w:pPr>
        <w:tabs>
          <w:tab w:val="center" w:pos="5040"/>
        </w:tabs>
        <w:rPr>
          <w:rFonts w:eastAsia="Calibri" w:cs="Arial"/>
          <w:b/>
          <w:kern w:val="18"/>
        </w:rPr>
      </w:pPr>
    </w:p>
    <w:p w14:paraId="24C7D490" w14:textId="77777777" w:rsidR="00DD7C11" w:rsidRPr="00A706F1" w:rsidRDefault="00DD7C11" w:rsidP="00A706F1">
      <w:pPr>
        <w:tabs>
          <w:tab w:val="center" w:pos="5040"/>
        </w:tabs>
        <w:rPr>
          <w:rFonts w:eastAsia="Calibri" w:cs="Arial"/>
          <w:b/>
          <w:kern w:val="18"/>
        </w:rPr>
      </w:pPr>
    </w:p>
    <w:p w14:paraId="213262F1" w14:textId="2BD32945" w:rsidR="001E70D4" w:rsidRPr="001E70D4" w:rsidRDefault="00E03385" w:rsidP="001E70D4">
      <w:pPr>
        <w:pStyle w:val="Head2"/>
        <w:rPr>
          <w:rFonts w:cs="Arial"/>
          <w:szCs w:val="26"/>
        </w:rPr>
      </w:pPr>
      <w:r>
        <w:rPr>
          <w:rFonts w:cs="Arial"/>
          <w:szCs w:val="26"/>
        </w:rPr>
        <w:t>Summary of Changes</w:t>
      </w:r>
    </w:p>
    <w:p w14:paraId="250A8E18" w14:textId="36495532" w:rsidR="004143E1" w:rsidRDefault="004143E1" w:rsidP="004143E1">
      <w:pPr>
        <w:rPr>
          <w:rFonts w:cs="Arial"/>
        </w:rPr>
      </w:pPr>
      <w:r>
        <w:rPr>
          <w:rFonts w:cs="Arial"/>
        </w:rPr>
        <w:t>4.</w:t>
      </w:r>
      <w:r w:rsidR="009A4BFE">
        <w:rPr>
          <w:rFonts w:cs="Arial"/>
        </w:rPr>
        <w:t>0</w:t>
      </w:r>
      <w:r>
        <w:rPr>
          <w:rFonts w:cs="Arial"/>
        </w:rPr>
        <w:t>.</w:t>
      </w:r>
      <w:r w:rsidR="009A4BFE">
        <w:rPr>
          <w:rFonts w:cs="Arial"/>
        </w:rPr>
        <w:t>1</w:t>
      </w:r>
      <w:r>
        <w:rPr>
          <w:rFonts w:cs="Arial"/>
        </w:rPr>
        <w:t>.0</w:t>
      </w:r>
    </w:p>
    <w:p w14:paraId="20FA00B1" w14:textId="2320C214" w:rsidR="004143E1" w:rsidRDefault="004143E1" w:rsidP="004143E1">
      <w:pPr>
        <w:rPr>
          <w:rFonts w:cs="Arial"/>
        </w:rPr>
      </w:pPr>
      <w:r>
        <w:rPr>
          <w:rFonts w:cs="Arial"/>
        </w:rPr>
        <w:t>Biopsy and resection procedures separated into individual protocols</w:t>
      </w:r>
    </w:p>
    <w:p w14:paraId="3AC2446B" w14:textId="2205C127" w:rsidR="001823B4" w:rsidRDefault="001823B4" w:rsidP="004143E1">
      <w:pPr>
        <w:rPr>
          <w:rFonts w:cs="Arial"/>
        </w:rPr>
      </w:pPr>
      <w:r>
        <w:rPr>
          <w:rFonts w:cs="Arial"/>
        </w:rPr>
        <w:t>Changed reference from sarcoma to tumor in Margins</w:t>
      </w:r>
    </w:p>
    <w:p w14:paraId="6A8347EC" w14:textId="77777777" w:rsidR="00B206A9" w:rsidRDefault="00B206A9" w:rsidP="00B206A9">
      <w:pPr>
        <w:pStyle w:val="Heading2"/>
        <w:tabs>
          <w:tab w:val="left" w:pos="7710"/>
        </w:tabs>
        <w:rPr>
          <w:rFonts w:eastAsia="MS Mincho" w:cs="Arial"/>
          <w:b w:val="0"/>
          <w:bCs/>
        </w:rPr>
      </w:pPr>
      <w:r>
        <w:rPr>
          <w:rFonts w:cs="Arial"/>
          <w:b w:val="0"/>
          <w:bCs/>
        </w:rPr>
        <w:t xml:space="preserve">Modified list of </w:t>
      </w:r>
      <w:r>
        <w:rPr>
          <w:rFonts w:eastAsia="MS Mincho" w:cs="Arial"/>
          <w:b w:val="0"/>
          <w:bCs/>
        </w:rPr>
        <w:t>WHO Classification of Malignant Bone Tumors to remove non-malignant types</w:t>
      </w:r>
    </w:p>
    <w:p w14:paraId="51CFAD83" w14:textId="77777777" w:rsidR="00B206A9" w:rsidRDefault="00B206A9" w:rsidP="004143E1">
      <w:pPr>
        <w:rPr>
          <w:rFonts w:cs="Arial"/>
        </w:rPr>
      </w:pPr>
      <w:bookmarkStart w:id="0" w:name="_GoBack"/>
      <w:bookmarkEnd w:id="0"/>
    </w:p>
    <w:p w14:paraId="31F95534" w14:textId="77777777" w:rsidR="004143E1" w:rsidRPr="00806AE0" w:rsidRDefault="004143E1" w:rsidP="004143E1">
      <w:pPr>
        <w:rPr>
          <w:rFonts w:cs="Arial"/>
        </w:rPr>
      </w:pPr>
    </w:p>
    <w:p w14:paraId="454669A2" w14:textId="77777777" w:rsidR="00D410D4" w:rsidRPr="00845FBC" w:rsidRDefault="00D410D4" w:rsidP="00DA1119">
      <w:pPr>
        <w:rPr>
          <w:rFonts w:cs="Arial"/>
        </w:rPr>
      </w:pPr>
    </w:p>
    <w:p w14:paraId="7E718B4C" w14:textId="77777777" w:rsidR="00DA1119" w:rsidRPr="00845FBC" w:rsidRDefault="00DA1119" w:rsidP="00B336E3">
      <w:pPr>
        <w:rPr>
          <w:rFonts w:cs="Arial"/>
        </w:rPr>
      </w:pPr>
    </w:p>
    <w:p w14:paraId="64F9D6E5" w14:textId="77777777" w:rsidR="00B336E3" w:rsidRPr="00845FBC" w:rsidRDefault="00B336E3" w:rsidP="00B336E3">
      <w:pPr>
        <w:pStyle w:val="Head"/>
        <w:rPr>
          <w:rFonts w:cs="Arial"/>
        </w:rPr>
        <w:sectPr w:rsidR="00B336E3" w:rsidRPr="00845FBC" w:rsidSect="0072709F">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080" w:bottom="936" w:left="1080" w:header="720" w:footer="936" w:gutter="0"/>
          <w:cols w:space="720"/>
          <w:titlePg/>
        </w:sectPr>
      </w:pPr>
    </w:p>
    <w:p w14:paraId="35C99232" w14:textId="1D748F46" w:rsidR="00B336E3" w:rsidRPr="00845FBC" w:rsidRDefault="00B336E3">
      <w:pPr>
        <w:pStyle w:val="Head2"/>
        <w:rPr>
          <w:rFonts w:cs="Arial"/>
        </w:rPr>
      </w:pPr>
      <w:r w:rsidRPr="00845FBC">
        <w:rPr>
          <w:rFonts w:cs="Arial"/>
        </w:rPr>
        <w:lastRenderedPageBreak/>
        <w:t>Surgical Pathology</w:t>
      </w:r>
      <w:r w:rsidR="00684734" w:rsidRPr="00845FBC">
        <w:rPr>
          <w:rFonts w:cs="Arial"/>
        </w:rPr>
        <w:t xml:space="preserve"> Cancer Case Summary</w:t>
      </w:r>
    </w:p>
    <w:p w14:paraId="10FA48C1" w14:textId="77777777" w:rsidR="00B336E3" w:rsidRPr="00845FBC" w:rsidRDefault="00B336E3" w:rsidP="00B50ACD">
      <w:pPr>
        <w:rPr>
          <w:rFonts w:cs="Arial"/>
        </w:rPr>
      </w:pPr>
    </w:p>
    <w:p w14:paraId="6CC5DD9E" w14:textId="32C5A231" w:rsidR="00B336E3" w:rsidRPr="00845FBC" w:rsidRDefault="00611A0D" w:rsidP="00B50ACD">
      <w:pPr>
        <w:rPr>
          <w:rFonts w:cs="Arial"/>
        </w:rPr>
      </w:pPr>
      <w:r>
        <w:rPr>
          <w:rFonts w:cs="Arial"/>
        </w:rPr>
        <w:t>Protocol</w:t>
      </w:r>
      <w:r w:rsidR="00B336E3" w:rsidRPr="00845FBC">
        <w:rPr>
          <w:rFonts w:cs="Arial"/>
        </w:rPr>
        <w:t xml:space="preserve"> posting date: </w:t>
      </w:r>
      <w:r w:rsidR="00280F68" w:rsidRPr="00845FBC">
        <w:rPr>
          <w:rFonts w:cs="Arial"/>
        </w:rPr>
        <w:t xml:space="preserve"> </w:t>
      </w:r>
      <w:r w:rsidR="00B50ACD">
        <w:rPr>
          <w:rFonts w:cs="Arial"/>
        </w:rPr>
        <w:t>February 2020</w:t>
      </w:r>
    </w:p>
    <w:p w14:paraId="7DD3D781" w14:textId="77777777" w:rsidR="001718B6" w:rsidRPr="00845FBC" w:rsidRDefault="001718B6" w:rsidP="00B50ACD">
      <w:pPr>
        <w:rPr>
          <w:rFonts w:cs="Arial"/>
        </w:rPr>
      </w:pPr>
    </w:p>
    <w:p w14:paraId="42FF594A" w14:textId="77777777" w:rsidR="00B336E3" w:rsidRPr="00845FBC" w:rsidRDefault="00B336E3" w:rsidP="00B50ACD">
      <w:pPr>
        <w:pStyle w:val="Heading1"/>
        <w:rPr>
          <w:rFonts w:cs="Arial"/>
        </w:rPr>
      </w:pPr>
      <w:r w:rsidRPr="00845FBC">
        <w:rPr>
          <w:rFonts w:cs="Arial"/>
        </w:rPr>
        <w:t>BONE: Resection</w:t>
      </w:r>
    </w:p>
    <w:p w14:paraId="5911353D" w14:textId="77777777" w:rsidR="00A73113" w:rsidRPr="00845FBC" w:rsidRDefault="00A73113" w:rsidP="00B50ACD">
      <w:pPr>
        <w:rPr>
          <w:rFonts w:cs="Arial"/>
          <w:kern w:val="20"/>
        </w:rPr>
      </w:pPr>
    </w:p>
    <w:p w14:paraId="04343856" w14:textId="77777777" w:rsidR="00B336E3" w:rsidRPr="00845FBC" w:rsidRDefault="00B336E3" w:rsidP="00B50ACD">
      <w:pPr>
        <w:pStyle w:val="Heading2"/>
        <w:rPr>
          <w:rFonts w:cs="Arial"/>
          <w:kern w:val="20"/>
        </w:rPr>
      </w:pPr>
      <w:r w:rsidRPr="00845FBC">
        <w:rPr>
          <w:rFonts w:cs="Arial"/>
          <w:kern w:val="20"/>
        </w:rPr>
        <w:t>Select a single response unless otherwise indicated.</w:t>
      </w:r>
    </w:p>
    <w:p w14:paraId="6261E02E" w14:textId="77777777" w:rsidR="00B336E3" w:rsidRPr="00845FBC" w:rsidRDefault="00B336E3" w:rsidP="00B50ACD">
      <w:pPr>
        <w:rPr>
          <w:rFonts w:cs="Arial"/>
        </w:rPr>
      </w:pPr>
    </w:p>
    <w:p w14:paraId="5FE2339A" w14:textId="62EC0BCA" w:rsidR="00B336E3" w:rsidRPr="00845FBC" w:rsidRDefault="00B336E3" w:rsidP="00B50ACD">
      <w:pPr>
        <w:pStyle w:val="Heading2"/>
        <w:rPr>
          <w:rFonts w:cs="Arial"/>
          <w:color w:val="000000"/>
        </w:rPr>
      </w:pPr>
      <w:r w:rsidRPr="00845FBC">
        <w:rPr>
          <w:rFonts w:cs="Arial"/>
          <w:color w:val="000000"/>
        </w:rPr>
        <w:t xml:space="preserve">Procedure (Note </w:t>
      </w:r>
      <w:r w:rsidR="00743467">
        <w:rPr>
          <w:rFonts w:cs="Arial"/>
          <w:color w:val="000000"/>
        </w:rPr>
        <w:t>A</w:t>
      </w:r>
      <w:r w:rsidRPr="00845FBC">
        <w:rPr>
          <w:rFonts w:cs="Arial"/>
          <w:color w:val="000000"/>
        </w:rPr>
        <w:t>)</w:t>
      </w:r>
    </w:p>
    <w:p w14:paraId="03E2948F" w14:textId="77777777" w:rsidR="00B336E3" w:rsidRPr="00845FBC" w:rsidRDefault="00B336E3" w:rsidP="00B50ACD">
      <w:pPr>
        <w:rPr>
          <w:rFonts w:cs="Arial"/>
        </w:rPr>
      </w:pPr>
      <w:r w:rsidRPr="00845FBC">
        <w:rPr>
          <w:rFonts w:cs="Arial"/>
        </w:rPr>
        <w:t>___ Intralesional resection</w:t>
      </w:r>
    </w:p>
    <w:p w14:paraId="2669DDDC" w14:textId="77777777" w:rsidR="00B336E3" w:rsidRPr="00845FBC" w:rsidRDefault="00B336E3" w:rsidP="00B50ACD">
      <w:pPr>
        <w:rPr>
          <w:rFonts w:cs="Arial"/>
        </w:rPr>
      </w:pPr>
      <w:r w:rsidRPr="00845FBC">
        <w:rPr>
          <w:rFonts w:cs="Arial"/>
        </w:rPr>
        <w:t>___ Marginal resection</w:t>
      </w:r>
    </w:p>
    <w:p w14:paraId="46710555" w14:textId="77777777" w:rsidR="00B336E3" w:rsidRPr="00845FBC" w:rsidRDefault="00B336E3" w:rsidP="00B50ACD">
      <w:pPr>
        <w:rPr>
          <w:rFonts w:cs="Arial"/>
        </w:rPr>
      </w:pPr>
      <w:r w:rsidRPr="00845FBC">
        <w:rPr>
          <w:rFonts w:cs="Arial"/>
        </w:rPr>
        <w:t>___ Segmental/wide resection</w:t>
      </w:r>
    </w:p>
    <w:p w14:paraId="78E6617F" w14:textId="77777777" w:rsidR="00B336E3" w:rsidRPr="00845FBC" w:rsidRDefault="00B336E3" w:rsidP="00B50ACD">
      <w:pPr>
        <w:rPr>
          <w:rFonts w:cs="Arial"/>
        </w:rPr>
      </w:pPr>
      <w:r w:rsidRPr="00845FBC">
        <w:rPr>
          <w:rFonts w:cs="Arial"/>
        </w:rPr>
        <w:t>___ Radical resection</w:t>
      </w:r>
    </w:p>
    <w:p w14:paraId="39373A40" w14:textId="77777777" w:rsidR="00B336E3" w:rsidRPr="00845FBC" w:rsidRDefault="00B336E3" w:rsidP="00B50ACD">
      <w:pPr>
        <w:rPr>
          <w:rFonts w:cs="Arial"/>
        </w:rPr>
      </w:pPr>
      <w:r w:rsidRPr="00845FBC">
        <w:rPr>
          <w:rFonts w:cs="Arial"/>
        </w:rPr>
        <w:t xml:space="preserve">___ Other (specify): </w:t>
      </w:r>
      <w:r w:rsidRPr="00845FBC">
        <w:rPr>
          <w:rFonts w:cs="Arial"/>
          <w:kern w:val="20"/>
        </w:rPr>
        <w:t>____________________________</w:t>
      </w:r>
    </w:p>
    <w:p w14:paraId="16C27F7F" w14:textId="77777777" w:rsidR="00B336E3" w:rsidRPr="00845FBC" w:rsidRDefault="00B336E3" w:rsidP="00B50ACD">
      <w:pPr>
        <w:rPr>
          <w:rFonts w:cs="Arial"/>
        </w:rPr>
      </w:pPr>
      <w:r w:rsidRPr="00845FBC">
        <w:rPr>
          <w:rFonts w:cs="Arial"/>
        </w:rPr>
        <w:t>___ Not specified</w:t>
      </w:r>
    </w:p>
    <w:p w14:paraId="3EA1E13C" w14:textId="77777777" w:rsidR="00B336E3" w:rsidRPr="00845FBC" w:rsidRDefault="00B336E3" w:rsidP="00B50ACD">
      <w:pPr>
        <w:rPr>
          <w:rFonts w:cs="Arial"/>
        </w:rPr>
      </w:pPr>
    </w:p>
    <w:p w14:paraId="634A9A2E" w14:textId="148D23FF" w:rsidR="00181179" w:rsidRDefault="00181179" w:rsidP="00B50ACD">
      <w:pPr>
        <w:pStyle w:val="Heading2"/>
        <w:rPr>
          <w:rFonts w:cs="Arial"/>
          <w:color w:val="000000"/>
        </w:rPr>
      </w:pPr>
      <w:r>
        <w:rPr>
          <w:rFonts w:cs="Arial"/>
          <w:color w:val="000000"/>
        </w:rPr>
        <w:t xml:space="preserve">Tumor Site </w:t>
      </w:r>
      <w:r w:rsidRPr="00845FBC">
        <w:rPr>
          <w:rFonts w:cs="Arial"/>
          <w:color w:val="000000"/>
        </w:rPr>
        <w:t xml:space="preserve">(Note </w:t>
      </w:r>
      <w:r w:rsidR="00743467">
        <w:rPr>
          <w:rFonts w:cs="Arial"/>
          <w:color w:val="000000"/>
        </w:rPr>
        <w:t>B</w:t>
      </w:r>
      <w:r w:rsidRPr="00845FBC">
        <w:rPr>
          <w:rFonts w:cs="Arial"/>
          <w:color w:val="000000"/>
        </w:rPr>
        <w:t>)</w:t>
      </w:r>
    </w:p>
    <w:p w14:paraId="4009B951" w14:textId="77777777" w:rsidR="00F52D2B" w:rsidRDefault="00E17229" w:rsidP="00B50ACD">
      <w:pPr>
        <w:rPr>
          <w:rFonts w:cs="Arial"/>
        </w:rPr>
      </w:pPr>
      <w:r>
        <w:rPr>
          <w:rFonts w:cs="Arial"/>
        </w:rPr>
        <w:t>___ Appendicular skeleton (specify bone, if known): __________________</w:t>
      </w:r>
    </w:p>
    <w:p w14:paraId="501733C3" w14:textId="77777777" w:rsidR="00E17229" w:rsidRDefault="00E17229" w:rsidP="00B50ACD">
      <w:pPr>
        <w:rPr>
          <w:rFonts w:cs="Arial"/>
        </w:rPr>
      </w:pPr>
      <w:r>
        <w:rPr>
          <w:rFonts w:cs="Arial"/>
        </w:rPr>
        <w:t>___ Spine (specify bone, if known): _______________________</w:t>
      </w:r>
      <w:r w:rsidR="000D003B">
        <w:rPr>
          <w:rFonts w:cs="Arial"/>
        </w:rPr>
        <w:t>__</w:t>
      </w:r>
    </w:p>
    <w:p w14:paraId="2529A9CA" w14:textId="77777777" w:rsidR="00E17229" w:rsidRDefault="00E17229" w:rsidP="00B50ACD">
      <w:pPr>
        <w:rPr>
          <w:rFonts w:cs="Arial"/>
        </w:rPr>
      </w:pPr>
      <w:r>
        <w:rPr>
          <w:rFonts w:cs="Arial"/>
        </w:rPr>
        <w:t>___ Pelvis (specify bone, if known): _________________________</w:t>
      </w:r>
    </w:p>
    <w:p w14:paraId="4A637E14" w14:textId="77777777" w:rsidR="00181179" w:rsidRDefault="00181179" w:rsidP="00B50ACD">
      <w:pPr>
        <w:rPr>
          <w:rFonts w:cs="Arial"/>
        </w:rPr>
      </w:pPr>
      <w:r w:rsidRPr="00845FBC">
        <w:rPr>
          <w:rFonts w:cs="Arial"/>
        </w:rPr>
        <w:t>___ Not specified</w:t>
      </w:r>
    </w:p>
    <w:p w14:paraId="65E89AFB" w14:textId="77777777" w:rsidR="00181179" w:rsidRDefault="00181179" w:rsidP="00B50ACD">
      <w:pPr>
        <w:pStyle w:val="Heading2"/>
        <w:rPr>
          <w:rFonts w:cs="Arial"/>
          <w:color w:val="000000"/>
        </w:rPr>
      </w:pPr>
    </w:p>
    <w:p w14:paraId="278E8798" w14:textId="05AA986D" w:rsidR="00B336E3" w:rsidRPr="00845FBC" w:rsidRDefault="00B336E3" w:rsidP="00B50ACD">
      <w:pPr>
        <w:pStyle w:val="Heading2"/>
        <w:rPr>
          <w:rFonts w:cs="Arial"/>
          <w:color w:val="000000"/>
        </w:rPr>
      </w:pPr>
      <w:r w:rsidRPr="00845FBC">
        <w:rPr>
          <w:rFonts w:cs="Arial"/>
          <w:color w:val="000000"/>
        </w:rPr>
        <w:t xml:space="preserve">Tumor </w:t>
      </w:r>
      <w:r w:rsidR="002E1289">
        <w:rPr>
          <w:rFonts w:cs="Arial"/>
          <w:color w:val="000000"/>
        </w:rPr>
        <w:t>Location and</w:t>
      </w:r>
      <w:r w:rsidR="00AC32AD">
        <w:rPr>
          <w:rFonts w:cs="Arial"/>
          <w:color w:val="000000"/>
        </w:rPr>
        <w:t xml:space="preserve"> </w:t>
      </w:r>
      <w:r w:rsidR="00181179">
        <w:rPr>
          <w:rFonts w:cs="Arial"/>
          <w:color w:val="000000"/>
        </w:rPr>
        <w:t>Extent</w:t>
      </w:r>
      <w:r w:rsidR="00181179" w:rsidRPr="00845FBC">
        <w:rPr>
          <w:rFonts w:cs="Arial"/>
          <w:color w:val="000000"/>
        </w:rPr>
        <w:t xml:space="preserve"> </w:t>
      </w:r>
      <w:r w:rsidRPr="00845FBC">
        <w:rPr>
          <w:rFonts w:cs="Arial"/>
          <w:color w:val="000000"/>
        </w:rPr>
        <w:t xml:space="preserve">(select all that apply) (Note </w:t>
      </w:r>
      <w:r w:rsidR="00820B30">
        <w:rPr>
          <w:rFonts w:cs="Arial"/>
          <w:color w:val="000000"/>
        </w:rPr>
        <w:t>C</w:t>
      </w:r>
      <w:r w:rsidRPr="00845FBC">
        <w:rPr>
          <w:rFonts w:cs="Arial"/>
          <w:color w:val="000000"/>
        </w:rPr>
        <w:t>)</w:t>
      </w:r>
    </w:p>
    <w:p w14:paraId="21F4A817" w14:textId="77777777" w:rsidR="00B336E3" w:rsidRPr="00845FBC" w:rsidRDefault="00B336E3" w:rsidP="00B50ACD">
      <w:pPr>
        <w:rPr>
          <w:rFonts w:cs="Arial"/>
        </w:rPr>
      </w:pPr>
      <w:r w:rsidRPr="00845FBC">
        <w:rPr>
          <w:rFonts w:cs="Arial"/>
        </w:rPr>
        <w:t>___ Epiphysis or apophysis</w:t>
      </w:r>
    </w:p>
    <w:p w14:paraId="41E133FA" w14:textId="77777777" w:rsidR="00B336E3" w:rsidRPr="00845FBC" w:rsidRDefault="00B336E3" w:rsidP="00B50ACD">
      <w:pPr>
        <w:rPr>
          <w:rFonts w:cs="Arial"/>
        </w:rPr>
      </w:pPr>
      <w:r w:rsidRPr="00845FBC">
        <w:rPr>
          <w:rFonts w:cs="Arial"/>
        </w:rPr>
        <w:t>___ Metaphysis</w:t>
      </w:r>
    </w:p>
    <w:p w14:paraId="7793CB71" w14:textId="77777777" w:rsidR="00B336E3" w:rsidRPr="00845FBC" w:rsidRDefault="00B336E3" w:rsidP="00B50ACD">
      <w:pPr>
        <w:rPr>
          <w:rFonts w:cs="Arial"/>
        </w:rPr>
      </w:pPr>
      <w:r w:rsidRPr="00845FBC">
        <w:rPr>
          <w:rFonts w:cs="Arial"/>
        </w:rPr>
        <w:t>___ Diaphysis</w:t>
      </w:r>
    </w:p>
    <w:p w14:paraId="7BF0B525" w14:textId="77777777" w:rsidR="00B336E3" w:rsidRPr="00845FBC" w:rsidRDefault="00B336E3" w:rsidP="00B50ACD">
      <w:pPr>
        <w:rPr>
          <w:rFonts w:cs="Arial"/>
        </w:rPr>
      </w:pPr>
      <w:r w:rsidRPr="00845FBC">
        <w:rPr>
          <w:rFonts w:cs="Arial"/>
        </w:rPr>
        <w:t>___ Cortical</w:t>
      </w:r>
    </w:p>
    <w:p w14:paraId="5C623976" w14:textId="77777777" w:rsidR="00B336E3" w:rsidRPr="00845FBC" w:rsidRDefault="00B336E3" w:rsidP="00B50ACD">
      <w:pPr>
        <w:rPr>
          <w:rFonts w:cs="Arial"/>
        </w:rPr>
      </w:pPr>
      <w:r w:rsidRPr="00845FBC">
        <w:rPr>
          <w:rFonts w:cs="Arial"/>
        </w:rPr>
        <w:t>___ Medullary cavity</w:t>
      </w:r>
    </w:p>
    <w:p w14:paraId="3F4348CC" w14:textId="77777777" w:rsidR="00CF4916" w:rsidRPr="00845FBC" w:rsidRDefault="00B336E3" w:rsidP="00B50ACD">
      <w:pPr>
        <w:rPr>
          <w:rFonts w:cs="Arial"/>
        </w:rPr>
      </w:pPr>
      <w:r w:rsidRPr="00845FBC">
        <w:rPr>
          <w:rFonts w:cs="Arial"/>
        </w:rPr>
        <w:t xml:space="preserve">___ Surface </w:t>
      </w:r>
    </w:p>
    <w:p w14:paraId="134C874A" w14:textId="77777777" w:rsidR="00B336E3" w:rsidRPr="00845FBC" w:rsidRDefault="00B336E3" w:rsidP="00B50ACD">
      <w:pPr>
        <w:rPr>
          <w:rFonts w:cs="Arial"/>
        </w:rPr>
      </w:pPr>
      <w:r w:rsidRPr="00845FBC">
        <w:rPr>
          <w:rFonts w:cs="Arial"/>
        </w:rPr>
        <w:t>___ Tumor involves joint</w:t>
      </w:r>
    </w:p>
    <w:p w14:paraId="79EED8CD" w14:textId="77777777" w:rsidR="00B336E3" w:rsidRPr="00845FBC" w:rsidRDefault="00B336E3" w:rsidP="00B50ACD">
      <w:pPr>
        <w:rPr>
          <w:rFonts w:cs="Arial"/>
        </w:rPr>
      </w:pPr>
      <w:r w:rsidRPr="00845FBC">
        <w:rPr>
          <w:rFonts w:cs="Arial"/>
        </w:rPr>
        <w:t xml:space="preserve">___ Tumor extension into soft tissue </w:t>
      </w:r>
    </w:p>
    <w:p w14:paraId="5B003625" w14:textId="77777777" w:rsidR="00B336E3" w:rsidRPr="00845FBC" w:rsidRDefault="00B336E3" w:rsidP="00B50ACD">
      <w:pPr>
        <w:rPr>
          <w:rFonts w:cs="Arial"/>
          <w:u w:val="single"/>
        </w:rPr>
      </w:pPr>
      <w:r w:rsidRPr="00845FBC">
        <w:rPr>
          <w:rFonts w:cs="Arial"/>
        </w:rPr>
        <w:t>___ Cannot be determined</w:t>
      </w:r>
    </w:p>
    <w:p w14:paraId="322A0514" w14:textId="77777777" w:rsidR="00B336E3" w:rsidRPr="00845FBC" w:rsidRDefault="00B336E3" w:rsidP="00B50ACD">
      <w:pPr>
        <w:rPr>
          <w:rFonts w:cs="Arial"/>
        </w:rPr>
      </w:pPr>
    </w:p>
    <w:p w14:paraId="1111AFBA" w14:textId="77777777" w:rsidR="00B336E3" w:rsidRPr="00845FBC" w:rsidRDefault="00B336E3" w:rsidP="00B50ACD">
      <w:pPr>
        <w:pStyle w:val="Heading2"/>
        <w:rPr>
          <w:rFonts w:cs="Arial"/>
        </w:rPr>
      </w:pPr>
      <w:r w:rsidRPr="00845FBC">
        <w:rPr>
          <w:rFonts w:cs="Arial"/>
        </w:rPr>
        <w:t>Tumor Size</w:t>
      </w:r>
    </w:p>
    <w:p w14:paraId="6E8F35C7" w14:textId="77777777" w:rsidR="00B336E3" w:rsidRPr="00845FBC" w:rsidRDefault="00B336E3" w:rsidP="00B50ACD">
      <w:pPr>
        <w:pStyle w:val="Footer"/>
        <w:keepNext/>
        <w:tabs>
          <w:tab w:val="clear" w:pos="4320"/>
          <w:tab w:val="clear" w:pos="8640"/>
        </w:tabs>
        <w:rPr>
          <w:rFonts w:cs="Arial"/>
        </w:rPr>
      </w:pPr>
      <w:r w:rsidRPr="00845FBC">
        <w:rPr>
          <w:rFonts w:cs="Arial"/>
        </w:rPr>
        <w:t>Greatest dimension</w:t>
      </w:r>
      <w:r w:rsidR="001718B6">
        <w:rPr>
          <w:rFonts w:cs="Arial"/>
        </w:rPr>
        <w:t xml:space="preserve"> (centimeters)</w:t>
      </w:r>
      <w:r w:rsidRPr="00845FBC">
        <w:rPr>
          <w:rFonts w:cs="Arial"/>
        </w:rPr>
        <w:t>: ___ cm</w:t>
      </w:r>
    </w:p>
    <w:p w14:paraId="070F10E0" w14:textId="77777777" w:rsidR="00B336E3" w:rsidRPr="00845FBC" w:rsidRDefault="0072709F" w:rsidP="00B50ACD">
      <w:pPr>
        <w:keepNext/>
        <w:rPr>
          <w:rFonts w:cs="Arial"/>
        </w:rPr>
      </w:pPr>
      <w:r w:rsidRPr="00845FBC">
        <w:rPr>
          <w:rFonts w:cs="Arial"/>
        </w:rPr>
        <w:t xml:space="preserve">+ </w:t>
      </w:r>
      <w:r w:rsidR="00B336E3" w:rsidRPr="00845FBC">
        <w:rPr>
          <w:rFonts w:cs="Arial"/>
        </w:rPr>
        <w:t>Additional dimensions</w:t>
      </w:r>
      <w:r w:rsidR="001718B6">
        <w:rPr>
          <w:rFonts w:cs="Arial"/>
        </w:rPr>
        <w:t xml:space="preserve"> (centimeters)</w:t>
      </w:r>
      <w:r w:rsidR="00B336E3" w:rsidRPr="00845FBC">
        <w:rPr>
          <w:rFonts w:cs="Arial"/>
        </w:rPr>
        <w:t>: ___ x ___ cm</w:t>
      </w:r>
    </w:p>
    <w:p w14:paraId="68072555" w14:textId="77777777" w:rsidR="00B336E3" w:rsidRPr="00845FBC" w:rsidRDefault="00B336E3" w:rsidP="00B50ACD">
      <w:pPr>
        <w:keepNext/>
        <w:rPr>
          <w:rFonts w:cs="Arial"/>
        </w:rPr>
      </w:pPr>
      <w:r w:rsidRPr="00845FBC">
        <w:rPr>
          <w:rFonts w:cs="Arial"/>
        </w:rPr>
        <w:t>___ Cannot be determined</w:t>
      </w:r>
    </w:p>
    <w:p w14:paraId="7530246A" w14:textId="77777777" w:rsidR="00B336E3" w:rsidRPr="00845FBC" w:rsidRDefault="00B336E3" w:rsidP="00B50ACD">
      <w:pPr>
        <w:keepNext/>
        <w:rPr>
          <w:rFonts w:cs="Arial"/>
        </w:rPr>
      </w:pPr>
      <w:r w:rsidRPr="00845FBC">
        <w:rPr>
          <w:rFonts w:cs="Arial"/>
        </w:rPr>
        <w:t>___ Multifocal tumor/discontinuous tumor at primary site (skip metastasis)</w:t>
      </w:r>
    </w:p>
    <w:p w14:paraId="52F1DDFC" w14:textId="77777777" w:rsidR="00B336E3" w:rsidRPr="00845FBC" w:rsidRDefault="00B336E3" w:rsidP="00B50ACD">
      <w:pPr>
        <w:tabs>
          <w:tab w:val="left" w:pos="360"/>
          <w:tab w:val="left" w:pos="4200"/>
          <w:tab w:val="left" w:pos="9240"/>
        </w:tabs>
        <w:rPr>
          <w:rFonts w:cs="Arial"/>
        </w:rPr>
      </w:pPr>
    </w:p>
    <w:p w14:paraId="23DDE08B" w14:textId="4F089E47" w:rsidR="00B336E3" w:rsidRPr="00845FBC" w:rsidRDefault="00B336E3" w:rsidP="00B50ACD">
      <w:pPr>
        <w:pStyle w:val="Heading2"/>
        <w:rPr>
          <w:rFonts w:cs="Arial"/>
          <w:color w:val="000000"/>
        </w:rPr>
      </w:pPr>
      <w:r w:rsidRPr="00845FBC">
        <w:rPr>
          <w:rFonts w:cs="Arial"/>
          <w:color w:val="000000"/>
        </w:rPr>
        <w:t xml:space="preserve">Histologic Type (World Health Organization [WHO] classification of </w:t>
      </w:r>
      <w:r w:rsidR="00EB61D3">
        <w:rPr>
          <w:rFonts w:cs="Arial"/>
          <w:color w:val="000000"/>
        </w:rPr>
        <w:t xml:space="preserve">malignant </w:t>
      </w:r>
      <w:r w:rsidRPr="00845FBC">
        <w:rPr>
          <w:rFonts w:cs="Arial"/>
          <w:color w:val="000000"/>
        </w:rPr>
        <w:t>bone tumors)</w:t>
      </w:r>
      <w:r w:rsidR="00684734" w:rsidRPr="00845FBC">
        <w:rPr>
          <w:rFonts w:cs="Arial"/>
          <w:color w:val="000000"/>
        </w:rPr>
        <w:t xml:space="preserve"> </w:t>
      </w:r>
      <w:r w:rsidRPr="00845FBC">
        <w:rPr>
          <w:rFonts w:cs="Arial"/>
          <w:color w:val="000000"/>
        </w:rPr>
        <w:t xml:space="preserve">(Note </w:t>
      </w:r>
      <w:r w:rsidR="00A16DE0">
        <w:rPr>
          <w:rFonts w:cs="Arial"/>
          <w:color w:val="000000"/>
        </w:rPr>
        <w:t>D</w:t>
      </w:r>
      <w:r w:rsidRPr="00845FBC">
        <w:rPr>
          <w:rFonts w:cs="Arial"/>
          <w:color w:val="000000"/>
        </w:rPr>
        <w:t>)</w:t>
      </w:r>
    </w:p>
    <w:p w14:paraId="11FBFFBA" w14:textId="77777777" w:rsidR="00B336E3" w:rsidRPr="00845FBC" w:rsidRDefault="00B336E3" w:rsidP="00B50ACD">
      <w:pPr>
        <w:rPr>
          <w:rFonts w:cs="Arial"/>
        </w:rPr>
      </w:pPr>
      <w:r w:rsidRPr="00845FBC">
        <w:rPr>
          <w:rFonts w:cs="Arial"/>
        </w:rPr>
        <w:t>Specify:</w:t>
      </w:r>
      <w:r w:rsidRPr="00845FBC">
        <w:rPr>
          <w:rFonts w:cs="Arial"/>
          <w:kern w:val="20"/>
        </w:rPr>
        <w:t xml:space="preserve"> ____________________________</w:t>
      </w:r>
    </w:p>
    <w:p w14:paraId="0B8E4423" w14:textId="77777777" w:rsidR="00B336E3" w:rsidRPr="00845FBC" w:rsidRDefault="00B336E3" w:rsidP="00B50ACD">
      <w:pPr>
        <w:rPr>
          <w:rFonts w:cs="Arial"/>
        </w:rPr>
      </w:pPr>
      <w:r w:rsidRPr="00845FBC">
        <w:rPr>
          <w:rFonts w:cs="Arial"/>
        </w:rPr>
        <w:t>___ Cannot be determined</w:t>
      </w:r>
    </w:p>
    <w:p w14:paraId="6BD8A3B7" w14:textId="77777777" w:rsidR="00B336E3" w:rsidRPr="00845FBC" w:rsidRDefault="00B336E3" w:rsidP="00B50ACD">
      <w:pPr>
        <w:rPr>
          <w:rFonts w:cs="Arial"/>
        </w:rPr>
      </w:pPr>
    </w:p>
    <w:p w14:paraId="710D9BBD" w14:textId="68B3B1B8" w:rsidR="00B336E3" w:rsidRPr="00845FBC" w:rsidRDefault="0072709F" w:rsidP="00B50ACD">
      <w:pPr>
        <w:pStyle w:val="Heading2"/>
        <w:rPr>
          <w:rFonts w:cs="Arial"/>
          <w:color w:val="000000"/>
          <w:vertAlign w:val="superscript"/>
        </w:rPr>
      </w:pPr>
      <w:r w:rsidRPr="00845FBC">
        <w:rPr>
          <w:rFonts w:cs="Arial"/>
          <w:color w:val="000000"/>
        </w:rPr>
        <w:t xml:space="preserve">+ </w:t>
      </w:r>
      <w:r w:rsidR="00B336E3" w:rsidRPr="00845FBC">
        <w:rPr>
          <w:rFonts w:cs="Arial"/>
          <w:color w:val="000000"/>
        </w:rPr>
        <w:t xml:space="preserve">Mitotic Rate (Note </w:t>
      </w:r>
      <w:r w:rsidR="00A16DE0">
        <w:rPr>
          <w:rFonts w:cs="Arial"/>
          <w:color w:val="000000"/>
        </w:rPr>
        <w:t>E</w:t>
      </w:r>
      <w:r w:rsidR="00B336E3" w:rsidRPr="00845FBC">
        <w:rPr>
          <w:rFonts w:cs="Arial"/>
          <w:color w:val="000000"/>
        </w:rPr>
        <w:t>)</w:t>
      </w:r>
    </w:p>
    <w:p w14:paraId="321C9008" w14:textId="77777777" w:rsidR="00B336E3" w:rsidRPr="00845FBC" w:rsidRDefault="0072709F" w:rsidP="00B50ACD">
      <w:pPr>
        <w:rPr>
          <w:rFonts w:cs="Arial"/>
        </w:rPr>
      </w:pPr>
      <w:r w:rsidRPr="00845FBC">
        <w:rPr>
          <w:rFonts w:cs="Arial"/>
        </w:rPr>
        <w:t xml:space="preserve">+ </w:t>
      </w:r>
      <w:r w:rsidR="00B336E3" w:rsidRPr="00845FBC">
        <w:rPr>
          <w:rFonts w:cs="Arial"/>
        </w:rPr>
        <w:t>Specify: ___ /10 high-power fields</w:t>
      </w:r>
      <w:r w:rsidR="00DD7C11">
        <w:rPr>
          <w:rFonts w:cs="Arial"/>
        </w:rPr>
        <w:t xml:space="preserve"> (HPF)</w:t>
      </w:r>
      <w:r w:rsidR="00B336E3" w:rsidRPr="00845FBC">
        <w:rPr>
          <w:rFonts w:cs="Arial"/>
        </w:rPr>
        <w:t xml:space="preserve"> </w:t>
      </w:r>
    </w:p>
    <w:p w14:paraId="0CCE4BD1" w14:textId="77777777" w:rsidR="00B336E3" w:rsidRPr="00845FBC" w:rsidRDefault="00B336E3" w:rsidP="00B50ACD">
      <w:pPr>
        <w:ind w:left="180"/>
        <w:rPr>
          <w:rFonts w:cs="Arial"/>
        </w:rPr>
      </w:pPr>
      <w:r w:rsidRPr="00845FBC">
        <w:rPr>
          <w:rFonts w:cs="Arial"/>
        </w:rPr>
        <w:t xml:space="preserve"> (1 HPF x 400 = 0.1734 mm</w:t>
      </w:r>
      <w:r w:rsidRPr="00845FBC">
        <w:rPr>
          <w:rFonts w:cs="Arial"/>
          <w:vertAlign w:val="superscript"/>
        </w:rPr>
        <w:t>2</w:t>
      </w:r>
      <w:r w:rsidRPr="00845FBC">
        <w:rPr>
          <w:rFonts w:cs="Arial"/>
        </w:rPr>
        <w:t>; X40 objective; most proliferative area)</w:t>
      </w:r>
    </w:p>
    <w:p w14:paraId="613F3A49" w14:textId="77777777" w:rsidR="00B336E3" w:rsidRPr="00845FBC" w:rsidRDefault="00B336E3" w:rsidP="00B50ACD">
      <w:pPr>
        <w:pStyle w:val="Footer"/>
        <w:tabs>
          <w:tab w:val="clear" w:pos="4320"/>
          <w:tab w:val="clear" w:pos="8640"/>
        </w:tabs>
        <w:rPr>
          <w:rFonts w:cs="Arial"/>
        </w:rPr>
      </w:pPr>
    </w:p>
    <w:p w14:paraId="51ABE68C" w14:textId="50B5CB71" w:rsidR="00B336E3" w:rsidRPr="00845FBC" w:rsidRDefault="00B336E3" w:rsidP="00B50ACD">
      <w:pPr>
        <w:pStyle w:val="Heading2"/>
        <w:rPr>
          <w:rFonts w:cs="Arial"/>
          <w:color w:val="000000"/>
        </w:rPr>
      </w:pPr>
      <w:r w:rsidRPr="00845FBC">
        <w:rPr>
          <w:rFonts w:cs="Arial"/>
          <w:color w:val="000000"/>
        </w:rPr>
        <w:t xml:space="preserve">Necrosis (macroscopic or microscopic) (Note </w:t>
      </w:r>
      <w:r w:rsidR="00A16DE0">
        <w:rPr>
          <w:rFonts w:cs="Arial"/>
          <w:color w:val="000000"/>
        </w:rPr>
        <w:t>A</w:t>
      </w:r>
      <w:r w:rsidRPr="00845FBC">
        <w:rPr>
          <w:rFonts w:cs="Arial"/>
          <w:color w:val="000000"/>
        </w:rPr>
        <w:t>)</w:t>
      </w:r>
    </w:p>
    <w:p w14:paraId="4AB87581" w14:textId="77777777" w:rsidR="00B336E3" w:rsidRPr="00845FBC" w:rsidRDefault="00B336E3" w:rsidP="00B50ACD">
      <w:pPr>
        <w:pStyle w:val="Footer"/>
        <w:keepNext/>
        <w:tabs>
          <w:tab w:val="clear" w:pos="4320"/>
          <w:tab w:val="clear" w:pos="8640"/>
        </w:tabs>
        <w:rPr>
          <w:rFonts w:cs="Arial"/>
        </w:rPr>
      </w:pPr>
      <w:r w:rsidRPr="00845FBC">
        <w:rPr>
          <w:rFonts w:cs="Arial"/>
        </w:rPr>
        <w:t>___ Not Identified</w:t>
      </w:r>
    </w:p>
    <w:p w14:paraId="2180BE3E" w14:textId="77777777" w:rsidR="00B336E3" w:rsidRPr="00845FBC" w:rsidRDefault="00B336E3" w:rsidP="00B50ACD">
      <w:pPr>
        <w:pStyle w:val="Footer"/>
        <w:keepNext/>
        <w:tabs>
          <w:tab w:val="clear" w:pos="4320"/>
          <w:tab w:val="clear" w:pos="8640"/>
        </w:tabs>
        <w:rPr>
          <w:rFonts w:cs="Arial"/>
        </w:rPr>
      </w:pPr>
      <w:r w:rsidRPr="00845FBC">
        <w:rPr>
          <w:rFonts w:cs="Arial"/>
        </w:rPr>
        <w:t>___ Present</w:t>
      </w:r>
    </w:p>
    <w:p w14:paraId="630F04F9" w14:textId="77777777" w:rsidR="00B336E3" w:rsidRPr="00845FBC" w:rsidRDefault="00B336E3" w:rsidP="00B50ACD">
      <w:pPr>
        <w:ind w:firstLine="720"/>
        <w:rPr>
          <w:rFonts w:cs="Arial"/>
        </w:rPr>
      </w:pPr>
      <w:r w:rsidRPr="00845FBC">
        <w:rPr>
          <w:rFonts w:cs="Arial"/>
        </w:rPr>
        <w:t>Extent: ___%</w:t>
      </w:r>
    </w:p>
    <w:p w14:paraId="523EA3FD" w14:textId="77777777" w:rsidR="00B336E3" w:rsidRPr="00845FBC" w:rsidRDefault="00B336E3" w:rsidP="00B50ACD">
      <w:pPr>
        <w:pStyle w:val="Heading2"/>
        <w:keepNext w:val="0"/>
        <w:rPr>
          <w:rFonts w:cs="Arial"/>
          <w:color w:val="000000"/>
        </w:rPr>
      </w:pPr>
    </w:p>
    <w:p w14:paraId="48261174" w14:textId="694A8198" w:rsidR="00B336E3" w:rsidRPr="00845FBC" w:rsidRDefault="00B336E3" w:rsidP="00B50ACD">
      <w:pPr>
        <w:pStyle w:val="Heading2"/>
        <w:rPr>
          <w:rFonts w:cs="Arial"/>
          <w:color w:val="000000"/>
        </w:rPr>
      </w:pPr>
      <w:r w:rsidRPr="00845FBC">
        <w:rPr>
          <w:rFonts w:cs="Arial"/>
          <w:color w:val="000000"/>
        </w:rPr>
        <w:t xml:space="preserve">Histologic Grade (Note </w:t>
      </w:r>
      <w:r w:rsidR="00A16DE0">
        <w:rPr>
          <w:rFonts w:cs="Arial"/>
          <w:color w:val="000000"/>
        </w:rPr>
        <w:t>F</w:t>
      </w:r>
      <w:r w:rsidRPr="00845FBC">
        <w:rPr>
          <w:rFonts w:cs="Arial"/>
          <w:color w:val="000000"/>
        </w:rPr>
        <w:t>)</w:t>
      </w:r>
    </w:p>
    <w:p w14:paraId="7778623C" w14:textId="77777777" w:rsidR="00E64C46" w:rsidRPr="00845FBC" w:rsidRDefault="00E64C46" w:rsidP="00B50ACD">
      <w:pPr>
        <w:keepNext/>
        <w:tabs>
          <w:tab w:val="left" w:pos="4200"/>
          <w:tab w:val="left" w:pos="9240"/>
        </w:tabs>
        <w:rPr>
          <w:rFonts w:cs="Arial"/>
        </w:rPr>
      </w:pPr>
      <w:r w:rsidRPr="00845FBC">
        <w:rPr>
          <w:rFonts w:cs="Arial"/>
        </w:rPr>
        <w:t>___ G1: Well differentiated, low grade</w:t>
      </w:r>
    </w:p>
    <w:p w14:paraId="605D827E" w14:textId="77777777" w:rsidR="00E64C46" w:rsidRPr="00845FBC" w:rsidRDefault="00E64C46" w:rsidP="00B50ACD">
      <w:pPr>
        <w:tabs>
          <w:tab w:val="left" w:pos="4200"/>
          <w:tab w:val="left" w:pos="9240"/>
        </w:tabs>
        <w:rPr>
          <w:rFonts w:cs="Arial"/>
        </w:rPr>
      </w:pPr>
      <w:r w:rsidRPr="00845FBC">
        <w:rPr>
          <w:rFonts w:cs="Arial"/>
        </w:rPr>
        <w:t>___ G2: Moderately differentiated, high grade</w:t>
      </w:r>
    </w:p>
    <w:p w14:paraId="7E640EC9" w14:textId="77777777" w:rsidR="00B336E3" w:rsidRDefault="00E64C46" w:rsidP="00B50ACD">
      <w:pPr>
        <w:tabs>
          <w:tab w:val="left" w:pos="4200"/>
          <w:tab w:val="left" w:pos="9240"/>
        </w:tabs>
        <w:rPr>
          <w:rFonts w:cs="Arial"/>
        </w:rPr>
      </w:pPr>
      <w:r w:rsidRPr="00845FBC">
        <w:rPr>
          <w:rFonts w:cs="Arial"/>
        </w:rPr>
        <w:lastRenderedPageBreak/>
        <w:t>___ G3: Poorly differentiated, high grade</w:t>
      </w:r>
    </w:p>
    <w:p w14:paraId="5F982E40" w14:textId="77777777" w:rsidR="005C63BC" w:rsidRPr="00845FBC" w:rsidRDefault="005C63BC" w:rsidP="00B50ACD">
      <w:pPr>
        <w:keepNext/>
        <w:tabs>
          <w:tab w:val="left" w:pos="4200"/>
          <w:tab w:val="left" w:pos="9240"/>
        </w:tabs>
        <w:rPr>
          <w:rFonts w:cs="Arial"/>
        </w:rPr>
      </w:pPr>
      <w:r w:rsidRPr="00845FBC">
        <w:rPr>
          <w:rFonts w:cs="Arial"/>
        </w:rPr>
        <w:t xml:space="preserve">___ GX: Cannot be </w:t>
      </w:r>
      <w:r>
        <w:rPr>
          <w:rFonts w:cs="Arial"/>
        </w:rPr>
        <w:t>assessed</w:t>
      </w:r>
    </w:p>
    <w:p w14:paraId="6C33498E" w14:textId="77777777" w:rsidR="005C63BC" w:rsidRPr="005C63BC" w:rsidRDefault="005C63BC" w:rsidP="00B50ACD">
      <w:pPr>
        <w:keepNext/>
        <w:tabs>
          <w:tab w:val="left" w:pos="4200"/>
          <w:tab w:val="left" w:pos="9240"/>
        </w:tabs>
        <w:rPr>
          <w:rFonts w:cs="Arial"/>
        </w:rPr>
      </w:pPr>
      <w:r w:rsidRPr="00845FBC">
        <w:rPr>
          <w:rFonts w:cs="Arial"/>
        </w:rPr>
        <w:t>___ Not applicable</w:t>
      </w:r>
    </w:p>
    <w:p w14:paraId="0699B38B" w14:textId="77777777" w:rsidR="00872BCF" w:rsidRPr="00845FBC" w:rsidRDefault="00872BCF" w:rsidP="00B50ACD">
      <w:pPr>
        <w:tabs>
          <w:tab w:val="left" w:pos="4200"/>
          <w:tab w:val="left" w:pos="9240"/>
        </w:tabs>
        <w:rPr>
          <w:rFonts w:cs="Arial"/>
        </w:rPr>
      </w:pPr>
    </w:p>
    <w:p w14:paraId="51897EC9" w14:textId="2FADD413" w:rsidR="00B336E3" w:rsidRPr="00845FBC" w:rsidRDefault="00B336E3" w:rsidP="00B50ACD">
      <w:pPr>
        <w:pStyle w:val="Heading2"/>
        <w:rPr>
          <w:rFonts w:cs="Arial"/>
          <w:color w:val="000000"/>
        </w:rPr>
      </w:pPr>
      <w:r w:rsidRPr="00845FBC">
        <w:rPr>
          <w:rFonts w:cs="Arial"/>
          <w:color w:val="000000"/>
        </w:rPr>
        <w:t>Margins (Note</w:t>
      </w:r>
      <w:r w:rsidR="00FA5AA6">
        <w:rPr>
          <w:rFonts w:cs="Arial"/>
          <w:color w:val="000000"/>
        </w:rPr>
        <w:t xml:space="preserve"> G</w:t>
      </w:r>
      <w:r w:rsidRPr="00845FBC">
        <w:rPr>
          <w:rFonts w:cs="Arial"/>
          <w:color w:val="000000"/>
        </w:rPr>
        <w:t>)</w:t>
      </w:r>
    </w:p>
    <w:p w14:paraId="22D1D411" w14:textId="77777777" w:rsidR="00B336E3" w:rsidRPr="00845FBC" w:rsidRDefault="00B336E3" w:rsidP="00B50ACD">
      <w:pPr>
        <w:rPr>
          <w:rFonts w:cs="Arial"/>
        </w:rPr>
      </w:pPr>
      <w:r w:rsidRPr="00845FBC">
        <w:rPr>
          <w:rFonts w:cs="Arial"/>
        </w:rPr>
        <w:t>___ Cannot be assessed</w:t>
      </w:r>
    </w:p>
    <w:p w14:paraId="66C14AFE" w14:textId="46E21B20" w:rsidR="00B336E3" w:rsidRPr="00845FBC" w:rsidRDefault="00026B4D" w:rsidP="00B50ACD">
      <w:pPr>
        <w:rPr>
          <w:rFonts w:cs="Arial"/>
        </w:rPr>
      </w:pPr>
      <w:r>
        <w:rPr>
          <w:rFonts w:cs="Arial"/>
        </w:rPr>
        <w:t xml:space="preserve">___ </w:t>
      </w:r>
      <w:r w:rsidR="0098212F">
        <w:rPr>
          <w:rFonts w:cs="Arial"/>
        </w:rPr>
        <w:t>All margins negative for tumor</w:t>
      </w:r>
    </w:p>
    <w:p w14:paraId="2066E2AB" w14:textId="31EEFE0B" w:rsidR="00B336E3" w:rsidRPr="00845FBC" w:rsidRDefault="00B336E3" w:rsidP="00B50ACD">
      <w:pPr>
        <w:pStyle w:val="Footer"/>
        <w:tabs>
          <w:tab w:val="clear" w:pos="4320"/>
          <w:tab w:val="clear" w:pos="8640"/>
        </w:tabs>
        <w:rPr>
          <w:rFonts w:cs="Arial"/>
        </w:rPr>
      </w:pPr>
      <w:r w:rsidRPr="00845FBC">
        <w:rPr>
          <w:rFonts w:cs="Arial"/>
        </w:rPr>
        <w:tab/>
        <w:t xml:space="preserve">Distance of </w:t>
      </w:r>
      <w:r w:rsidR="00EB61D3">
        <w:rPr>
          <w:rFonts w:cs="Arial"/>
        </w:rPr>
        <w:t>tumor</w:t>
      </w:r>
      <w:r w:rsidR="00EB61D3" w:rsidRPr="00845FBC">
        <w:rPr>
          <w:rFonts w:cs="Arial"/>
        </w:rPr>
        <w:t xml:space="preserve"> </w:t>
      </w:r>
      <w:r w:rsidRPr="00845FBC">
        <w:rPr>
          <w:rFonts w:cs="Arial"/>
        </w:rPr>
        <w:t>from closest margin</w:t>
      </w:r>
      <w:r w:rsidR="001718B6">
        <w:rPr>
          <w:rFonts w:cs="Arial"/>
        </w:rPr>
        <w:t xml:space="preserve"> (centimeters)</w:t>
      </w:r>
      <w:r w:rsidRPr="00845FBC">
        <w:rPr>
          <w:rFonts w:cs="Arial"/>
        </w:rPr>
        <w:t>: ___ cm</w:t>
      </w:r>
    </w:p>
    <w:p w14:paraId="26127F48" w14:textId="77777777" w:rsidR="00B336E3" w:rsidRPr="00845FBC" w:rsidRDefault="00B336E3" w:rsidP="00B50ACD">
      <w:pPr>
        <w:rPr>
          <w:rFonts w:cs="Arial"/>
        </w:rPr>
      </w:pPr>
      <w:r w:rsidRPr="00845FBC">
        <w:rPr>
          <w:rFonts w:cs="Arial"/>
        </w:rPr>
        <w:tab/>
        <w:t xml:space="preserve">Specify margin (if known): </w:t>
      </w:r>
      <w:r w:rsidRPr="00845FBC">
        <w:rPr>
          <w:rFonts w:cs="Arial"/>
          <w:kern w:val="20"/>
        </w:rPr>
        <w:t>____________________________</w:t>
      </w:r>
    </w:p>
    <w:p w14:paraId="2EA9B9BC" w14:textId="0DBCAF95" w:rsidR="00B336E3" w:rsidRPr="00845FBC" w:rsidRDefault="00026B4D" w:rsidP="00B50ACD">
      <w:pPr>
        <w:rPr>
          <w:rFonts w:cs="Arial"/>
        </w:rPr>
      </w:pPr>
      <w:r>
        <w:rPr>
          <w:rFonts w:cs="Arial"/>
        </w:rPr>
        <w:t xml:space="preserve">___ </w:t>
      </w:r>
      <w:r w:rsidR="0098212F">
        <w:rPr>
          <w:rFonts w:cs="Arial"/>
        </w:rPr>
        <w:t>Tumor present at margin(s)</w:t>
      </w:r>
    </w:p>
    <w:p w14:paraId="40472D33" w14:textId="77777777" w:rsidR="00B336E3" w:rsidRPr="00845FBC" w:rsidRDefault="00B336E3" w:rsidP="00B50ACD">
      <w:pPr>
        <w:rPr>
          <w:rFonts w:cs="Arial"/>
        </w:rPr>
      </w:pPr>
      <w:r w:rsidRPr="00845FBC">
        <w:rPr>
          <w:rFonts w:cs="Arial"/>
        </w:rPr>
        <w:tab/>
        <w:t xml:space="preserve">Specify margin(s) (if known): </w:t>
      </w:r>
      <w:r w:rsidRPr="00845FBC">
        <w:rPr>
          <w:rFonts w:cs="Arial"/>
          <w:kern w:val="20"/>
        </w:rPr>
        <w:t>____________________________</w:t>
      </w:r>
    </w:p>
    <w:p w14:paraId="059DD772" w14:textId="77777777" w:rsidR="00B336E3" w:rsidRPr="00845FBC" w:rsidRDefault="00B336E3" w:rsidP="00B50ACD">
      <w:pPr>
        <w:rPr>
          <w:rFonts w:cs="Arial"/>
        </w:rPr>
      </w:pPr>
    </w:p>
    <w:p w14:paraId="135EE2B2" w14:textId="3AADB206" w:rsidR="00B336E3" w:rsidRPr="00845FBC" w:rsidRDefault="0072709F" w:rsidP="00B50ACD">
      <w:pPr>
        <w:pStyle w:val="Heading2"/>
        <w:rPr>
          <w:rFonts w:cs="Arial"/>
          <w:color w:val="000000"/>
        </w:rPr>
      </w:pPr>
      <w:r w:rsidRPr="00845FBC">
        <w:rPr>
          <w:rFonts w:cs="Arial"/>
          <w:color w:val="000000"/>
        </w:rPr>
        <w:t xml:space="preserve">+ </w:t>
      </w:r>
      <w:r w:rsidR="00147487">
        <w:rPr>
          <w:rFonts w:cs="Arial"/>
          <w:color w:val="000000"/>
        </w:rPr>
        <w:t>Lymphov</w:t>
      </w:r>
      <w:r w:rsidR="00B336E3" w:rsidRPr="00845FBC">
        <w:rPr>
          <w:rFonts w:cs="Arial"/>
          <w:color w:val="000000"/>
        </w:rPr>
        <w:t xml:space="preserve">ascular Invasion (Note </w:t>
      </w:r>
      <w:r w:rsidR="00FA5AA6">
        <w:rPr>
          <w:rFonts w:cs="Arial"/>
          <w:color w:val="000000"/>
        </w:rPr>
        <w:t>H</w:t>
      </w:r>
      <w:r w:rsidR="00B336E3" w:rsidRPr="00845FBC">
        <w:rPr>
          <w:rFonts w:cs="Arial"/>
          <w:color w:val="000000"/>
        </w:rPr>
        <w:t>)</w:t>
      </w:r>
    </w:p>
    <w:p w14:paraId="3A2B7592" w14:textId="77777777" w:rsidR="00B336E3" w:rsidRPr="00845FBC" w:rsidRDefault="0072709F" w:rsidP="00B50ACD">
      <w:pPr>
        <w:rPr>
          <w:rFonts w:cs="Arial"/>
        </w:rPr>
      </w:pPr>
      <w:r w:rsidRPr="00845FBC">
        <w:rPr>
          <w:rFonts w:cs="Arial"/>
        </w:rPr>
        <w:t xml:space="preserve">+ </w:t>
      </w:r>
      <w:r w:rsidR="00B336E3" w:rsidRPr="00845FBC">
        <w:rPr>
          <w:rFonts w:cs="Arial"/>
        </w:rPr>
        <w:t>___ Not identified</w:t>
      </w:r>
    </w:p>
    <w:p w14:paraId="304A30A4" w14:textId="77777777" w:rsidR="00B336E3" w:rsidRPr="00845FBC" w:rsidRDefault="0072709F" w:rsidP="00B50ACD">
      <w:pPr>
        <w:pStyle w:val="Footer"/>
        <w:tabs>
          <w:tab w:val="clear" w:pos="4320"/>
          <w:tab w:val="clear" w:pos="8640"/>
        </w:tabs>
        <w:rPr>
          <w:rFonts w:cs="Arial"/>
        </w:rPr>
      </w:pPr>
      <w:r w:rsidRPr="00845FBC">
        <w:rPr>
          <w:rFonts w:cs="Arial"/>
        </w:rPr>
        <w:t xml:space="preserve">+ </w:t>
      </w:r>
      <w:r w:rsidR="00B336E3" w:rsidRPr="00845FBC">
        <w:rPr>
          <w:rFonts w:cs="Arial"/>
        </w:rPr>
        <w:t>___ Present</w:t>
      </w:r>
    </w:p>
    <w:p w14:paraId="2938CBD0" w14:textId="77777777" w:rsidR="00B336E3" w:rsidRDefault="0072709F" w:rsidP="00B50ACD">
      <w:pPr>
        <w:rPr>
          <w:rFonts w:cs="Arial"/>
        </w:rPr>
      </w:pPr>
      <w:r w:rsidRPr="00845FBC">
        <w:rPr>
          <w:rFonts w:cs="Arial"/>
        </w:rPr>
        <w:t xml:space="preserve">+ </w:t>
      </w:r>
      <w:r w:rsidR="00B336E3" w:rsidRPr="00845FBC">
        <w:rPr>
          <w:rFonts w:cs="Arial"/>
        </w:rPr>
        <w:t xml:space="preserve">___ </w:t>
      </w:r>
      <w:r w:rsidR="002C1308" w:rsidRPr="00845FBC">
        <w:rPr>
          <w:rFonts w:cs="Arial"/>
        </w:rPr>
        <w:t>Cannot be determined</w:t>
      </w:r>
    </w:p>
    <w:p w14:paraId="02EFA1F0" w14:textId="77777777" w:rsidR="003015FC" w:rsidRDefault="003015FC" w:rsidP="00B50ACD">
      <w:pPr>
        <w:rPr>
          <w:rFonts w:cs="Arial"/>
        </w:rPr>
      </w:pPr>
    </w:p>
    <w:p w14:paraId="3E243095" w14:textId="349350D8" w:rsidR="0080155C" w:rsidRPr="00790AFD" w:rsidRDefault="003015FC" w:rsidP="00B50ACD">
      <w:pPr>
        <w:pStyle w:val="Heading2"/>
      </w:pPr>
      <w:r w:rsidRPr="003015FC">
        <w:rPr>
          <w:rFonts w:cs="Arial"/>
          <w:color w:val="000000"/>
        </w:rPr>
        <w:t>Regional Lymph Nodes</w:t>
      </w:r>
      <w:r w:rsidR="008057A7">
        <w:rPr>
          <w:rFonts w:cs="Arial"/>
          <w:color w:val="000000"/>
        </w:rPr>
        <w:t xml:space="preserve"> (Note </w:t>
      </w:r>
      <w:r w:rsidR="00FA5AA6">
        <w:rPr>
          <w:rFonts w:cs="Arial"/>
          <w:color w:val="000000"/>
        </w:rPr>
        <w:t>I</w:t>
      </w:r>
      <w:r w:rsidR="008057A7">
        <w:rPr>
          <w:rFonts w:cs="Arial"/>
          <w:color w:val="000000"/>
        </w:rPr>
        <w:t>)</w:t>
      </w:r>
    </w:p>
    <w:p w14:paraId="0D68870C" w14:textId="77777777" w:rsidR="00611A0D" w:rsidRDefault="00611A0D" w:rsidP="00B50ACD">
      <w:pPr>
        <w:rPr>
          <w:rFonts w:cs="Arial"/>
        </w:rPr>
      </w:pPr>
    </w:p>
    <w:p w14:paraId="7E118357" w14:textId="77777777" w:rsidR="003015FC" w:rsidRPr="00845FBC" w:rsidRDefault="003015FC" w:rsidP="00B50ACD">
      <w:pPr>
        <w:rPr>
          <w:rFonts w:cs="Arial"/>
        </w:rPr>
      </w:pPr>
      <w:r w:rsidRPr="00845FBC">
        <w:rPr>
          <w:rFonts w:cs="Arial"/>
        </w:rPr>
        <w:t xml:space="preserve">___ No </w:t>
      </w:r>
      <w:r w:rsidR="00790AFD">
        <w:rPr>
          <w:rFonts w:cs="Arial"/>
        </w:rPr>
        <w:t xml:space="preserve">lymph </w:t>
      </w:r>
      <w:r w:rsidRPr="00845FBC">
        <w:rPr>
          <w:rFonts w:cs="Arial"/>
        </w:rPr>
        <w:t>nodes submitted or found</w:t>
      </w:r>
    </w:p>
    <w:p w14:paraId="00E8925A" w14:textId="77777777" w:rsidR="003015FC" w:rsidRDefault="003015FC" w:rsidP="00B50ACD">
      <w:pPr>
        <w:rPr>
          <w:rFonts w:cs="Arial"/>
        </w:rPr>
      </w:pPr>
    </w:p>
    <w:p w14:paraId="75432FFA" w14:textId="77777777" w:rsidR="00C83132" w:rsidRPr="00176D28" w:rsidRDefault="00C83132" w:rsidP="00B50ACD">
      <w:pPr>
        <w:rPr>
          <w:rFonts w:cs="Arial"/>
          <w:i/>
          <w:u w:val="single"/>
        </w:rPr>
      </w:pPr>
      <w:r w:rsidRPr="00176D28">
        <w:rPr>
          <w:rFonts w:cs="Arial"/>
          <w:i/>
          <w:u w:val="single"/>
        </w:rPr>
        <w:t>Lymph Node Examination (required only if lymph nodes are present in the specimen)</w:t>
      </w:r>
    </w:p>
    <w:p w14:paraId="2D948D3F" w14:textId="77777777" w:rsidR="008057A7" w:rsidRPr="00427EE5" w:rsidRDefault="008057A7" w:rsidP="00B50ACD">
      <w:pPr>
        <w:rPr>
          <w:rFonts w:cs="Arial"/>
          <w:u w:val="single"/>
        </w:rPr>
      </w:pPr>
    </w:p>
    <w:p w14:paraId="36FB7FD5" w14:textId="77777777" w:rsidR="0080155C" w:rsidRPr="009A4BFE" w:rsidRDefault="0080155C" w:rsidP="00B50ACD">
      <w:pPr>
        <w:rPr>
          <w:rFonts w:cs="Arial"/>
          <w:b/>
          <w:bCs/>
        </w:rPr>
      </w:pPr>
      <w:r w:rsidRPr="009A4BFE">
        <w:rPr>
          <w:rFonts w:cs="Arial"/>
          <w:b/>
          <w:bCs/>
        </w:rPr>
        <w:t>Number of Lymph Nodes Involved: _____</w:t>
      </w:r>
    </w:p>
    <w:p w14:paraId="6963CEF7" w14:textId="77777777" w:rsidR="0080155C" w:rsidRPr="00C35FC0" w:rsidRDefault="0080155C" w:rsidP="00B50ACD">
      <w:pPr>
        <w:rPr>
          <w:rFonts w:cs="Arial"/>
        </w:rPr>
      </w:pPr>
      <w:r w:rsidRPr="00C35FC0">
        <w:rPr>
          <w:rFonts w:cs="Arial"/>
        </w:rPr>
        <w:t>___ Number cannot be determined (explain): ____________________</w:t>
      </w:r>
    </w:p>
    <w:p w14:paraId="3507C999" w14:textId="77777777" w:rsidR="0080155C" w:rsidRPr="005C63BC" w:rsidRDefault="0080155C" w:rsidP="00B50ACD">
      <w:pPr>
        <w:rPr>
          <w:rFonts w:cs="Arial"/>
        </w:rPr>
      </w:pPr>
    </w:p>
    <w:p w14:paraId="06CDD3B1" w14:textId="77777777" w:rsidR="0080155C" w:rsidRPr="009A4BFE" w:rsidRDefault="0080155C" w:rsidP="00B50ACD">
      <w:pPr>
        <w:rPr>
          <w:rFonts w:cs="Arial"/>
          <w:b/>
          <w:bCs/>
        </w:rPr>
      </w:pPr>
      <w:r w:rsidRPr="009A4BFE">
        <w:rPr>
          <w:rFonts w:cs="Arial"/>
          <w:b/>
          <w:bCs/>
        </w:rPr>
        <w:t>Number of Lymph Nodes Examined: _____</w:t>
      </w:r>
    </w:p>
    <w:p w14:paraId="213EF05D" w14:textId="77777777" w:rsidR="0080155C" w:rsidRPr="0080155C" w:rsidRDefault="0080155C" w:rsidP="00B50ACD">
      <w:pPr>
        <w:rPr>
          <w:rFonts w:cs="Arial"/>
        </w:rPr>
      </w:pPr>
      <w:r w:rsidRPr="0080155C">
        <w:rPr>
          <w:rFonts w:cs="Arial"/>
        </w:rPr>
        <w:t>___ Number cannot be determined (explain): ____________________</w:t>
      </w:r>
    </w:p>
    <w:p w14:paraId="0697E912" w14:textId="77777777" w:rsidR="00B336E3" w:rsidRPr="00845FBC" w:rsidRDefault="00B336E3" w:rsidP="00B50ACD">
      <w:pPr>
        <w:rPr>
          <w:rFonts w:cs="Arial"/>
        </w:rPr>
      </w:pPr>
    </w:p>
    <w:p w14:paraId="0CD4FD62" w14:textId="77777777" w:rsidR="00B336E3" w:rsidRPr="00845FBC" w:rsidRDefault="00B15AB6" w:rsidP="00B50ACD">
      <w:pPr>
        <w:pStyle w:val="Heading2"/>
        <w:rPr>
          <w:rFonts w:cs="Arial"/>
          <w:color w:val="000000"/>
        </w:rPr>
      </w:pPr>
      <w:r>
        <w:rPr>
          <w:rFonts w:cs="Arial"/>
          <w:color w:val="000000"/>
        </w:rPr>
        <w:t>Pathologic Stage Classification</w:t>
      </w:r>
      <w:r w:rsidR="00B336E3" w:rsidRPr="00845FBC">
        <w:rPr>
          <w:rFonts w:cs="Arial"/>
          <w:color w:val="000000"/>
        </w:rPr>
        <w:t xml:space="preserve"> (</w:t>
      </w:r>
      <w:proofErr w:type="spellStart"/>
      <w:r w:rsidR="00B336E3" w:rsidRPr="00845FBC">
        <w:rPr>
          <w:rFonts w:cs="Arial"/>
          <w:color w:val="000000"/>
        </w:rPr>
        <w:t>pTNM</w:t>
      </w:r>
      <w:proofErr w:type="spellEnd"/>
      <w:r>
        <w:rPr>
          <w:rFonts w:cs="Arial"/>
          <w:color w:val="000000"/>
        </w:rPr>
        <w:t>, AJCC 8</w:t>
      </w:r>
      <w:r w:rsidRPr="00B15AB6">
        <w:rPr>
          <w:rFonts w:cs="Arial"/>
          <w:color w:val="000000"/>
          <w:vertAlign w:val="superscript"/>
        </w:rPr>
        <w:t>th</w:t>
      </w:r>
      <w:r>
        <w:rPr>
          <w:rFonts w:cs="Arial"/>
          <w:color w:val="000000"/>
        </w:rPr>
        <w:t xml:space="preserve"> Edition</w:t>
      </w:r>
      <w:r w:rsidR="00B336E3" w:rsidRPr="00845FBC">
        <w:rPr>
          <w:rFonts w:cs="Arial"/>
          <w:color w:val="000000"/>
        </w:rPr>
        <w:t>) (Note J)</w:t>
      </w:r>
    </w:p>
    <w:p w14:paraId="620941A9" w14:textId="77777777" w:rsidR="00176D28" w:rsidRDefault="00176D28" w:rsidP="00B50ACD">
      <w:pPr>
        <w:spacing w:before="60"/>
        <w:rPr>
          <w:rFonts w:eastAsia="Calibri" w:cs="Arial"/>
          <w:i/>
          <w:iCs/>
          <w:color w:val="000000"/>
          <w:sz w:val="18"/>
          <w:szCs w:val="18"/>
        </w:rPr>
      </w:pPr>
      <w:r w:rsidRPr="00176D28">
        <w:rPr>
          <w:rFonts w:eastAsia="Calibri" w:cs="Arial"/>
          <w:i/>
          <w:iCs/>
          <w:color w:val="000000"/>
          <w:sz w:val="18"/>
          <w:szCs w:val="18"/>
        </w:rPr>
        <w:t xml:space="preserve">Note: Reporting of pT, pN, and (when applicable) </w:t>
      </w:r>
      <w:proofErr w:type="spellStart"/>
      <w:r w:rsidRPr="00176D28">
        <w:rPr>
          <w:rFonts w:eastAsia="Calibri" w:cs="Arial"/>
          <w:i/>
          <w:iCs/>
          <w:color w:val="000000"/>
          <w:sz w:val="18"/>
          <w:szCs w:val="18"/>
        </w:rPr>
        <w:t>pM</w:t>
      </w:r>
      <w:proofErr w:type="spellEnd"/>
      <w:r w:rsidRPr="00176D28">
        <w:rPr>
          <w:rFonts w:eastAsia="Calibri" w:cs="Arial"/>
          <w:i/>
          <w:iCs/>
          <w:color w:val="000000"/>
          <w:sz w:val="18"/>
          <w:szCs w:val="18"/>
        </w:rPr>
        <w:t xml:space="preserve">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1828DEEB" w14:textId="77777777" w:rsidR="00176D28" w:rsidRPr="00176D28" w:rsidRDefault="00176D28" w:rsidP="00B50ACD">
      <w:pPr>
        <w:rPr>
          <w:rFonts w:eastAsia="Calibri" w:cs="Arial"/>
          <w:color w:val="000000"/>
          <w:sz w:val="22"/>
          <w:szCs w:val="22"/>
        </w:rPr>
      </w:pPr>
    </w:p>
    <w:p w14:paraId="72FC8DC6" w14:textId="77777777" w:rsidR="00B336E3" w:rsidRPr="009A4BFE" w:rsidRDefault="00B336E3" w:rsidP="00B50ACD">
      <w:pPr>
        <w:keepNext/>
        <w:tabs>
          <w:tab w:val="left" w:pos="4200"/>
          <w:tab w:val="left" w:pos="9240"/>
        </w:tabs>
        <w:ind w:left="480" w:hanging="480"/>
        <w:rPr>
          <w:rFonts w:cs="Arial"/>
          <w:b/>
          <w:bCs/>
        </w:rPr>
      </w:pPr>
      <w:r w:rsidRPr="009A4BFE">
        <w:rPr>
          <w:rFonts w:cs="Arial"/>
          <w:b/>
          <w:bCs/>
        </w:rPr>
        <w:t>TNM Descriptors (required only if applicable) (select all that apply)</w:t>
      </w:r>
    </w:p>
    <w:p w14:paraId="5DD7CBCE" w14:textId="77777777" w:rsidR="00B336E3" w:rsidRPr="00845FBC" w:rsidRDefault="00B336E3" w:rsidP="00B50ACD">
      <w:pPr>
        <w:keepNext/>
        <w:tabs>
          <w:tab w:val="left" w:pos="4200"/>
          <w:tab w:val="left" w:pos="9240"/>
        </w:tabs>
        <w:ind w:left="480" w:hanging="480"/>
        <w:rPr>
          <w:rFonts w:cs="Arial"/>
        </w:rPr>
      </w:pPr>
      <w:r w:rsidRPr="00845FBC">
        <w:rPr>
          <w:rFonts w:cs="Arial"/>
        </w:rPr>
        <w:t>___ m (multiple)</w:t>
      </w:r>
    </w:p>
    <w:p w14:paraId="3AB286D0" w14:textId="77777777" w:rsidR="00B336E3" w:rsidRPr="00845FBC" w:rsidRDefault="00B336E3" w:rsidP="00B50ACD">
      <w:pPr>
        <w:keepNext/>
        <w:tabs>
          <w:tab w:val="left" w:pos="4200"/>
          <w:tab w:val="left" w:pos="9240"/>
        </w:tabs>
        <w:ind w:left="480" w:hanging="480"/>
        <w:rPr>
          <w:rFonts w:cs="Arial"/>
        </w:rPr>
      </w:pPr>
      <w:r w:rsidRPr="00845FBC">
        <w:rPr>
          <w:rFonts w:cs="Arial"/>
        </w:rPr>
        <w:t>___ r (recurrent)</w:t>
      </w:r>
    </w:p>
    <w:p w14:paraId="6DEA9F65" w14:textId="77777777" w:rsidR="00B336E3" w:rsidRPr="00845FBC" w:rsidRDefault="006C6EDA" w:rsidP="00B50ACD">
      <w:pPr>
        <w:keepNext/>
        <w:tabs>
          <w:tab w:val="left" w:pos="4200"/>
          <w:tab w:val="left" w:pos="9240"/>
        </w:tabs>
        <w:ind w:left="480" w:hanging="480"/>
        <w:rPr>
          <w:rFonts w:cs="Arial"/>
        </w:rPr>
      </w:pPr>
      <w:r w:rsidRPr="00845FBC">
        <w:rPr>
          <w:rFonts w:cs="Arial"/>
        </w:rPr>
        <w:t>___ y (post</w:t>
      </w:r>
      <w:r w:rsidR="00B336E3" w:rsidRPr="00845FBC">
        <w:rPr>
          <w:rFonts w:cs="Arial"/>
        </w:rPr>
        <w:t>treatment)</w:t>
      </w:r>
    </w:p>
    <w:p w14:paraId="5CF1CA9E" w14:textId="77777777" w:rsidR="00B336E3" w:rsidRPr="00845FBC" w:rsidRDefault="00B336E3" w:rsidP="00B50ACD">
      <w:pPr>
        <w:pStyle w:val="Heading3"/>
        <w:rPr>
          <w:rFonts w:cs="Arial"/>
        </w:rPr>
      </w:pPr>
    </w:p>
    <w:p w14:paraId="42F70303" w14:textId="77777777" w:rsidR="00B336E3" w:rsidRPr="009A4BFE" w:rsidRDefault="00B336E3" w:rsidP="00B50ACD">
      <w:pPr>
        <w:pStyle w:val="Heading3"/>
        <w:rPr>
          <w:rFonts w:cs="Arial"/>
          <w:b/>
          <w:bCs/>
          <w:u w:val="none"/>
        </w:rPr>
      </w:pPr>
      <w:r w:rsidRPr="009A4BFE">
        <w:rPr>
          <w:rFonts w:cs="Arial"/>
          <w:b/>
          <w:bCs/>
          <w:u w:val="none"/>
        </w:rPr>
        <w:t>Primary Tumor (pT)</w:t>
      </w:r>
    </w:p>
    <w:p w14:paraId="193B6E59" w14:textId="77777777" w:rsidR="000F76B6" w:rsidRPr="00845FBC" w:rsidRDefault="000F76B6" w:rsidP="00B50ACD">
      <w:pPr>
        <w:rPr>
          <w:rFonts w:cs="Arial"/>
        </w:rPr>
      </w:pPr>
    </w:p>
    <w:p w14:paraId="18050129" w14:textId="77777777" w:rsidR="000F76B6" w:rsidRPr="00845FBC" w:rsidRDefault="000F76B6" w:rsidP="00B50ACD">
      <w:pPr>
        <w:rPr>
          <w:rFonts w:cs="Arial"/>
          <w:i/>
        </w:rPr>
      </w:pPr>
      <w:r w:rsidRPr="00845FBC">
        <w:rPr>
          <w:rFonts w:cs="Arial"/>
          <w:i/>
        </w:rPr>
        <w:t xml:space="preserve">Appendicular </w:t>
      </w:r>
      <w:r w:rsidR="00845FBC">
        <w:rPr>
          <w:rFonts w:cs="Arial"/>
          <w:i/>
        </w:rPr>
        <w:t>S</w:t>
      </w:r>
      <w:r w:rsidRPr="00845FBC">
        <w:rPr>
          <w:rFonts w:cs="Arial"/>
          <w:i/>
        </w:rPr>
        <w:t>keleton, Trunk, Skull, and Facial Bones</w:t>
      </w:r>
    </w:p>
    <w:p w14:paraId="130A378C" w14:textId="77777777" w:rsidR="00B336E3" w:rsidRPr="00845FBC" w:rsidRDefault="00B336E3" w:rsidP="00B50ACD">
      <w:pPr>
        <w:keepNext/>
        <w:tabs>
          <w:tab w:val="left" w:pos="1080"/>
        </w:tabs>
        <w:rPr>
          <w:rFonts w:cs="Arial"/>
        </w:rPr>
      </w:pPr>
      <w:r w:rsidRPr="00845FBC">
        <w:rPr>
          <w:rFonts w:cs="Arial"/>
        </w:rPr>
        <w:t xml:space="preserve">___ </w:t>
      </w:r>
      <w:proofErr w:type="spellStart"/>
      <w:r w:rsidRPr="00845FBC">
        <w:rPr>
          <w:rFonts w:cs="Arial"/>
        </w:rPr>
        <w:t>pTX</w:t>
      </w:r>
      <w:proofErr w:type="spellEnd"/>
      <w:r w:rsidRPr="00845FBC">
        <w:rPr>
          <w:rFonts w:cs="Arial"/>
        </w:rPr>
        <w:t>:</w:t>
      </w:r>
      <w:r w:rsidRPr="00845FBC">
        <w:rPr>
          <w:rFonts w:cs="Arial"/>
        </w:rPr>
        <w:tab/>
        <w:t>Primary tumor cannot be assessed</w:t>
      </w:r>
    </w:p>
    <w:p w14:paraId="0A01AB70" w14:textId="77777777" w:rsidR="00B336E3" w:rsidRPr="00845FBC" w:rsidRDefault="00B336E3" w:rsidP="00B50ACD">
      <w:pPr>
        <w:pStyle w:val="Footer"/>
        <w:keepNext/>
        <w:tabs>
          <w:tab w:val="clear" w:pos="4320"/>
          <w:tab w:val="clear" w:pos="8640"/>
          <w:tab w:val="left" w:pos="1080"/>
        </w:tabs>
        <w:rPr>
          <w:rFonts w:cs="Arial"/>
        </w:rPr>
      </w:pPr>
      <w:r w:rsidRPr="00845FBC">
        <w:rPr>
          <w:rFonts w:cs="Arial"/>
        </w:rPr>
        <w:t>___ pT0:</w:t>
      </w:r>
      <w:r w:rsidRPr="00845FBC">
        <w:rPr>
          <w:rFonts w:cs="Arial"/>
        </w:rPr>
        <w:tab/>
        <w:t>No evidence of primary tumor</w:t>
      </w:r>
    </w:p>
    <w:p w14:paraId="7D1A964A" w14:textId="77777777" w:rsidR="00B336E3" w:rsidRPr="00845FBC" w:rsidRDefault="00B336E3" w:rsidP="00B50ACD">
      <w:pPr>
        <w:keepNext/>
        <w:tabs>
          <w:tab w:val="left" w:pos="1080"/>
        </w:tabs>
        <w:rPr>
          <w:rFonts w:cs="Arial"/>
        </w:rPr>
      </w:pPr>
      <w:r w:rsidRPr="00845FBC">
        <w:rPr>
          <w:rFonts w:cs="Arial"/>
        </w:rPr>
        <w:t>___ pT1:</w:t>
      </w:r>
      <w:r w:rsidRPr="00845FBC">
        <w:rPr>
          <w:rFonts w:cs="Arial"/>
        </w:rPr>
        <w:tab/>
        <w:t xml:space="preserve">Tumor </w:t>
      </w:r>
      <w:r w:rsidR="00CD16A6">
        <w:rPr>
          <w:rFonts w:cs="Arial"/>
        </w:rPr>
        <w:t>≤</w:t>
      </w:r>
      <w:r w:rsidRPr="00845FBC">
        <w:rPr>
          <w:rFonts w:cs="Arial"/>
        </w:rPr>
        <w:t>8 cm in greatest dimension</w:t>
      </w:r>
    </w:p>
    <w:p w14:paraId="00049457" w14:textId="77777777" w:rsidR="00B336E3" w:rsidRPr="00845FBC" w:rsidRDefault="00B336E3" w:rsidP="00B50ACD">
      <w:pPr>
        <w:keepNext/>
        <w:tabs>
          <w:tab w:val="left" w:pos="1080"/>
        </w:tabs>
        <w:rPr>
          <w:rFonts w:cs="Arial"/>
        </w:rPr>
      </w:pPr>
      <w:r w:rsidRPr="00845FBC">
        <w:rPr>
          <w:rFonts w:cs="Arial"/>
        </w:rPr>
        <w:t>___ pT2:</w:t>
      </w:r>
      <w:r w:rsidRPr="00845FBC">
        <w:rPr>
          <w:rFonts w:cs="Arial"/>
        </w:rPr>
        <w:tab/>
        <w:t xml:space="preserve">Tumor </w:t>
      </w:r>
      <w:r w:rsidR="00CD16A6">
        <w:rPr>
          <w:rFonts w:cs="Arial"/>
        </w:rPr>
        <w:t>&gt;</w:t>
      </w:r>
      <w:r w:rsidRPr="00845FBC">
        <w:rPr>
          <w:rFonts w:cs="Arial"/>
        </w:rPr>
        <w:t xml:space="preserve"> 8 cm in greatest dimension</w:t>
      </w:r>
    </w:p>
    <w:p w14:paraId="4ABB8008" w14:textId="77777777" w:rsidR="00B336E3" w:rsidRPr="00845FBC" w:rsidRDefault="00B336E3" w:rsidP="00B50ACD">
      <w:pPr>
        <w:tabs>
          <w:tab w:val="left" w:pos="1080"/>
        </w:tabs>
        <w:rPr>
          <w:rFonts w:cs="Arial"/>
          <w:i/>
        </w:rPr>
      </w:pPr>
      <w:r w:rsidRPr="00845FBC">
        <w:rPr>
          <w:rFonts w:cs="Arial"/>
        </w:rPr>
        <w:t>___ pT3:</w:t>
      </w:r>
      <w:r w:rsidRPr="00845FBC">
        <w:rPr>
          <w:rFonts w:cs="Arial"/>
        </w:rPr>
        <w:tab/>
        <w:t xml:space="preserve">Discontinuous tumors in the primary bone site </w:t>
      </w:r>
    </w:p>
    <w:p w14:paraId="162B961E" w14:textId="77777777" w:rsidR="00B336E3" w:rsidRPr="00845FBC" w:rsidRDefault="00B336E3" w:rsidP="00B50ACD">
      <w:pPr>
        <w:tabs>
          <w:tab w:val="left" w:pos="1080"/>
        </w:tabs>
        <w:rPr>
          <w:rFonts w:cs="Arial"/>
        </w:rPr>
      </w:pPr>
    </w:p>
    <w:p w14:paraId="212AAAC2" w14:textId="77777777" w:rsidR="000F76B6" w:rsidRPr="00845FBC" w:rsidRDefault="000F76B6" w:rsidP="00B50ACD">
      <w:pPr>
        <w:tabs>
          <w:tab w:val="left" w:pos="1080"/>
        </w:tabs>
        <w:rPr>
          <w:rFonts w:cs="Arial"/>
          <w:i/>
        </w:rPr>
      </w:pPr>
      <w:r w:rsidRPr="00845FBC">
        <w:rPr>
          <w:rFonts w:cs="Arial"/>
          <w:i/>
        </w:rPr>
        <w:t>Spine</w:t>
      </w:r>
    </w:p>
    <w:p w14:paraId="7CE58E3E" w14:textId="77777777" w:rsidR="000F76B6" w:rsidRPr="00845FBC" w:rsidRDefault="000F76B6" w:rsidP="00B50ACD">
      <w:pPr>
        <w:tabs>
          <w:tab w:val="left" w:pos="1080"/>
        </w:tabs>
        <w:rPr>
          <w:rFonts w:cs="Arial"/>
        </w:rPr>
      </w:pPr>
      <w:r w:rsidRPr="00845FBC">
        <w:rPr>
          <w:rFonts w:cs="Arial"/>
        </w:rPr>
        <w:t xml:space="preserve">___ </w:t>
      </w:r>
      <w:proofErr w:type="spellStart"/>
      <w:r w:rsidRPr="00845FBC">
        <w:rPr>
          <w:rFonts w:cs="Arial"/>
        </w:rPr>
        <w:t>pTX</w:t>
      </w:r>
      <w:proofErr w:type="spellEnd"/>
      <w:r w:rsidRPr="00845FBC">
        <w:rPr>
          <w:rFonts w:cs="Arial"/>
        </w:rPr>
        <w:t>:</w:t>
      </w:r>
      <w:r w:rsidRPr="00845FBC">
        <w:rPr>
          <w:rFonts w:cs="Arial"/>
        </w:rPr>
        <w:tab/>
        <w:t>Primary tumor cannot be assessed</w:t>
      </w:r>
    </w:p>
    <w:p w14:paraId="0D8EE274" w14:textId="77777777" w:rsidR="000F76B6" w:rsidRPr="00845FBC" w:rsidRDefault="000F76B6" w:rsidP="00B50ACD">
      <w:pPr>
        <w:pStyle w:val="Footer"/>
        <w:tabs>
          <w:tab w:val="clear" w:pos="4320"/>
          <w:tab w:val="clear" w:pos="8640"/>
          <w:tab w:val="left" w:pos="1080"/>
        </w:tabs>
        <w:rPr>
          <w:rFonts w:cs="Arial"/>
        </w:rPr>
      </w:pPr>
      <w:r w:rsidRPr="00845FBC">
        <w:rPr>
          <w:rFonts w:cs="Arial"/>
        </w:rPr>
        <w:t>___ pT0:</w:t>
      </w:r>
      <w:r w:rsidRPr="00845FBC">
        <w:rPr>
          <w:rFonts w:cs="Arial"/>
        </w:rPr>
        <w:tab/>
        <w:t>No evidence of primary tumor</w:t>
      </w:r>
    </w:p>
    <w:p w14:paraId="3D922E6B" w14:textId="77777777" w:rsidR="000F76B6" w:rsidRPr="00845FBC" w:rsidRDefault="000F76B6" w:rsidP="00B50ACD">
      <w:pPr>
        <w:tabs>
          <w:tab w:val="left" w:pos="1080"/>
        </w:tabs>
        <w:rPr>
          <w:rFonts w:cs="Arial"/>
        </w:rPr>
      </w:pPr>
      <w:r w:rsidRPr="00845FBC">
        <w:rPr>
          <w:rFonts w:cs="Arial"/>
        </w:rPr>
        <w:t>___ pT1:</w:t>
      </w:r>
      <w:r w:rsidRPr="00845FBC">
        <w:rPr>
          <w:rFonts w:cs="Arial"/>
        </w:rPr>
        <w:tab/>
        <w:t>Tumor confined to one vertebral segment or two adjacent vertebral segments</w:t>
      </w:r>
    </w:p>
    <w:p w14:paraId="2C0B9424" w14:textId="77777777" w:rsidR="000F76B6" w:rsidRPr="00845FBC" w:rsidRDefault="000F76B6" w:rsidP="00B50ACD">
      <w:pPr>
        <w:tabs>
          <w:tab w:val="left" w:pos="1080"/>
        </w:tabs>
        <w:rPr>
          <w:rFonts w:cs="Arial"/>
        </w:rPr>
      </w:pPr>
      <w:r w:rsidRPr="00845FBC">
        <w:rPr>
          <w:rFonts w:cs="Arial"/>
        </w:rPr>
        <w:t>___ pT2:</w:t>
      </w:r>
      <w:r w:rsidRPr="00845FBC">
        <w:rPr>
          <w:rFonts w:cs="Arial"/>
        </w:rPr>
        <w:tab/>
        <w:t>Tumor confined to three adjacent vertebral segments</w:t>
      </w:r>
    </w:p>
    <w:p w14:paraId="533EF7AD" w14:textId="77777777" w:rsidR="000F76B6" w:rsidRPr="00845FBC" w:rsidRDefault="000F76B6" w:rsidP="00B50ACD">
      <w:pPr>
        <w:tabs>
          <w:tab w:val="left" w:pos="1080"/>
        </w:tabs>
        <w:ind w:left="1080" w:hanging="1080"/>
        <w:rPr>
          <w:rFonts w:cs="Arial"/>
        </w:rPr>
      </w:pPr>
      <w:r w:rsidRPr="00845FBC">
        <w:rPr>
          <w:rFonts w:cs="Arial"/>
        </w:rPr>
        <w:t>___ pT3:</w:t>
      </w:r>
      <w:r w:rsidRPr="00845FBC">
        <w:rPr>
          <w:rFonts w:cs="Arial"/>
        </w:rPr>
        <w:tab/>
        <w:t>Tumor confined to four or more adjacent vertebral segments, or any nonadjacent vertebral segments</w:t>
      </w:r>
    </w:p>
    <w:p w14:paraId="31B09671" w14:textId="77777777" w:rsidR="000F76B6" w:rsidRPr="00845FBC" w:rsidRDefault="008F4F69" w:rsidP="00B50ACD">
      <w:pPr>
        <w:tabs>
          <w:tab w:val="left" w:pos="1080"/>
        </w:tabs>
        <w:rPr>
          <w:rFonts w:cs="Arial"/>
        </w:rPr>
      </w:pPr>
      <w:r w:rsidRPr="00845FBC">
        <w:rPr>
          <w:rFonts w:cs="Arial"/>
        </w:rPr>
        <w:t xml:space="preserve">___ </w:t>
      </w:r>
      <w:r w:rsidR="000F76B6" w:rsidRPr="00845FBC">
        <w:rPr>
          <w:rFonts w:cs="Arial"/>
        </w:rPr>
        <w:t>pT4:</w:t>
      </w:r>
      <w:r w:rsidR="000F76B6" w:rsidRPr="00845FBC">
        <w:rPr>
          <w:rFonts w:cs="Arial"/>
        </w:rPr>
        <w:tab/>
        <w:t>Extension into the spinal canal or great vessels</w:t>
      </w:r>
    </w:p>
    <w:p w14:paraId="5E884AC9" w14:textId="77777777" w:rsidR="000F76B6" w:rsidRPr="00845FBC" w:rsidRDefault="000F76B6" w:rsidP="00B50ACD">
      <w:pPr>
        <w:tabs>
          <w:tab w:val="left" w:pos="1080"/>
        </w:tabs>
        <w:rPr>
          <w:rFonts w:cs="Arial"/>
        </w:rPr>
      </w:pPr>
      <w:r w:rsidRPr="00845FBC">
        <w:rPr>
          <w:rFonts w:cs="Arial"/>
        </w:rPr>
        <w:t>___ pT</w:t>
      </w:r>
      <w:r w:rsidR="00C21F84" w:rsidRPr="00845FBC">
        <w:rPr>
          <w:rFonts w:cs="Arial"/>
        </w:rPr>
        <w:t>4a</w:t>
      </w:r>
      <w:r w:rsidRPr="00845FBC">
        <w:rPr>
          <w:rFonts w:cs="Arial"/>
        </w:rPr>
        <w:t>:</w:t>
      </w:r>
      <w:r w:rsidRPr="00845FBC">
        <w:rPr>
          <w:rFonts w:cs="Arial"/>
        </w:rPr>
        <w:tab/>
      </w:r>
      <w:r w:rsidR="00C21F84" w:rsidRPr="00845FBC">
        <w:rPr>
          <w:rFonts w:cs="Arial"/>
        </w:rPr>
        <w:t>Extension into the spinal canal</w:t>
      </w:r>
    </w:p>
    <w:p w14:paraId="2DA9E3C7" w14:textId="77777777" w:rsidR="00C21F84" w:rsidRPr="00845FBC" w:rsidRDefault="00C21F84" w:rsidP="00B50ACD">
      <w:pPr>
        <w:tabs>
          <w:tab w:val="left" w:pos="1080"/>
        </w:tabs>
        <w:rPr>
          <w:rFonts w:cs="Arial"/>
        </w:rPr>
      </w:pPr>
      <w:r w:rsidRPr="00845FBC">
        <w:rPr>
          <w:rFonts w:cs="Arial"/>
        </w:rPr>
        <w:lastRenderedPageBreak/>
        <w:t>___ pT4b:</w:t>
      </w:r>
      <w:r w:rsidRPr="00845FBC">
        <w:rPr>
          <w:rFonts w:cs="Arial"/>
        </w:rPr>
        <w:tab/>
        <w:t>Evidence of gross vascular invasion or tumor thrombus in the great vessels</w:t>
      </w:r>
    </w:p>
    <w:p w14:paraId="69940C34" w14:textId="77777777" w:rsidR="000F76B6" w:rsidRPr="00845FBC" w:rsidRDefault="000F76B6" w:rsidP="00B50ACD">
      <w:pPr>
        <w:tabs>
          <w:tab w:val="left" w:pos="1080"/>
        </w:tabs>
        <w:rPr>
          <w:rFonts w:cs="Arial"/>
        </w:rPr>
      </w:pPr>
    </w:p>
    <w:p w14:paraId="6FA50898" w14:textId="77777777" w:rsidR="000F76B6" w:rsidRPr="00845FBC" w:rsidRDefault="00C21F84" w:rsidP="00B50ACD">
      <w:pPr>
        <w:keepNext/>
        <w:tabs>
          <w:tab w:val="left" w:pos="1080"/>
        </w:tabs>
        <w:rPr>
          <w:rFonts w:cs="Arial"/>
          <w:i/>
        </w:rPr>
      </w:pPr>
      <w:r w:rsidRPr="00845FBC">
        <w:rPr>
          <w:rFonts w:cs="Arial"/>
          <w:i/>
        </w:rPr>
        <w:t>Pelvis</w:t>
      </w:r>
    </w:p>
    <w:p w14:paraId="2947AA07" w14:textId="77777777" w:rsidR="00C21F84" w:rsidRPr="00845FBC" w:rsidRDefault="00C21F84" w:rsidP="00B50ACD">
      <w:pPr>
        <w:keepNext/>
        <w:tabs>
          <w:tab w:val="left" w:pos="1080"/>
        </w:tabs>
        <w:rPr>
          <w:rFonts w:cs="Arial"/>
        </w:rPr>
      </w:pPr>
      <w:r w:rsidRPr="00845FBC">
        <w:rPr>
          <w:rFonts w:cs="Arial"/>
        </w:rPr>
        <w:t xml:space="preserve">___ </w:t>
      </w:r>
      <w:proofErr w:type="spellStart"/>
      <w:r w:rsidRPr="00845FBC">
        <w:rPr>
          <w:rFonts w:cs="Arial"/>
        </w:rPr>
        <w:t>pTX</w:t>
      </w:r>
      <w:proofErr w:type="spellEnd"/>
      <w:r w:rsidRPr="00845FBC">
        <w:rPr>
          <w:rFonts w:cs="Arial"/>
        </w:rPr>
        <w:t>:</w:t>
      </w:r>
      <w:r w:rsidRPr="00845FBC">
        <w:rPr>
          <w:rFonts w:cs="Arial"/>
        </w:rPr>
        <w:tab/>
        <w:t>Primary tumor cannot be assessed</w:t>
      </w:r>
    </w:p>
    <w:p w14:paraId="3D529D4B" w14:textId="77777777" w:rsidR="00C21F84" w:rsidRPr="00845FBC" w:rsidRDefault="00C21F84" w:rsidP="00B50ACD">
      <w:pPr>
        <w:pStyle w:val="Footer"/>
        <w:keepNext/>
        <w:tabs>
          <w:tab w:val="clear" w:pos="4320"/>
          <w:tab w:val="clear" w:pos="8640"/>
          <w:tab w:val="left" w:pos="1080"/>
        </w:tabs>
        <w:rPr>
          <w:rFonts w:cs="Arial"/>
        </w:rPr>
      </w:pPr>
      <w:r w:rsidRPr="00845FBC">
        <w:rPr>
          <w:rFonts w:cs="Arial"/>
        </w:rPr>
        <w:t>___ pT0:</w:t>
      </w:r>
      <w:r w:rsidRPr="00845FBC">
        <w:rPr>
          <w:rFonts w:cs="Arial"/>
        </w:rPr>
        <w:tab/>
        <w:t>No evidence of primary tumor</w:t>
      </w:r>
    </w:p>
    <w:p w14:paraId="25691C6A" w14:textId="77777777" w:rsidR="00C21F84" w:rsidRPr="00845FBC" w:rsidRDefault="008F4F69" w:rsidP="00B50ACD">
      <w:pPr>
        <w:keepNext/>
        <w:tabs>
          <w:tab w:val="left" w:pos="1080"/>
        </w:tabs>
        <w:rPr>
          <w:rFonts w:cs="Arial"/>
        </w:rPr>
      </w:pPr>
      <w:r w:rsidRPr="00845FBC">
        <w:rPr>
          <w:rFonts w:cs="Arial"/>
        </w:rPr>
        <w:t xml:space="preserve">___ </w:t>
      </w:r>
      <w:r w:rsidR="00C21F84" w:rsidRPr="00845FBC">
        <w:rPr>
          <w:rFonts w:cs="Arial"/>
        </w:rPr>
        <w:t>pT1:</w:t>
      </w:r>
      <w:r w:rsidR="00C21F84" w:rsidRPr="00845FBC">
        <w:rPr>
          <w:rFonts w:cs="Arial"/>
        </w:rPr>
        <w:tab/>
        <w:t>Tumor confined to one pelvic segment with no extraosseous extension</w:t>
      </w:r>
    </w:p>
    <w:p w14:paraId="4C73E400" w14:textId="77777777" w:rsidR="00C21F84" w:rsidRPr="00845FBC" w:rsidRDefault="00C21F84" w:rsidP="00B50ACD">
      <w:pPr>
        <w:keepNext/>
        <w:tabs>
          <w:tab w:val="left" w:pos="1080"/>
        </w:tabs>
        <w:rPr>
          <w:rFonts w:cs="Arial"/>
        </w:rPr>
      </w:pPr>
      <w:r w:rsidRPr="00845FBC">
        <w:rPr>
          <w:rFonts w:cs="Arial"/>
        </w:rPr>
        <w:t>___ pT1a:</w:t>
      </w:r>
      <w:r w:rsidRPr="00845FBC">
        <w:rPr>
          <w:rFonts w:cs="Arial"/>
        </w:rPr>
        <w:tab/>
        <w:t xml:space="preserve">Tumor </w:t>
      </w:r>
      <w:r w:rsidR="00CD16A6">
        <w:rPr>
          <w:rFonts w:cs="Arial"/>
        </w:rPr>
        <w:t>≤</w:t>
      </w:r>
      <w:r w:rsidRPr="00845FBC">
        <w:rPr>
          <w:rFonts w:cs="Arial"/>
        </w:rPr>
        <w:t>8 cm in greatest dimension</w:t>
      </w:r>
    </w:p>
    <w:p w14:paraId="14FEB782" w14:textId="77777777" w:rsidR="00C21F84" w:rsidRPr="00845FBC" w:rsidRDefault="00C21F84" w:rsidP="00B50ACD">
      <w:pPr>
        <w:pStyle w:val="Footer"/>
        <w:keepNext/>
        <w:tabs>
          <w:tab w:val="clear" w:pos="4320"/>
          <w:tab w:val="clear" w:pos="8640"/>
          <w:tab w:val="left" w:pos="1080"/>
        </w:tabs>
        <w:rPr>
          <w:rFonts w:cs="Arial"/>
        </w:rPr>
      </w:pPr>
      <w:r w:rsidRPr="00845FBC">
        <w:rPr>
          <w:rFonts w:cs="Arial"/>
        </w:rPr>
        <w:t>___ pT1b:</w:t>
      </w:r>
      <w:r w:rsidRPr="00845FBC">
        <w:rPr>
          <w:rFonts w:cs="Arial"/>
        </w:rPr>
        <w:tab/>
        <w:t xml:space="preserve">Tumor </w:t>
      </w:r>
      <w:r w:rsidR="00CD16A6">
        <w:rPr>
          <w:rFonts w:cs="Arial"/>
        </w:rPr>
        <w:t>&gt;</w:t>
      </w:r>
      <w:r w:rsidRPr="00845FBC">
        <w:rPr>
          <w:rFonts w:cs="Arial"/>
        </w:rPr>
        <w:t>8 cm in greatest dimension</w:t>
      </w:r>
    </w:p>
    <w:p w14:paraId="0AD2B219" w14:textId="77777777" w:rsidR="00C21F84" w:rsidRPr="00845FBC" w:rsidRDefault="008F4F69" w:rsidP="00B50ACD">
      <w:pPr>
        <w:keepNext/>
        <w:tabs>
          <w:tab w:val="left" w:pos="1080"/>
        </w:tabs>
        <w:ind w:left="1080" w:hanging="1080"/>
        <w:rPr>
          <w:rFonts w:cs="Arial"/>
        </w:rPr>
      </w:pPr>
      <w:r w:rsidRPr="00845FBC">
        <w:rPr>
          <w:rFonts w:cs="Arial"/>
        </w:rPr>
        <w:t xml:space="preserve">___ </w:t>
      </w:r>
      <w:r w:rsidR="00C21F84" w:rsidRPr="00845FBC">
        <w:rPr>
          <w:rFonts w:cs="Arial"/>
        </w:rPr>
        <w:t>pT2:</w:t>
      </w:r>
      <w:r w:rsidR="00C21F84" w:rsidRPr="00845FBC">
        <w:rPr>
          <w:rFonts w:cs="Arial"/>
        </w:rPr>
        <w:tab/>
        <w:t>Tumor confined to one pelvic segment with extraosseous extension or two segments without extraosseous extension</w:t>
      </w:r>
    </w:p>
    <w:p w14:paraId="50072194" w14:textId="77777777" w:rsidR="00C21F84" w:rsidRPr="00845FBC" w:rsidRDefault="00C21F84" w:rsidP="00B50ACD">
      <w:pPr>
        <w:keepNext/>
        <w:tabs>
          <w:tab w:val="left" w:pos="1080"/>
        </w:tabs>
        <w:rPr>
          <w:rFonts w:cs="Arial"/>
        </w:rPr>
      </w:pPr>
      <w:r w:rsidRPr="00845FBC">
        <w:rPr>
          <w:rFonts w:cs="Arial"/>
        </w:rPr>
        <w:t>_</w:t>
      </w:r>
      <w:r w:rsidR="00611A0D">
        <w:rPr>
          <w:rFonts w:cs="Arial"/>
        </w:rPr>
        <w:t>_</w:t>
      </w:r>
      <w:r w:rsidRPr="00845FBC">
        <w:rPr>
          <w:rFonts w:cs="Arial"/>
        </w:rPr>
        <w:t>_ pT2a:</w:t>
      </w:r>
      <w:r w:rsidRPr="00845FBC">
        <w:rPr>
          <w:rFonts w:cs="Arial"/>
        </w:rPr>
        <w:tab/>
        <w:t xml:space="preserve">Tumor </w:t>
      </w:r>
      <w:r w:rsidR="00CD16A6">
        <w:rPr>
          <w:rFonts w:cs="Arial"/>
        </w:rPr>
        <w:t>≤</w:t>
      </w:r>
      <w:r w:rsidRPr="00845FBC">
        <w:rPr>
          <w:rFonts w:cs="Arial"/>
        </w:rPr>
        <w:t>8 cm in greatest dimension</w:t>
      </w:r>
    </w:p>
    <w:p w14:paraId="3CA002F5" w14:textId="77777777" w:rsidR="00C21F84" w:rsidRPr="00845FBC" w:rsidRDefault="00611A0D" w:rsidP="00B50ACD">
      <w:pPr>
        <w:pStyle w:val="Footer"/>
        <w:keepNext/>
        <w:tabs>
          <w:tab w:val="clear" w:pos="4320"/>
          <w:tab w:val="clear" w:pos="8640"/>
          <w:tab w:val="left" w:pos="1080"/>
        </w:tabs>
        <w:rPr>
          <w:rFonts w:cs="Arial"/>
        </w:rPr>
      </w:pPr>
      <w:r>
        <w:rPr>
          <w:rFonts w:cs="Arial"/>
        </w:rPr>
        <w:t>___</w:t>
      </w:r>
      <w:r w:rsidR="00C21F84" w:rsidRPr="00845FBC">
        <w:rPr>
          <w:rFonts w:cs="Arial"/>
        </w:rPr>
        <w:t xml:space="preserve"> pT2b:</w:t>
      </w:r>
      <w:r w:rsidR="00C21F84" w:rsidRPr="00845FBC">
        <w:rPr>
          <w:rFonts w:cs="Arial"/>
        </w:rPr>
        <w:tab/>
        <w:t xml:space="preserve">Tumor </w:t>
      </w:r>
      <w:r w:rsidR="00CD16A6">
        <w:rPr>
          <w:rFonts w:cs="Arial"/>
        </w:rPr>
        <w:t>&gt;</w:t>
      </w:r>
      <w:r w:rsidR="00C21F84" w:rsidRPr="00845FBC">
        <w:rPr>
          <w:rFonts w:cs="Arial"/>
        </w:rPr>
        <w:t>8 cm in greatest dimension</w:t>
      </w:r>
    </w:p>
    <w:p w14:paraId="619E42D3" w14:textId="77777777" w:rsidR="00C21F84" w:rsidRPr="00845FBC" w:rsidRDefault="008F4F69" w:rsidP="00B50ACD">
      <w:pPr>
        <w:pStyle w:val="Footer"/>
        <w:keepNext/>
        <w:tabs>
          <w:tab w:val="clear" w:pos="4320"/>
          <w:tab w:val="clear" w:pos="8640"/>
          <w:tab w:val="left" w:pos="1080"/>
        </w:tabs>
        <w:rPr>
          <w:rFonts w:cs="Arial"/>
        </w:rPr>
      </w:pPr>
      <w:r w:rsidRPr="00845FBC">
        <w:rPr>
          <w:rFonts w:cs="Arial"/>
        </w:rPr>
        <w:t>_</w:t>
      </w:r>
      <w:r w:rsidR="00611A0D">
        <w:rPr>
          <w:rFonts w:cs="Arial"/>
        </w:rPr>
        <w:t>_</w:t>
      </w:r>
      <w:r w:rsidRPr="00845FBC">
        <w:rPr>
          <w:rFonts w:cs="Arial"/>
        </w:rPr>
        <w:t xml:space="preserve">_ </w:t>
      </w:r>
      <w:r w:rsidR="00C21F84" w:rsidRPr="00845FBC">
        <w:rPr>
          <w:rFonts w:cs="Arial"/>
        </w:rPr>
        <w:t>pT3:</w:t>
      </w:r>
      <w:r w:rsidR="00C21F84" w:rsidRPr="00845FBC">
        <w:rPr>
          <w:rFonts w:cs="Arial"/>
        </w:rPr>
        <w:tab/>
        <w:t>Tumor spanning two pelvic segments with extraosseous extension</w:t>
      </w:r>
    </w:p>
    <w:p w14:paraId="0F767FFB" w14:textId="77777777" w:rsidR="00C21F84" w:rsidRPr="00845FBC" w:rsidRDefault="00611A0D" w:rsidP="00B50ACD">
      <w:pPr>
        <w:keepNext/>
        <w:tabs>
          <w:tab w:val="left" w:pos="1080"/>
        </w:tabs>
        <w:rPr>
          <w:rFonts w:cs="Arial"/>
        </w:rPr>
      </w:pPr>
      <w:r>
        <w:rPr>
          <w:rFonts w:cs="Arial"/>
        </w:rPr>
        <w:t>_</w:t>
      </w:r>
      <w:r w:rsidR="00C21F84" w:rsidRPr="00845FBC">
        <w:rPr>
          <w:rFonts w:cs="Arial"/>
        </w:rPr>
        <w:t>__</w:t>
      </w:r>
      <w:r w:rsidR="003F5BDF">
        <w:rPr>
          <w:rFonts w:cs="Arial"/>
        </w:rPr>
        <w:t xml:space="preserve"> </w:t>
      </w:r>
      <w:r w:rsidR="00C21F84" w:rsidRPr="00845FBC">
        <w:rPr>
          <w:rFonts w:cs="Arial"/>
        </w:rPr>
        <w:t>pT3a:</w:t>
      </w:r>
      <w:r w:rsidR="00C21F84" w:rsidRPr="00845FBC">
        <w:rPr>
          <w:rFonts w:cs="Arial"/>
        </w:rPr>
        <w:tab/>
        <w:t xml:space="preserve">Tumor </w:t>
      </w:r>
      <w:r w:rsidR="00CD16A6">
        <w:rPr>
          <w:rFonts w:cs="Arial"/>
        </w:rPr>
        <w:t>≤</w:t>
      </w:r>
      <w:r w:rsidR="00C21F84" w:rsidRPr="00845FBC">
        <w:rPr>
          <w:rFonts w:cs="Arial"/>
        </w:rPr>
        <w:t>8 cm in greatest dimension</w:t>
      </w:r>
    </w:p>
    <w:p w14:paraId="5018862A" w14:textId="77777777" w:rsidR="00C21F84" w:rsidRPr="00845FBC" w:rsidRDefault="00611A0D" w:rsidP="00B50ACD">
      <w:pPr>
        <w:pStyle w:val="Footer"/>
        <w:keepNext/>
        <w:tabs>
          <w:tab w:val="clear" w:pos="4320"/>
          <w:tab w:val="clear" w:pos="8640"/>
          <w:tab w:val="left" w:pos="1080"/>
        </w:tabs>
        <w:rPr>
          <w:rFonts w:cs="Arial"/>
        </w:rPr>
      </w:pPr>
      <w:r>
        <w:rPr>
          <w:rFonts w:cs="Arial"/>
        </w:rPr>
        <w:t>_</w:t>
      </w:r>
      <w:r w:rsidR="00C21F84" w:rsidRPr="00845FBC">
        <w:rPr>
          <w:rFonts w:cs="Arial"/>
        </w:rPr>
        <w:t>_</w:t>
      </w:r>
      <w:r w:rsidR="003F5BDF">
        <w:rPr>
          <w:rFonts w:cs="Arial"/>
        </w:rPr>
        <w:t>_</w:t>
      </w:r>
      <w:r w:rsidR="00C21F84" w:rsidRPr="00845FBC">
        <w:rPr>
          <w:rFonts w:cs="Arial"/>
        </w:rPr>
        <w:t xml:space="preserve"> pT3b:</w:t>
      </w:r>
      <w:r w:rsidR="00C21F84" w:rsidRPr="00845FBC">
        <w:rPr>
          <w:rFonts w:cs="Arial"/>
        </w:rPr>
        <w:tab/>
        <w:t xml:space="preserve">Tumor </w:t>
      </w:r>
      <w:r w:rsidR="00CD16A6">
        <w:rPr>
          <w:rFonts w:cs="Arial"/>
        </w:rPr>
        <w:t>&gt;</w:t>
      </w:r>
      <w:r w:rsidR="00C21F84" w:rsidRPr="00845FBC">
        <w:rPr>
          <w:rFonts w:cs="Arial"/>
        </w:rPr>
        <w:t>8 cm in greatest dimension</w:t>
      </w:r>
    </w:p>
    <w:p w14:paraId="57DFEC1F" w14:textId="77777777" w:rsidR="00C21F84" w:rsidRPr="00845FBC" w:rsidRDefault="008F4F69" w:rsidP="00B50ACD">
      <w:pPr>
        <w:keepNext/>
        <w:tabs>
          <w:tab w:val="left" w:pos="1080"/>
        </w:tabs>
        <w:rPr>
          <w:rFonts w:cs="Arial"/>
        </w:rPr>
      </w:pPr>
      <w:r w:rsidRPr="00845FBC">
        <w:rPr>
          <w:rFonts w:cs="Arial"/>
        </w:rPr>
        <w:t xml:space="preserve">___ </w:t>
      </w:r>
      <w:r w:rsidR="00C21F84" w:rsidRPr="00845FBC">
        <w:rPr>
          <w:rFonts w:cs="Arial"/>
        </w:rPr>
        <w:t>pT4:</w:t>
      </w:r>
      <w:r w:rsidR="00C21F84" w:rsidRPr="00845FBC">
        <w:rPr>
          <w:rFonts w:cs="Arial"/>
        </w:rPr>
        <w:tab/>
        <w:t>Tumor spanning three pelvic segments or crossing the sacroiliac joint</w:t>
      </w:r>
    </w:p>
    <w:p w14:paraId="44724C8F" w14:textId="77777777" w:rsidR="00C21F84" w:rsidRPr="00845FBC" w:rsidRDefault="00611A0D" w:rsidP="00B50ACD">
      <w:pPr>
        <w:keepNext/>
        <w:tabs>
          <w:tab w:val="left" w:pos="1080"/>
        </w:tabs>
        <w:rPr>
          <w:rFonts w:cs="Arial"/>
        </w:rPr>
      </w:pPr>
      <w:r>
        <w:rPr>
          <w:rFonts w:cs="Arial"/>
        </w:rPr>
        <w:t>_</w:t>
      </w:r>
      <w:r w:rsidR="00C21F84" w:rsidRPr="00845FBC">
        <w:rPr>
          <w:rFonts w:cs="Arial"/>
        </w:rPr>
        <w:t>__ pT4a:</w:t>
      </w:r>
      <w:r w:rsidR="00C21F84" w:rsidRPr="00845FBC">
        <w:rPr>
          <w:rFonts w:cs="Arial"/>
        </w:rPr>
        <w:tab/>
        <w:t xml:space="preserve">Tumor </w:t>
      </w:r>
      <w:r w:rsidR="00265372" w:rsidRPr="00845FBC">
        <w:rPr>
          <w:rFonts w:cs="Arial"/>
        </w:rPr>
        <w:t xml:space="preserve">involves sacroiliac joint and </w:t>
      </w:r>
      <w:r w:rsidR="00C21F84" w:rsidRPr="00845FBC">
        <w:rPr>
          <w:rFonts w:cs="Arial"/>
        </w:rPr>
        <w:t>exten</w:t>
      </w:r>
      <w:r w:rsidR="00265372" w:rsidRPr="00845FBC">
        <w:rPr>
          <w:rFonts w:cs="Arial"/>
        </w:rPr>
        <w:t>ds</w:t>
      </w:r>
      <w:r w:rsidR="00C21F84" w:rsidRPr="00845FBC">
        <w:rPr>
          <w:rFonts w:cs="Arial"/>
        </w:rPr>
        <w:t xml:space="preserve"> medial to the sacral neuroforamen</w:t>
      </w:r>
    </w:p>
    <w:p w14:paraId="6FEFE7FB" w14:textId="77777777" w:rsidR="00C21F84" w:rsidRPr="00845FBC" w:rsidRDefault="00611A0D" w:rsidP="00B50ACD">
      <w:pPr>
        <w:pStyle w:val="Footer"/>
        <w:tabs>
          <w:tab w:val="clear" w:pos="4320"/>
          <w:tab w:val="clear" w:pos="8640"/>
          <w:tab w:val="left" w:pos="1080"/>
        </w:tabs>
        <w:ind w:left="1080" w:hanging="1080"/>
        <w:rPr>
          <w:rFonts w:cs="Arial"/>
        </w:rPr>
      </w:pPr>
      <w:r>
        <w:rPr>
          <w:rFonts w:cs="Arial"/>
        </w:rPr>
        <w:t>_</w:t>
      </w:r>
      <w:r w:rsidR="00C21F84" w:rsidRPr="00845FBC">
        <w:rPr>
          <w:rFonts w:cs="Arial"/>
        </w:rPr>
        <w:t>__ pT4b:</w:t>
      </w:r>
      <w:r w:rsidR="00C21F84" w:rsidRPr="00845FBC">
        <w:rPr>
          <w:rFonts w:cs="Arial"/>
        </w:rPr>
        <w:tab/>
        <w:t>Tumor encasement of external iliac vessels or presence of gross tumor thrombus in major pelvic vessels</w:t>
      </w:r>
    </w:p>
    <w:p w14:paraId="61A386D0" w14:textId="77777777" w:rsidR="00C21F84" w:rsidRPr="00845FBC" w:rsidRDefault="00C21F84" w:rsidP="00B50ACD">
      <w:pPr>
        <w:tabs>
          <w:tab w:val="left" w:pos="1080"/>
        </w:tabs>
        <w:rPr>
          <w:rFonts w:cs="Arial"/>
        </w:rPr>
      </w:pPr>
    </w:p>
    <w:p w14:paraId="5977B280" w14:textId="12913EF2" w:rsidR="00B336E3" w:rsidRPr="009A4BFE" w:rsidRDefault="00B336E3" w:rsidP="00B50ACD">
      <w:pPr>
        <w:pStyle w:val="Heading3"/>
        <w:rPr>
          <w:rFonts w:cs="Arial"/>
          <w:b/>
          <w:bCs/>
          <w:color w:val="000000"/>
          <w:u w:val="none"/>
        </w:rPr>
      </w:pPr>
      <w:r w:rsidRPr="009A4BFE">
        <w:rPr>
          <w:rFonts w:cs="Arial"/>
          <w:b/>
          <w:bCs/>
          <w:u w:val="none"/>
        </w:rPr>
        <w:t>Regional Lymph Nodes (pN</w:t>
      </w:r>
      <w:r w:rsidRPr="009A4BFE">
        <w:rPr>
          <w:rFonts w:cs="Arial"/>
          <w:b/>
          <w:bCs/>
          <w:color w:val="000000"/>
          <w:u w:val="none"/>
        </w:rPr>
        <w:t xml:space="preserve">) (Note </w:t>
      </w:r>
      <w:r w:rsidR="008308F9" w:rsidRPr="009A4BFE">
        <w:rPr>
          <w:rFonts w:cs="Arial"/>
          <w:b/>
          <w:bCs/>
          <w:color w:val="000000"/>
          <w:u w:val="none"/>
        </w:rPr>
        <w:t>I</w:t>
      </w:r>
      <w:r w:rsidRPr="009A4BFE">
        <w:rPr>
          <w:rFonts w:cs="Arial"/>
          <w:b/>
          <w:bCs/>
          <w:color w:val="000000"/>
          <w:u w:val="none"/>
        </w:rPr>
        <w:t>)</w:t>
      </w:r>
    </w:p>
    <w:p w14:paraId="6007C9A4" w14:textId="77777777" w:rsidR="00B336E3" w:rsidRPr="00845FBC" w:rsidRDefault="00B336E3" w:rsidP="00B50ACD">
      <w:pPr>
        <w:pStyle w:val="Footer"/>
        <w:keepNext/>
        <w:tabs>
          <w:tab w:val="clear" w:pos="4320"/>
          <w:tab w:val="clear" w:pos="8640"/>
          <w:tab w:val="left" w:pos="1080"/>
        </w:tabs>
        <w:rPr>
          <w:rFonts w:cs="Arial"/>
        </w:rPr>
      </w:pPr>
      <w:r w:rsidRPr="00845FBC">
        <w:rPr>
          <w:rFonts w:cs="Arial"/>
        </w:rPr>
        <w:t xml:space="preserve">___ </w:t>
      </w:r>
      <w:proofErr w:type="spellStart"/>
      <w:r w:rsidRPr="00845FBC">
        <w:rPr>
          <w:rFonts w:cs="Arial"/>
        </w:rPr>
        <w:t>pNX</w:t>
      </w:r>
      <w:proofErr w:type="spellEnd"/>
      <w:r w:rsidRPr="00845FBC">
        <w:rPr>
          <w:rFonts w:cs="Arial"/>
        </w:rPr>
        <w:t>:</w:t>
      </w:r>
      <w:r w:rsidRPr="00845FBC">
        <w:rPr>
          <w:rFonts w:cs="Arial"/>
        </w:rPr>
        <w:tab/>
        <w:t>Regional lymph nodes cannot be assessed</w:t>
      </w:r>
      <w:r w:rsidR="00941F58" w:rsidRPr="00941F58">
        <w:rPr>
          <w:rFonts w:cs="Arial"/>
          <w:vertAlign w:val="superscript"/>
        </w:rPr>
        <w:t>#</w:t>
      </w:r>
    </w:p>
    <w:p w14:paraId="25CF7D0F" w14:textId="77777777" w:rsidR="00B336E3" w:rsidRPr="00845FBC" w:rsidRDefault="00B336E3" w:rsidP="00B50ACD">
      <w:pPr>
        <w:keepNext/>
        <w:tabs>
          <w:tab w:val="left" w:pos="1080"/>
        </w:tabs>
        <w:rPr>
          <w:rFonts w:cs="Arial"/>
        </w:rPr>
      </w:pPr>
      <w:r w:rsidRPr="00845FBC">
        <w:rPr>
          <w:rFonts w:cs="Arial"/>
        </w:rPr>
        <w:t>___ pN0:</w:t>
      </w:r>
      <w:r w:rsidRPr="00845FBC">
        <w:rPr>
          <w:rFonts w:cs="Arial"/>
        </w:rPr>
        <w:tab/>
        <w:t>No regional lymph node metastasis</w:t>
      </w:r>
    </w:p>
    <w:p w14:paraId="23FD722E" w14:textId="77777777" w:rsidR="00B336E3" w:rsidRDefault="00B336E3" w:rsidP="00B50ACD">
      <w:pPr>
        <w:keepNext/>
        <w:tabs>
          <w:tab w:val="left" w:pos="1080"/>
        </w:tabs>
        <w:rPr>
          <w:rFonts w:cs="Arial"/>
        </w:rPr>
      </w:pPr>
      <w:r w:rsidRPr="00845FBC">
        <w:rPr>
          <w:rFonts w:cs="Arial"/>
        </w:rPr>
        <w:t>___ pN1:</w:t>
      </w:r>
      <w:r w:rsidRPr="00845FBC">
        <w:rPr>
          <w:rFonts w:cs="Arial"/>
        </w:rPr>
        <w:tab/>
        <w:t>Regional lymph node metastasis</w:t>
      </w:r>
    </w:p>
    <w:p w14:paraId="4D121E5C" w14:textId="77777777" w:rsidR="00941F58" w:rsidRPr="00941F58" w:rsidRDefault="00941F58" w:rsidP="00B50ACD">
      <w:pPr>
        <w:keepNext/>
        <w:tabs>
          <w:tab w:val="left" w:pos="1080"/>
        </w:tabs>
        <w:spacing w:before="120"/>
        <w:rPr>
          <w:rFonts w:cs="Arial"/>
          <w:i/>
          <w:sz w:val="18"/>
          <w:szCs w:val="18"/>
        </w:rPr>
      </w:pPr>
      <w:r w:rsidRPr="00941F58">
        <w:rPr>
          <w:i/>
          <w:sz w:val="18"/>
          <w:szCs w:val="18"/>
          <w:vertAlign w:val="superscript"/>
        </w:rPr>
        <w:t xml:space="preserve"># </w:t>
      </w:r>
      <w:r w:rsidRPr="00941F58">
        <w:rPr>
          <w:i/>
          <w:sz w:val="18"/>
          <w:szCs w:val="18"/>
        </w:rPr>
        <w:t>Note: Because of the rarity of lymph node involvement in bone sarcomas, the designation NX may not be appropriate, and cases should be considered N0 unless clinical node involvement clearly is evident.</w:t>
      </w:r>
    </w:p>
    <w:p w14:paraId="4B238C7C" w14:textId="77777777" w:rsidR="00B336E3" w:rsidRPr="00845FBC" w:rsidRDefault="00B336E3" w:rsidP="00B50ACD">
      <w:pPr>
        <w:tabs>
          <w:tab w:val="left" w:pos="1080"/>
        </w:tabs>
        <w:rPr>
          <w:rFonts w:cs="Arial"/>
        </w:rPr>
      </w:pPr>
    </w:p>
    <w:p w14:paraId="2DD13B74" w14:textId="77777777" w:rsidR="008C59E4" w:rsidRPr="009A4BFE" w:rsidRDefault="00B336E3" w:rsidP="00B50ACD">
      <w:pPr>
        <w:pStyle w:val="Heading3"/>
        <w:rPr>
          <w:rFonts w:cs="Arial"/>
          <w:b/>
          <w:bCs/>
          <w:u w:val="none"/>
        </w:rPr>
      </w:pPr>
      <w:r w:rsidRPr="009A4BFE">
        <w:rPr>
          <w:rFonts w:cs="Arial"/>
          <w:b/>
          <w:bCs/>
          <w:u w:val="none"/>
        </w:rPr>
        <w:t>Distant Metastasis (</w:t>
      </w:r>
      <w:proofErr w:type="spellStart"/>
      <w:r w:rsidRPr="009A4BFE">
        <w:rPr>
          <w:rFonts w:cs="Arial"/>
          <w:b/>
          <w:bCs/>
          <w:u w:val="none"/>
        </w:rPr>
        <w:t>pM</w:t>
      </w:r>
      <w:proofErr w:type="spellEnd"/>
      <w:r w:rsidRPr="009A4BFE">
        <w:rPr>
          <w:rFonts w:cs="Arial"/>
          <w:b/>
          <w:bCs/>
          <w:u w:val="none"/>
        </w:rPr>
        <w:t>)</w:t>
      </w:r>
      <w:r w:rsidR="008C59E4" w:rsidRPr="009A4BFE">
        <w:rPr>
          <w:rFonts w:cs="Arial"/>
          <w:b/>
          <w:bCs/>
          <w:u w:val="none"/>
        </w:rPr>
        <w:t xml:space="preserve"> (required only if </w:t>
      </w:r>
      <w:r w:rsidR="004176AF" w:rsidRPr="009A4BFE">
        <w:rPr>
          <w:rFonts w:cs="Arial"/>
          <w:b/>
          <w:bCs/>
          <w:u w:val="none"/>
        </w:rPr>
        <w:t>confirmed pathologically in this case)</w:t>
      </w:r>
      <w:r w:rsidR="008C59E4" w:rsidRPr="009A4BFE">
        <w:rPr>
          <w:rFonts w:cs="Arial"/>
          <w:b/>
          <w:bCs/>
          <w:u w:val="none"/>
        </w:rPr>
        <w:t xml:space="preserve"> </w:t>
      </w:r>
    </w:p>
    <w:p w14:paraId="4EE292C7" w14:textId="77777777" w:rsidR="00B336E3" w:rsidRPr="00845FBC" w:rsidRDefault="00B336E3" w:rsidP="00B50ACD">
      <w:pPr>
        <w:keepNext/>
        <w:tabs>
          <w:tab w:val="left" w:pos="1080"/>
        </w:tabs>
        <w:rPr>
          <w:rFonts w:cs="Arial"/>
        </w:rPr>
      </w:pPr>
      <w:r w:rsidRPr="00845FBC">
        <w:rPr>
          <w:rFonts w:cs="Arial"/>
        </w:rPr>
        <w:t>___ pM1a:</w:t>
      </w:r>
      <w:r w:rsidRPr="00845FBC">
        <w:rPr>
          <w:rFonts w:cs="Arial"/>
        </w:rPr>
        <w:tab/>
        <w:t>Lung</w:t>
      </w:r>
    </w:p>
    <w:p w14:paraId="6525BAA0" w14:textId="77777777" w:rsidR="00B336E3" w:rsidRPr="00845FBC" w:rsidRDefault="00B336E3" w:rsidP="00B50ACD">
      <w:pPr>
        <w:keepNext/>
        <w:tabs>
          <w:tab w:val="left" w:pos="1080"/>
        </w:tabs>
        <w:rPr>
          <w:rFonts w:cs="Arial"/>
          <w:i/>
        </w:rPr>
      </w:pPr>
      <w:r w:rsidRPr="00845FBC">
        <w:rPr>
          <w:rFonts w:cs="Arial"/>
        </w:rPr>
        <w:t>___ pM1b:</w:t>
      </w:r>
      <w:r w:rsidRPr="00845FBC">
        <w:rPr>
          <w:rFonts w:cs="Arial"/>
        </w:rPr>
        <w:tab/>
        <w:t xml:space="preserve">Metastasis involving distant sites other than lung </w:t>
      </w:r>
    </w:p>
    <w:p w14:paraId="73758043" w14:textId="77777777" w:rsidR="00B336E3" w:rsidRPr="00845FBC" w:rsidRDefault="00B336E3" w:rsidP="00B50ACD">
      <w:pPr>
        <w:tabs>
          <w:tab w:val="left" w:pos="1080"/>
        </w:tabs>
        <w:rPr>
          <w:rFonts w:cs="Arial"/>
        </w:rPr>
      </w:pPr>
      <w:r w:rsidRPr="00845FBC">
        <w:rPr>
          <w:rFonts w:cs="Arial"/>
        </w:rPr>
        <w:tab/>
        <w:t xml:space="preserve">Specify site(s), if known: </w:t>
      </w:r>
      <w:r w:rsidRPr="00845FBC">
        <w:rPr>
          <w:rFonts w:cs="Arial"/>
          <w:kern w:val="20"/>
        </w:rPr>
        <w:t>____________________________</w:t>
      </w:r>
    </w:p>
    <w:p w14:paraId="7DC67901" w14:textId="77777777" w:rsidR="00B336E3" w:rsidRPr="00845FBC" w:rsidRDefault="00B336E3" w:rsidP="00B50ACD">
      <w:pPr>
        <w:tabs>
          <w:tab w:val="left" w:pos="4200"/>
          <w:tab w:val="left" w:pos="9240"/>
        </w:tabs>
        <w:rPr>
          <w:rFonts w:cs="Arial"/>
        </w:rPr>
      </w:pPr>
    </w:p>
    <w:p w14:paraId="421D2681" w14:textId="77777777" w:rsidR="00B336E3" w:rsidRPr="00845FBC" w:rsidRDefault="0072709F" w:rsidP="00B50ACD">
      <w:pPr>
        <w:pStyle w:val="Heading2"/>
        <w:rPr>
          <w:rFonts w:cs="Arial"/>
        </w:rPr>
      </w:pPr>
      <w:r w:rsidRPr="00845FBC">
        <w:rPr>
          <w:rFonts w:cs="Arial"/>
        </w:rPr>
        <w:t xml:space="preserve">+ </w:t>
      </w:r>
      <w:r w:rsidR="00B336E3" w:rsidRPr="00845FBC">
        <w:rPr>
          <w:rFonts w:cs="Arial"/>
        </w:rPr>
        <w:t>Additional Pathologic Findings</w:t>
      </w:r>
    </w:p>
    <w:p w14:paraId="735B088A" w14:textId="77777777" w:rsidR="00B336E3" w:rsidRPr="00845FBC" w:rsidRDefault="0072709F" w:rsidP="00B50ACD">
      <w:pPr>
        <w:rPr>
          <w:rFonts w:cs="Arial"/>
        </w:rPr>
      </w:pPr>
      <w:r w:rsidRPr="00845FBC">
        <w:rPr>
          <w:rFonts w:cs="Arial"/>
        </w:rPr>
        <w:t xml:space="preserve">+ </w:t>
      </w:r>
      <w:r w:rsidR="00B336E3" w:rsidRPr="00845FBC">
        <w:rPr>
          <w:rFonts w:cs="Arial"/>
        </w:rPr>
        <w:t xml:space="preserve">Specify: </w:t>
      </w:r>
      <w:r w:rsidR="00B336E3" w:rsidRPr="00845FBC">
        <w:rPr>
          <w:rFonts w:cs="Arial"/>
          <w:kern w:val="20"/>
        </w:rPr>
        <w:t>____________________________</w:t>
      </w:r>
    </w:p>
    <w:p w14:paraId="066382A2" w14:textId="77777777" w:rsidR="00B336E3" w:rsidRPr="00845FBC" w:rsidRDefault="00B336E3" w:rsidP="00B50ACD">
      <w:pPr>
        <w:rPr>
          <w:rFonts w:cs="Arial"/>
        </w:rPr>
      </w:pPr>
    </w:p>
    <w:p w14:paraId="329734EE" w14:textId="77777777" w:rsidR="00B336E3" w:rsidRPr="00845FBC" w:rsidRDefault="00B336E3" w:rsidP="00B50ACD">
      <w:pPr>
        <w:pStyle w:val="Heading2"/>
        <w:rPr>
          <w:rFonts w:cs="Arial"/>
        </w:rPr>
      </w:pPr>
      <w:r w:rsidRPr="00845FBC">
        <w:rPr>
          <w:rFonts w:cs="Arial"/>
        </w:rPr>
        <w:t xml:space="preserve">Ancillary Studies </w:t>
      </w:r>
      <w:r w:rsidR="00CC3B6D" w:rsidRPr="00845FBC">
        <w:rPr>
          <w:rFonts w:cs="Arial"/>
        </w:rPr>
        <w:t>(required only if applicable)</w:t>
      </w:r>
    </w:p>
    <w:p w14:paraId="6DD64B26" w14:textId="77777777" w:rsidR="00B336E3" w:rsidRPr="00845FBC" w:rsidRDefault="00B336E3" w:rsidP="00B50ACD">
      <w:pPr>
        <w:rPr>
          <w:rFonts w:cs="Arial"/>
        </w:rPr>
      </w:pPr>
    </w:p>
    <w:p w14:paraId="510DF5F4" w14:textId="77777777" w:rsidR="00B336E3" w:rsidRPr="00AC32AD" w:rsidRDefault="00B336E3" w:rsidP="00B50ACD">
      <w:pPr>
        <w:pStyle w:val="Heading3"/>
        <w:keepLines/>
        <w:tabs>
          <w:tab w:val="left" w:pos="1080"/>
        </w:tabs>
      </w:pPr>
      <w:r w:rsidRPr="009A4BFE">
        <w:rPr>
          <w:rFonts w:cs="Arial"/>
          <w:b/>
          <w:bCs/>
          <w:u w:val="none"/>
        </w:rPr>
        <w:t>Immunohistochemistry</w:t>
      </w:r>
      <w:r w:rsidR="00790AFD" w:rsidRPr="009A4BFE">
        <w:rPr>
          <w:rFonts w:cs="Arial"/>
          <w:b/>
          <w:bCs/>
          <w:u w:val="none"/>
        </w:rPr>
        <w:t xml:space="preserve"> </w:t>
      </w:r>
      <w:r w:rsidR="00790AFD" w:rsidRPr="009A4BFE">
        <w:rPr>
          <w:rFonts w:cs="Arial"/>
          <w:u w:val="none"/>
        </w:rPr>
        <w:t>(s</w:t>
      </w:r>
      <w:r w:rsidRPr="009A4BFE">
        <w:rPr>
          <w:u w:val="none"/>
        </w:rPr>
        <w:t>pecify</w:t>
      </w:r>
      <w:r w:rsidR="00790AFD" w:rsidRPr="009A4BFE">
        <w:rPr>
          <w:u w:val="none"/>
        </w:rPr>
        <w:t>)</w:t>
      </w:r>
      <w:r w:rsidRPr="009A4BFE">
        <w:rPr>
          <w:u w:val="none"/>
        </w:rPr>
        <w:t xml:space="preserve">: </w:t>
      </w:r>
      <w:r w:rsidRPr="00AC32AD">
        <w:t>____________________________</w:t>
      </w:r>
    </w:p>
    <w:p w14:paraId="1FA162F1" w14:textId="77777777" w:rsidR="00B336E3" w:rsidRPr="00845FBC" w:rsidRDefault="00B336E3" w:rsidP="00B50ACD">
      <w:pPr>
        <w:keepNext/>
        <w:keepLines/>
        <w:tabs>
          <w:tab w:val="left" w:pos="1080"/>
        </w:tabs>
        <w:rPr>
          <w:rFonts w:cs="Arial"/>
        </w:rPr>
      </w:pPr>
      <w:r w:rsidRPr="00845FBC">
        <w:rPr>
          <w:rFonts w:cs="Arial"/>
        </w:rPr>
        <w:t>___ Not performed</w:t>
      </w:r>
    </w:p>
    <w:p w14:paraId="0D5D6E1A" w14:textId="77777777" w:rsidR="00B336E3" w:rsidRPr="00845FBC" w:rsidRDefault="00B336E3" w:rsidP="00B50ACD">
      <w:pPr>
        <w:keepNext/>
        <w:keepLines/>
        <w:tabs>
          <w:tab w:val="left" w:pos="1080"/>
        </w:tabs>
        <w:rPr>
          <w:rFonts w:cs="Arial"/>
        </w:rPr>
      </w:pPr>
    </w:p>
    <w:p w14:paraId="545597E9" w14:textId="77777777" w:rsidR="00B336E3" w:rsidRPr="00845FBC" w:rsidRDefault="00B336E3" w:rsidP="00B50ACD">
      <w:pPr>
        <w:rPr>
          <w:rFonts w:cs="Arial"/>
          <w:kern w:val="20"/>
        </w:rPr>
      </w:pPr>
      <w:r w:rsidRPr="009A4BFE">
        <w:rPr>
          <w:rFonts w:cs="Arial"/>
          <w:b/>
          <w:bCs/>
          <w:kern w:val="20"/>
        </w:rPr>
        <w:t>Cytogenetics</w:t>
      </w:r>
      <w:r w:rsidR="00790AFD">
        <w:rPr>
          <w:rFonts w:cs="Arial"/>
          <w:kern w:val="20"/>
        </w:rPr>
        <w:t xml:space="preserve"> (s</w:t>
      </w:r>
      <w:r w:rsidRPr="00845FBC">
        <w:rPr>
          <w:rFonts w:cs="Arial"/>
          <w:kern w:val="20"/>
        </w:rPr>
        <w:t>pecify</w:t>
      </w:r>
      <w:r w:rsidR="00790AFD">
        <w:rPr>
          <w:rFonts w:cs="Arial"/>
          <w:kern w:val="20"/>
        </w:rPr>
        <w:t>)</w:t>
      </w:r>
      <w:r w:rsidRPr="00845FBC">
        <w:rPr>
          <w:rFonts w:cs="Arial"/>
          <w:kern w:val="20"/>
        </w:rPr>
        <w:t xml:space="preserve">: </w:t>
      </w:r>
      <w:r w:rsidRPr="00845FBC">
        <w:rPr>
          <w:rFonts w:cs="Arial"/>
        </w:rPr>
        <w:t>____________________________</w:t>
      </w:r>
    </w:p>
    <w:p w14:paraId="72B1B5E2" w14:textId="77777777" w:rsidR="00B336E3" w:rsidRPr="00845FBC" w:rsidRDefault="00B336E3" w:rsidP="00B50ACD">
      <w:pPr>
        <w:rPr>
          <w:rFonts w:cs="Arial"/>
          <w:kern w:val="20"/>
        </w:rPr>
      </w:pPr>
      <w:r w:rsidRPr="00845FBC">
        <w:rPr>
          <w:rFonts w:cs="Arial"/>
          <w:kern w:val="20"/>
        </w:rPr>
        <w:t>___ Not performed</w:t>
      </w:r>
    </w:p>
    <w:p w14:paraId="269BA30D" w14:textId="77777777" w:rsidR="00B336E3" w:rsidRPr="00845FBC" w:rsidRDefault="00B336E3" w:rsidP="00B50ACD">
      <w:pPr>
        <w:rPr>
          <w:rFonts w:cs="Arial"/>
          <w:kern w:val="20"/>
        </w:rPr>
      </w:pPr>
    </w:p>
    <w:p w14:paraId="3BCAFE9E" w14:textId="77777777" w:rsidR="00B336E3" w:rsidRPr="00845FBC" w:rsidRDefault="00B336E3" w:rsidP="00B50ACD">
      <w:pPr>
        <w:rPr>
          <w:rFonts w:cs="Arial"/>
          <w:kern w:val="20"/>
        </w:rPr>
      </w:pPr>
      <w:r w:rsidRPr="009A4BFE">
        <w:rPr>
          <w:rFonts w:cs="Arial"/>
          <w:b/>
          <w:bCs/>
          <w:kern w:val="20"/>
        </w:rPr>
        <w:t>Molecular Pathology</w:t>
      </w:r>
      <w:r w:rsidR="00790AFD">
        <w:rPr>
          <w:rFonts w:cs="Arial"/>
          <w:kern w:val="20"/>
        </w:rPr>
        <w:t xml:space="preserve"> (s</w:t>
      </w:r>
      <w:r w:rsidRPr="00845FBC">
        <w:rPr>
          <w:rFonts w:cs="Arial"/>
          <w:kern w:val="20"/>
        </w:rPr>
        <w:t>pecify</w:t>
      </w:r>
      <w:r w:rsidR="00790AFD">
        <w:rPr>
          <w:rFonts w:cs="Arial"/>
          <w:kern w:val="20"/>
        </w:rPr>
        <w:t>)</w:t>
      </w:r>
      <w:r w:rsidRPr="00845FBC">
        <w:rPr>
          <w:rFonts w:cs="Arial"/>
          <w:kern w:val="20"/>
        </w:rPr>
        <w:t xml:space="preserve">: </w:t>
      </w:r>
      <w:r w:rsidRPr="00845FBC">
        <w:rPr>
          <w:rFonts w:cs="Arial"/>
        </w:rPr>
        <w:t>____________________________</w:t>
      </w:r>
    </w:p>
    <w:p w14:paraId="7596C584" w14:textId="77777777" w:rsidR="00B336E3" w:rsidRPr="00845FBC" w:rsidRDefault="00B336E3" w:rsidP="00B50ACD">
      <w:pPr>
        <w:rPr>
          <w:rFonts w:cs="Arial"/>
        </w:rPr>
      </w:pPr>
      <w:r w:rsidRPr="00845FBC">
        <w:rPr>
          <w:rFonts w:cs="Arial"/>
          <w:kern w:val="20"/>
        </w:rPr>
        <w:t>___ Not performed</w:t>
      </w:r>
    </w:p>
    <w:p w14:paraId="34245C27" w14:textId="77777777" w:rsidR="00B336E3" w:rsidRPr="00845FBC" w:rsidRDefault="00B336E3" w:rsidP="00B50ACD">
      <w:pPr>
        <w:tabs>
          <w:tab w:val="left" w:pos="4200"/>
          <w:tab w:val="left" w:pos="9240"/>
        </w:tabs>
        <w:ind w:left="360" w:hanging="360"/>
        <w:rPr>
          <w:rFonts w:cs="Arial"/>
        </w:rPr>
      </w:pPr>
    </w:p>
    <w:p w14:paraId="71F0201A" w14:textId="51D7F191" w:rsidR="00B336E3" w:rsidRPr="00845FBC" w:rsidRDefault="009D3313" w:rsidP="00B50ACD">
      <w:pPr>
        <w:pStyle w:val="Heading2"/>
        <w:rPr>
          <w:rFonts w:cs="Arial"/>
          <w:color w:val="000000"/>
        </w:rPr>
      </w:pPr>
      <w:r>
        <w:rPr>
          <w:rFonts w:cs="Arial"/>
          <w:color w:val="000000"/>
        </w:rPr>
        <w:t xml:space="preserve">+ </w:t>
      </w:r>
      <w:r w:rsidR="00B336E3" w:rsidRPr="00845FBC">
        <w:rPr>
          <w:rFonts w:cs="Arial"/>
          <w:color w:val="000000"/>
        </w:rPr>
        <w:t xml:space="preserve">Radiographic Findings (Note </w:t>
      </w:r>
      <w:r w:rsidR="00BB7D26">
        <w:rPr>
          <w:rFonts w:cs="Arial"/>
          <w:color w:val="000000"/>
        </w:rPr>
        <w:t>C</w:t>
      </w:r>
      <w:r w:rsidR="00B336E3" w:rsidRPr="00845FBC">
        <w:rPr>
          <w:rFonts w:cs="Arial"/>
          <w:color w:val="000000"/>
        </w:rPr>
        <w:t>)</w:t>
      </w:r>
    </w:p>
    <w:p w14:paraId="240C80C8" w14:textId="77777777" w:rsidR="00B336E3" w:rsidRPr="00845FBC" w:rsidRDefault="009D3313" w:rsidP="00B50ACD">
      <w:pPr>
        <w:rPr>
          <w:rFonts w:cs="Arial"/>
        </w:rPr>
      </w:pPr>
      <w:r>
        <w:rPr>
          <w:rFonts w:cs="Arial"/>
        </w:rPr>
        <w:t xml:space="preserve">+ </w:t>
      </w:r>
      <w:r w:rsidR="00B336E3" w:rsidRPr="00845FBC">
        <w:rPr>
          <w:rFonts w:cs="Arial"/>
        </w:rPr>
        <w:t>Specify: _________________________________</w:t>
      </w:r>
    </w:p>
    <w:p w14:paraId="0EB52B89" w14:textId="77777777" w:rsidR="00B336E3" w:rsidRPr="00845FBC" w:rsidRDefault="009D3313" w:rsidP="00B50ACD">
      <w:pPr>
        <w:rPr>
          <w:rFonts w:cs="Arial"/>
        </w:rPr>
      </w:pPr>
      <w:r>
        <w:rPr>
          <w:rFonts w:cs="Arial"/>
        </w:rPr>
        <w:t xml:space="preserve">+ </w:t>
      </w:r>
      <w:r w:rsidR="00B336E3" w:rsidRPr="00845FBC">
        <w:rPr>
          <w:rFonts w:cs="Arial"/>
        </w:rPr>
        <w:t>___ Not available</w:t>
      </w:r>
    </w:p>
    <w:p w14:paraId="5753E70F" w14:textId="77777777" w:rsidR="00B336E3" w:rsidRPr="00845FBC" w:rsidRDefault="00B336E3" w:rsidP="00B50ACD">
      <w:pPr>
        <w:rPr>
          <w:rFonts w:cs="Arial"/>
        </w:rPr>
      </w:pPr>
    </w:p>
    <w:p w14:paraId="48D3FE72" w14:textId="77777777" w:rsidR="00B336E3" w:rsidRPr="00845FBC" w:rsidRDefault="009D3313" w:rsidP="00B50ACD">
      <w:pPr>
        <w:pStyle w:val="Heading2"/>
        <w:rPr>
          <w:rFonts w:cs="Arial"/>
        </w:rPr>
      </w:pPr>
      <w:r>
        <w:rPr>
          <w:rFonts w:cs="Arial"/>
        </w:rPr>
        <w:t xml:space="preserve">+ </w:t>
      </w:r>
      <w:proofErr w:type="spellStart"/>
      <w:r w:rsidR="00B336E3" w:rsidRPr="00845FBC">
        <w:rPr>
          <w:rFonts w:cs="Arial"/>
        </w:rPr>
        <w:t>Preresection</w:t>
      </w:r>
      <w:proofErr w:type="spellEnd"/>
      <w:r w:rsidR="00B336E3" w:rsidRPr="00845FBC">
        <w:rPr>
          <w:rFonts w:cs="Arial"/>
        </w:rPr>
        <w:t xml:space="preserve"> Treatment (select all that apply)</w:t>
      </w:r>
    </w:p>
    <w:p w14:paraId="07D526A5" w14:textId="77777777" w:rsidR="00B336E3" w:rsidRPr="00845FBC" w:rsidRDefault="009D3313" w:rsidP="00B50ACD">
      <w:pPr>
        <w:keepNext/>
        <w:rPr>
          <w:rFonts w:cs="Arial"/>
        </w:rPr>
      </w:pPr>
      <w:r>
        <w:rPr>
          <w:rFonts w:cs="Arial"/>
        </w:rPr>
        <w:t>+</w:t>
      </w:r>
      <w:r w:rsidR="00DD7C11">
        <w:rPr>
          <w:rFonts w:cs="Arial"/>
        </w:rPr>
        <w:t xml:space="preserve"> </w:t>
      </w:r>
      <w:r w:rsidR="00B336E3" w:rsidRPr="00845FBC">
        <w:rPr>
          <w:rFonts w:cs="Arial"/>
        </w:rPr>
        <w:t xml:space="preserve">___ No </w:t>
      </w:r>
      <w:r>
        <w:rPr>
          <w:rFonts w:cs="Arial"/>
        </w:rPr>
        <w:t xml:space="preserve">known </w:t>
      </w:r>
      <w:proofErr w:type="spellStart"/>
      <w:r>
        <w:rPr>
          <w:rFonts w:cs="Arial"/>
        </w:rPr>
        <w:t>preresection</w:t>
      </w:r>
      <w:proofErr w:type="spellEnd"/>
      <w:r>
        <w:rPr>
          <w:rFonts w:cs="Arial"/>
        </w:rPr>
        <w:t xml:space="preserve"> </w:t>
      </w:r>
      <w:r w:rsidR="00B336E3" w:rsidRPr="00845FBC">
        <w:rPr>
          <w:rFonts w:cs="Arial"/>
        </w:rPr>
        <w:t>therapy</w:t>
      </w:r>
    </w:p>
    <w:p w14:paraId="17384982" w14:textId="77777777" w:rsidR="00B336E3" w:rsidRPr="00845FBC" w:rsidRDefault="009D3313" w:rsidP="00B50ACD">
      <w:pPr>
        <w:keepNext/>
        <w:rPr>
          <w:rFonts w:cs="Arial"/>
        </w:rPr>
      </w:pPr>
      <w:r>
        <w:rPr>
          <w:rFonts w:cs="Arial"/>
        </w:rPr>
        <w:t>+</w:t>
      </w:r>
      <w:r w:rsidR="00DD7C11">
        <w:rPr>
          <w:rFonts w:cs="Arial"/>
        </w:rPr>
        <w:t xml:space="preserve"> </w:t>
      </w:r>
      <w:r w:rsidR="00B336E3" w:rsidRPr="00845FBC">
        <w:rPr>
          <w:rFonts w:cs="Arial"/>
        </w:rPr>
        <w:t>___ Chemotherapy performed</w:t>
      </w:r>
    </w:p>
    <w:p w14:paraId="6568B13A" w14:textId="77777777" w:rsidR="00B336E3" w:rsidRPr="00845FBC" w:rsidRDefault="009D3313" w:rsidP="00B50ACD">
      <w:pPr>
        <w:keepNext/>
        <w:rPr>
          <w:rFonts w:cs="Arial"/>
        </w:rPr>
      </w:pPr>
      <w:r>
        <w:rPr>
          <w:rFonts w:cs="Arial"/>
        </w:rPr>
        <w:t>+</w:t>
      </w:r>
      <w:r w:rsidR="00DD7C11">
        <w:rPr>
          <w:rFonts w:cs="Arial"/>
        </w:rPr>
        <w:t xml:space="preserve"> </w:t>
      </w:r>
      <w:r w:rsidR="00B336E3" w:rsidRPr="00845FBC">
        <w:rPr>
          <w:rFonts w:cs="Arial"/>
        </w:rPr>
        <w:t>___ Radiation therapy performed</w:t>
      </w:r>
    </w:p>
    <w:p w14:paraId="7C63F654" w14:textId="77777777" w:rsidR="00B336E3" w:rsidRPr="00845FBC" w:rsidRDefault="009D3313" w:rsidP="00B50ACD">
      <w:pPr>
        <w:rPr>
          <w:rFonts w:cs="Arial"/>
        </w:rPr>
      </w:pPr>
      <w:r>
        <w:rPr>
          <w:rFonts w:cs="Arial"/>
        </w:rPr>
        <w:t>+</w:t>
      </w:r>
      <w:r w:rsidR="00DD7C11">
        <w:rPr>
          <w:rFonts w:cs="Arial"/>
        </w:rPr>
        <w:t xml:space="preserve"> </w:t>
      </w:r>
      <w:r w:rsidR="00B336E3" w:rsidRPr="00845FBC">
        <w:rPr>
          <w:rFonts w:cs="Arial"/>
        </w:rPr>
        <w:t xml:space="preserve">___ Therapy </w:t>
      </w:r>
      <w:proofErr w:type="gramStart"/>
      <w:r w:rsidR="00B336E3" w:rsidRPr="00845FBC">
        <w:rPr>
          <w:rFonts w:cs="Arial"/>
        </w:rPr>
        <w:t>performed,</w:t>
      </w:r>
      <w:proofErr w:type="gramEnd"/>
      <w:r w:rsidR="00B336E3" w:rsidRPr="00845FBC">
        <w:rPr>
          <w:rFonts w:cs="Arial"/>
        </w:rPr>
        <w:t xml:space="preserve"> type not specified</w:t>
      </w:r>
    </w:p>
    <w:p w14:paraId="21EDE2D0" w14:textId="77777777" w:rsidR="00B336E3" w:rsidRPr="00845FBC" w:rsidRDefault="009D3313" w:rsidP="00B50ACD">
      <w:pPr>
        <w:rPr>
          <w:rFonts w:cs="Arial"/>
        </w:rPr>
      </w:pPr>
      <w:r>
        <w:rPr>
          <w:rFonts w:cs="Arial"/>
        </w:rPr>
        <w:t>+</w:t>
      </w:r>
      <w:r w:rsidR="00DD7C11">
        <w:rPr>
          <w:rFonts w:cs="Arial"/>
        </w:rPr>
        <w:t xml:space="preserve"> </w:t>
      </w:r>
      <w:r w:rsidR="00B336E3" w:rsidRPr="00845FBC">
        <w:rPr>
          <w:rFonts w:cs="Arial"/>
        </w:rPr>
        <w:t xml:space="preserve">___ </w:t>
      </w:r>
      <w:r>
        <w:rPr>
          <w:rFonts w:cs="Arial"/>
        </w:rPr>
        <w:t>Not specified</w:t>
      </w:r>
    </w:p>
    <w:p w14:paraId="3E23076D" w14:textId="77777777" w:rsidR="00B336E3" w:rsidRPr="00845FBC" w:rsidRDefault="00B336E3" w:rsidP="00B50ACD">
      <w:pPr>
        <w:rPr>
          <w:rFonts w:cs="Arial"/>
        </w:rPr>
      </w:pPr>
    </w:p>
    <w:p w14:paraId="60E0AD79" w14:textId="645B33CC" w:rsidR="00B336E3" w:rsidRPr="00845FBC" w:rsidRDefault="00B336E3" w:rsidP="00B50ACD">
      <w:pPr>
        <w:rPr>
          <w:rFonts w:cs="Arial"/>
          <w:color w:val="000000"/>
          <w:szCs w:val="22"/>
        </w:rPr>
      </w:pPr>
      <w:r w:rsidRPr="00845FBC">
        <w:rPr>
          <w:rFonts w:cs="Arial"/>
          <w:b/>
          <w:color w:val="000000"/>
          <w:szCs w:val="22"/>
        </w:rPr>
        <w:t xml:space="preserve">Treatment Effect (select all that apply) (Note </w:t>
      </w:r>
      <w:r w:rsidR="00BB7D26">
        <w:rPr>
          <w:rFonts w:cs="Arial"/>
          <w:b/>
          <w:color w:val="000000"/>
          <w:szCs w:val="22"/>
        </w:rPr>
        <w:t>K</w:t>
      </w:r>
      <w:r w:rsidRPr="00845FBC">
        <w:rPr>
          <w:rFonts w:cs="Arial"/>
          <w:b/>
          <w:color w:val="000000"/>
          <w:szCs w:val="22"/>
        </w:rPr>
        <w:t>)</w:t>
      </w:r>
    </w:p>
    <w:p w14:paraId="266BE2BC" w14:textId="77777777" w:rsidR="009D3313" w:rsidRDefault="009D3313" w:rsidP="00B50ACD">
      <w:pPr>
        <w:rPr>
          <w:rFonts w:cs="Arial"/>
        </w:rPr>
      </w:pPr>
      <w:r>
        <w:rPr>
          <w:rFonts w:cs="Arial"/>
        </w:rPr>
        <w:t>___ No known presurgical therapy</w:t>
      </w:r>
    </w:p>
    <w:p w14:paraId="13E60FBB" w14:textId="77777777" w:rsidR="00B336E3" w:rsidRPr="00845FBC" w:rsidRDefault="00B336E3" w:rsidP="00B50ACD">
      <w:pPr>
        <w:rPr>
          <w:rFonts w:cs="Arial"/>
        </w:rPr>
      </w:pPr>
      <w:r w:rsidRPr="00845FBC">
        <w:rPr>
          <w:rFonts w:cs="Arial"/>
        </w:rPr>
        <w:t>_</w:t>
      </w:r>
      <w:r w:rsidR="009F0D80" w:rsidRPr="00845FBC">
        <w:rPr>
          <w:rFonts w:cs="Arial"/>
        </w:rPr>
        <w:t>_</w:t>
      </w:r>
      <w:r w:rsidRPr="00845FBC">
        <w:rPr>
          <w:rFonts w:cs="Arial"/>
        </w:rPr>
        <w:t>_ Not identified</w:t>
      </w:r>
    </w:p>
    <w:p w14:paraId="7BF62CB5" w14:textId="77777777" w:rsidR="00B336E3" w:rsidRPr="00845FBC" w:rsidRDefault="00B336E3" w:rsidP="00B50ACD">
      <w:pPr>
        <w:rPr>
          <w:rFonts w:cs="Arial"/>
        </w:rPr>
      </w:pPr>
      <w:r w:rsidRPr="00845FBC">
        <w:rPr>
          <w:rFonts w:cs="Arial"/>
        </w:rPr>
        <w:t>_</w:t>
      </w:r>
      <w:r w:rsidR="009F0D80" w:rsidRPr="00845FBC">
        <w:rPr>
          <w:rFonts w:cs="Arial"/>
        </w:rPr>
        <w:t>_</w:t>
      </w:r>
      <w:r w:rsidRPr="00845FBC">
        <w:rPr>
          <w:rFonts w:cs="Arial"/>
        </w:rPr>
        <w:t>_ Present</w:t>
      </w:r>
    </w:p>
    <w:p w14:paraId="2E1E094D" w14:textId="77777777" w:rsidR="00B336E3" w:rsidRPr="00845FBC" w:rsidRDefault="0072709F" w:rsidP="00B50ACD">
      <w:pPr>
        <w:ind w:left="900" w:hanging="180"/>
        <w:rPr>
          <w:rFonts w:cs="Arial"/>
        </w:rPr>
      </w:pPr>
      <w:r w:rsidRPr="00845FBC">
        <w:rPr>
          <w:rFonts w:cs="Arial"/>
        </w:rPr>
        <w:t xml:space="preserve">+ </w:t>
      </w:r>
      <w:r w:rsidR="00B336E3" w:rsidRPr="00845FBC">
        <w:rPr>
          <w:rFonts w:cs="Arial"/>
        </w:rPr>
        <w:t>Specify percentage of necrotic tumor</w:t>
      </w:r>
      <w:r w:rsidR="00CC3B6D" w:rsidRPr="00845FBC">
        <w:rPr>
          <w:rFonts w:cs="Arial"/>
        </w:rPr>
        <w:t xml:space="preserve"> (compared with pretreatment biopsy, if available)</w:t>
      </w:r>
      <w:r w:rsidR="00B336E3" w:rsidRPr="00845FBC">
        <w:rPr>
          <w:rFonts w:cs="Arial"/>
        </w:rPr>
        <w:t>: _____%</w:t>
      </w:r>
    </w:p>
    <w:p w14:paraId="51579807" w14:textId="77777777" w:rsidR="00B336E3" w:rsidRPr="00845FBC" w:rsidRDefault="00B336E3" w:rsidP="00B50ACD">
      <w:pPr>
        <w:rPr>
          <w:rFonts w:cs="Arial"/>
        </w:rPr>
      </w:pPr>
      <w:r w:rsidRPr="00845FBC">
        <w:rPr>
          <w:rFonts w:cs="Arial"/>
        </w:rPr>
        <w:t>_</w:t>
      </w:r>
      <w:r w:rsidR="009F0D80" w:rsidRPr="00845FBC">
        <w:rPr>
          <w:rFonts w:cs="Arial"/>
        </w:rPr>
        <w:t>_</w:t>
      </w:r>
      <w:r w:rsidRPr="00845FBC">
        <w:rPr>
          <w:rFonts w:cs="Arial"/>
        </w:rPr>
        <w:t>_ Cannot be determined</w:t>
      </w:r>
    </w:p>
    <w:p w14:paraId="28702235" w14:textId="77777777" w:rsidR="00B336E3" w:rsidRPr="00845FBC" w:rsidRDefault="00B336E3" w:rsidP="00B50ACD">
      <w:pPr>
        <w:rPr>
          <w:rFonts w:cs="Arial"/>
        </w:rPr>
      </w:pPr>
    </w:p>
    <w:p w14:paraId="70DD00AD" w14:textId="77777777" w:rsidR="00B336E3" w:rsidRPr="00845FBC" w:rsidRDefault="0072709F" w:rsidP="00B50ACD">
      <w:pPr>
        <w:pStyle w:val="Heading2"/>
        <w:rPr>
          <w:rFonts w:cs="Arial"/>
        </w:rPr>
      </w:pPr>
      <w:r w:rsidRPr="00845FBC">
        <w:rPr>
          <w:rFonts w:cs="Arial"/>
        </w:rPr>
        <w:t xml:space="preserve">+ </w:t>
      </w:r>
      <w:r w:rsidR="00B336E3" w:rsidRPr="00845FBC">
        <w:rPr>
          <w:rFonts w:cs="Arial"/>
        </w:rPr>
        <w:t>Comment(s)</w:t>
      </w:r>
    </w:p>
    <w:p w14:paraId="696FDA3E" w14:textId="77777777" w:rsidR="00B336E3" w:rsidRPr="00845FBC" w:rsidRDefault="00B336E3" w:rsidP="00B336E3">
      <w:pPr>
        <w:rPr>
          <w:rFonts w:cs="Arial"/>
        </w:rPr>
      </w:pPr>
    </w:p>
    <w:p w14:paraId="03145DDC" w14:textId="77777777" w:rsidR="00B336E3" w:rsidRPr="00845FBC" w:rsidRDefault="00B336E3" w:rsidP="00B336E3">
      <w:pPr>
        <w:pStyle w:val="BodyText2"/>
        <w:ind w:left="720" w:hanging="720"/>
        <w:rPr>
          <w:rFonts w:cs="Arial"/>
          <w:b w:val="0"/>
        </w:rPr>
        <w:sectPr w:rsidR="00B336E3" w:rsidRPr="00845FBC" w:rsidSect="0072709F">
          <w:headerReference w:type="default" r:id="rId14"/>
          <w:footerReference w:type="even" r:id="rId15"/>
          <w:footerReference w:type="default" r:id="rId16"/>
          <w:endnotePr>
            <w:numFmt w:val="decimal"/>
          </w:endnotePr>
          <w:pgSz w:w="12240" w:h="15840"/>
          <w:pgMar w:top="1440" w:right="1080" w:bottom="1440" w:left="1080" w:header="720" w:footer="936" w:gutter="0"/>
          <w:cols w:space="720"/>
        </w:sectPr>
      </w:pPr>
    </w:p>
    <w:p w14:paraId="3F617286" w14:textId="77777777" w:rsidR="00B336E3" w:rsidRPr="00845FBC" w:rsidRDefault="00B336E3" w:rsidP="00B336E3">
      <w:pPr>
        <w:pStyle w:val="Head2"/>
        <w:rPr>
          <w:rFonts w:cs="Arial"/>
        </w:rPr>
      </w:pPr>
      <w:r w:rsidRPr="00845FBC">
        <w:rPr>
          <w:rFonts w:cs="Arial"/>
        </w:rPr>
        <w:lastRenderedPageBreak/>
        <w:t>Explanatory Notes</w:t>
      </w:r>
    </w:p>
    <w:p w14:paraId="187361F7" w14:textId="77777777" w:rsidR="00B336E3" w:rsidRPr="00845FBC" w:rsidRDefault="00B336E3" w:rsidP="00B336E3">
      <w:pPr>
        <w:rPr>
          <w:rFonts w:cs="Arial"/>
        </w:rPr>
      </w:pPr>
    </w:p>
    <w:p w14:paraId="1D81FEB3" w14:textId="77777777" w:rsidR="00B336E3" w:rsidRDefault="00B336E3" w:rsidP="00B336E3">
      <w:pPr>
        <w:rPr>
          <w:rFonts w:cs="Arial"/>
        </w:rPr>
      </w:pPr>
      <w:r w:rsidRPr="00845FBC">
        <w:rPr>
          <w:rFonts w:cs="Arial"/>
        </w:rPr>
        <w:t xml:space="preserve">These recommendations are used for all primary malignant tumors of bone except hematopoietic neoplasms, </w:t>
      </w:r>
      <w:proofErr w:type="spellStart"/>
      <w:r w:rsidR="003F5BDF">
        <w:rPr>
          <w:rFonts w:cs="Arial"/>
        </w:rPr>
        <w:t>ie</w:t>
      </w:r>
      <w:proofErr w:type="spellEnd"/>
      <w:r w:rsidR="00DD7C11">
        <w:rPr>
          <w:rFonts w:cs="Arial"/>
        </w:rPr>
        <w:t>,</w:t>
      </w:r>
      <w:r w:rsidR="003F5BDF" w:rsidRPr="00845FBC">
        <w:rPr>
          <w:rFonts w:cs="Arial"/>
        </w:rPr>
        <w:t xml:space="preserve"> </w:t>
      </w:r>
      <w:r w:rsidRPr="00845FBC">
        <w:rPr>
          <w:rFonts w:cs="Arial"/>
        </w:rPr>
        <w:t xml:space="preserve">lymphoma and plasma cell neoplasms. </w:t>
      </w:r>
    </w:p>
    <w:p w14:paraId="1F14D4D3" w14:textId="77777777" w:rsidR="001318C0" w:rsidRDefault="001318C0" w:rsidP="001318C0">
      <w:pPr>
        <w:pStyle w:val="Heading2"/>
        <w:rPr>
          <w:rFonts w:cs="Arial"/>
        </w:rPr>
      </w:pPr>
    </w:p>
    <w:p w14:paraId="7D35542D" w14:textId="77777777" w:rsidR="00E62522" w:rsidRPr="00C32B64" w:rsidRDefault="001318C0" w:rsidP="00E62522">
      <w:pPr>
        <w:pStyle w:val="Heading2"/>
        <w:rPr>
          <w:rFonts w:cs="Arial"/>
        </w:rPr>
      </w:pPr>
      <w:r>
        <w:rPr>
          <w:rFonts w:cs="Arial"/>
        </w:rPr>
        <w:t>A</w:t>
      </w:r>
      <w:r w:rsidRPr="00845FBC">
        <w:rPr>
          <w:rFonts w:cs="Arial"/>
        </w:rPr>
        <w:t xml:space="preserve">.  </w:t>
      </w:r>
      <w:r w:rsidR="00872A3A">
        <w:rPr>
          <w:rFonts w:cs="Arial"/>
        </w:rPr>
        <w:t xml:space="preserve">Procedure </w:t>
      </w:r>
      <w:r w:rsidR="00E62522">
        <w:rPr>
          <w:rFonts w:cs="Arial"/>
        </w:rPr>
        <w:t xml:space="preserve">/ </w:t>
      </w:r>
      <w:r w:rsidR="00E62522" w:rsidRPr="00C32B64">
        <w:rPr>
          <w:rFonts w:cs="Arial"/>
        </w:rPr>
        <w:t>Tissue Processing</w:t>
      </w:r>
    </w:p>
    <w:p w14:paraId="01EB4507" w14:textId="77777777" w:rsidR="00872A3A" w:rsidRPr="00845FBC" w:rsidRDefault="00872A3A" w:rsidP="00872A3A">
      <w:pPr>
        <w:rPr>
          <w:rFonts w:cs="Arial"/>
        </w:rPr>
      </w:pPr>
      <w:r w:rsidRPr="00845FBC">
        <w:rPr>
          <w:rFonts w:cs="Arial"/>
        </w:rPr>
        <w:t>The following is a list of guidelines to be used in defining what type of procedure has been performed. This is based on the surgeon’s intent and not based on the pathologic assessment of the margins.</w:t>
      </w:r>
    </w:p>
    <w:p w14:paraId="39C3C8A1" w14:textId="77777777" w:rsidR="00872A3A" w:rsidRPr="00845FBC" w:rsidRDefault="00872A3A" w:rsidP="00872A3A">
      <w:pPr>
        <w:rPr>
          <w:rFonts w:cs="Arial"/>
        </w:rPr>
      </w:pPr>
    </w:p>
    <w:p w14:paraId="26F48CFA" w14:textId="77777777" w:rsidR="00872A3A" w:rsidRPr="00E62522" w:rsidRDefault="00872A3A" w:rsidP="009A4BFE">
      <w:pPr>
        <w:pStyle w:val="Heading3"/>
        <w:numPr>
          <w:ilvl w:val="0"/>
          <w:numId w:val="12"/>
        </w:numPr>
        <w:rPr>
          <w:rFonts w:cs="Arial"/>
        </w:rPr>
      </w:pPr>
      <w:r w:rsidRPr="009A4BFE">
        <w:rPr>
          <w:rFonts w:cs="Arial"/>
          <w:b/>
          <w:u w:val="none"/>
        </w:rPr>
        <w:t>Intralesional Resection</w:t>
      </w:r>
      <w:r w:rsidR="00E62522" w:rsidRPr="00E62522">
        <w:rPr>
          <w:rFonts w:cs="Arial"/>
          <w:bCs/>
          <w:u w:val="none"/>
        </w:rPr>
        <w:t xml:space="preserve">: </w:t>
      </w:r>
      <w:r w:rsidRPr="00E62522">
        <w:rPr>
          <w:rFonts w:cs="Arial"/>
          <w:u w:val="none"/>
        </w:rPr>
        <w:t xml:space="preserve">Leaving gross tumor behind. Partial debulking or curettage are examples. </w:t>
      </w:r>
    </w:p>
    <w:p w14:paraId="0ED11E0D" w14:textId="77777777" w:rsidR="00872A3A" w:rsidRPr="00845FBC" w:rsidRDefault="00872A3A" w:rsidP="00872A3A">
      <w:pPr>
        <w:rPr>
          <w:rFonts w:cs="Arial"/>
        </w:rPr>
      </w:pPr>
    </w:p>
    <w:p w14:paraId="077A9A4A" w14:textId="77777777" w:rsidR="00872A3A" w:rsidRPr="00E62522" w:rsidRDefault="00872A3A" w:rsidP="009A4BFE">
      <w:pPr>
        <w:pStyle w:val="Heading3"/>
        <w:numPr>
          <w:ilvl w:val="0"/>
          <w:numId w:val="12"/>
        </w:numPr>
        <w:rPr>
          <w:rFonts w:cs="Arial"/>
        </w:rPr>
      </w:pPr>
      <w:r w:rsidRPr="009A4BFE">
        <w:rPr>
          <w:rFonts w:cs="Arial"/>
          <w:b/>
          <w:u w:val="none"/>
        </w:rPr>
        <w:t>Marginal Resection</w:t>
      </w:r>
      <w:r w:rsidR="00E62522" w:rsidRPr="009A4BFE">
        <w:rPr>
          <w:rFonts w:cs="Arial"/>
          <w:b/>
          <w:u w:val="none"/>
        </w:rPr>
        <w:t>:</w:t>
      </w:r>
      <w:r w:rsidR="00E62522">
        <w:rPr>
          <w:rFonts w:cs="Arial"/>
          <w:bCs/>
          <w:u w:val="none"/>
        </w:rPr>
        <w:t xml:space="preserve"> </w:t>
      </w:r>
      <w:r w:rsidRPr="00E62522">
        <w:rPr>
          <w:rFonts w:cs="Arial"/>
          <w:u w:val="none"/>
        </w:rPr>
        <w:t xml:space="preserve">Removing the tumor and its </w:t>
      </w:r>
      <w:proofErr w:type="spellStart"/>
      <w:r w:rsidRPr="00E62522">
        <w:rPr>
          <w:rFonts w:cs="Arial"/>
          <w:u w:val="none"/>
        </w:rPr>
        <w:t>pseudocapsule</w:t>
      </w:r>
      <w:proofErr w:type="spellEnd"/>
      <w:r w:rsidRPr="00E62522">
        <w:rPr>
          <w:rFonts w:cs="Arial"/>
          <w:u w:val="none"/>
        </w:rPr>
        <w:t xml:space="preserve"> with a relatively small amount of adjacent tissue. There is no gross tumor at the margin; however, microscopic tumor may be present. Note that occasionally, a surgeon will perform an “excisional” biopsy, which effectively accomplishes the same thing as a marginal resection.</w:t>
      </w:r>
    </w:p>
    <w:p w14:paraId="057DB9E4" w14:textId="77777777" w:rsidR="00872A3A" w:rsidRPr="009A4BFE" w:rsidRDefault="00872A3A" w:rsidP="00872A3A">
      <w:pPr>
        <w:rPr>
          <w:rFonts w:cs="Arial"/>
          <w:b/>
        </w:rPr>
      </w:pPr>
    </w:p>
    <w:p w14:paraId="43510B5D" w14:textId="77777777" w:rsidR="00872A3A" w:rsidRPr="00E62522" w:rsidRDefault="00872A3A" w:rsidP="009A4BFE">
      <w:pPr>
        <w:pStyle w:val="Heading3"/>
        <w:numPr>
          <w:ilvl w:val="0"/>
          <w:numId w:val="12"/>
        </w:numPr>
        <w:rPr>
          <w:rFonts w:cs="Arial"/>
        </w:rPr>
      </w:pPr>
      <w:r w:rsidRPr="009A4BFE">
        <w:rPr>
          <w:rFonts w:cs="Arial"/>
          <w:b/>
          <w:u w:val="none"/>
        </w:rPr>
        <w:t>Segmental/Wide Resection</w:t>
      </w:r>
      <w:r w:rsidR="00E62522" w:rsidRPr="00E62522">
        <w:rPr>
          <w:rFonts w:cs="Arial"/>
          <w:bCs/>
          <w:u w:val="none"/>
        </w:rPr>
        <w:t xml:space="preserve">: </w:t>
      </w:r>
      <w:r w:rsidRPr="00E62522">
        <w:rPr>
          <w:rFonts w:cs="Arial"/>
          <w:u w:val="none"/>
        </w:rPr>
        <w:t xml:space="preserve">An </w:t>
      </w:r>
      <w:proofErr w:type="spellStart"/>
      <w:r w:rsidRPr="00E62522">
        <w:rPr>
          <w:rFonts w:cs="Arial"/>
          <w:u w:val="none"/>
        </w:rPr>
        <w:t>intracompartmental</w:t>
      </w:r>
      <w:proofErr w:type="spellEnd"/>
      <w:r w:rsidRPr="00E62522">
        <w:rPr>
          <w:rFonts w:cs="Arial"/>
          <w:u w:val="none"/>
        </w:rPr>
        <w:t xml:space="preserve"> resection. A single piece of bone is resected, including the lesion and a cuff of normal bone. </w:t>
      </w:r>
    </w:p>
    <w:p w14:paraId="172DB6B8" w14:textId="77777777" w:rsidR="00872A3A" w:rsidRPr="00A16DE0" w:rsidRDefault="00872A3A" w:rsidP="00872A3A">
      <w:pPr>
        <w:rPr>
          <w:rFonts w:cs="Arial"/>
        </w:rPr>
      </w:pPr>
    </w:p>
    <w:p w14:paraId="4FC772B5" w14:textId="77777777" w:rsidR="00872A3A" w:rsidRPr="009A4BFE" w:rsidRDefault="00872A3A" w:rsidP="009A4BFE">
      <w:pPr>
        <w:pStyle w:val="Heading3"/>
        <w:numPr>
          <w:ilvl w:val="0"/>
          <w:numId w:val="12"/>
        </w:numPr>
        <w:rPr>
          <w:rFonts w:cs="Arial"/>
          <w:b/>
          <w:bCs/>
          <w:u w:val="none"/>
        </w:rPr>
      </w:pPr>
      <w:r w:rsidRPr="009A4BFE">
        <w:rPr>
          <w:rFonts w:cs="Arial"/>
          <w:b/>
          <w:u w:val="none"/>
        </w:rPr>
        <w:t>Radical Resection</w:t>
      </w:r>
      <w:r w:rsidR="00E62522" w:rsidRPr="009A4BFE">
        <w:rPr>
          <w:rFonts w:cs="Arial"/>
          <w:b/>
          <w:u w:val="none"/>
        </w:rPr>
        <w:t>:</w:t>
      </w:r>
      <w:r w:rsidR="00E62522" w:rsidRPr="00E62522">
        <w:rPr>
          <w:rFonts w:cs="Arial"/>
          <w:bCs/>
          <w:u w:val="none"/>
        </w:rPr>
        <w:t xml:space="preserve"> </w:t>
      </w:r>
      <w:r w:rsidRPr="009A4BFE">
        <w:rPr>
          <w:rFonts w:cs="Arial"/>
          <w:bCs/>
          <w:u w:val="none"/>
        </w:rPr>
        <w:t xml:space="preserve">The removal of an entire bone, or the excision of the adjacent muscle groups if the tumor is </w:t>
      </w:r>
      <w:proofErr w:type="spellStart"/>
      <w:r w:rsidRPr="009A4BFE">
        <w:rPr>
          <w:rFonts w:cs="Arial"/>
          <w:bCs/>
          <w:u w:val="none"/>
        </w:rPr>
        <w:t>extracompartmental</w:t>
      </w:r>
      <w:proofErr w:type="spellEnd"/>
    </w:p>
    <w:p w14:paraId="318856A2" w14:textId="77777777" w:rsidR="00872A3A" w:rsidRDefault="00872A3A" w:rsidP="001318C0">
      <w:pPr>
        <w:pStyle w:val="Heading2"/>
        <w:rPr>
          <w:rFonts w:cs="Arial"/>
          <w:b w:val="0"/>
          <w:bCs/>
          <w:u w:val="single"/>
        </w:rPr>
      </w:pPr>
    </w:p>
    <w:p w14:paraId="56704643" w14:textId="77777777" w:rsidR="001318C0" w:rsidRPr="00C32B64" w:rsidRDefault="001318C0" w:rsidP="001318C0">
      <w:pPr>
        <w:pStyle w:val="Heading2"/>
        <w:rPr>
          <w:rFonts w:cs="Arial"/>
          <w:b w:val="0"/>
          <w:bCs/>
          <w:u w:val="single"/>
        </w:rPr>
      </w:pPr>
      <w:r w:rsidRPr="00C32B64">
        <w:rPr>
          <w:rFonts w:cs="Arial"/>
          <w:b w:val="0"/>
          <w:bCs/>
          <w:u w:val="single"/>
        </w:rPr>
        <w:t>Fixation</w:t>
      </w:r>
    </w:p>
    <w:p w14:paraId="2C446822" w14:textId="77777777" w:rsidR="001318C0" w:rsidRPr="00845FBC" w:rsidRDefault="001318C0" w:rsidP="001318C0">
      <w:pPr>
        <w:rPr>
          <w:rFonts w:cs="Arial"/>
        </w:rPr>
      </w:pPr>
      <w:r w:rsidRPr="00845FBC">
        <w:rPr>
          <w:rFonts w:cs="Arial"/>
        </w:rPr>
        <w:t xml:space="preserve">Tissue specimens from bone tumors optimally are received fresh/unfixed because of the importance of ancillary studies, such as cytogenetics, which require fresh tissue. </w:t>
      </w:r>
    </w:p>
    <w:p w14:paraId="575BBA7D" w14:textId="77777777" w:rsidR="001318C0" w:rsidRPr="00845FBC" w:rsidRDefault="001318C0" w:rsidP="001318C0">
      <w:pPr>
        <w:rPr>
          <w:rFonts w:cs="Arial"/>
        </w:rPr>
      </w:pPr>
    </w:p>
    <w:p w14:paraId="750E3AF4" w14:textId="77777777" w:rsidR="001318C0" w:rsidRPr="00C32B64" w:rsidRDefault="001318C0" w:rsidP="001318C0">
      <w:pPr>
        <w:pStyle w:val="Heading2"/>
        <w:rPr>
          <w:rFonts w:cs="Arial"/>
          <w:b w:val="0"/>
          <w:bCs/>
          <w:u w:val="single"/>
        </w:rPr>
      </w:pPr>
      <w:r w:rsidRPr="00C32B64">
        <w:rPr>
          <w:rFonts w:cs="Arial"/>
          <w:b w:val="0"/>
          <w:bCs/>
          <w:u w:val="single"/>
        </w:rPr>
        <w:t>Tissue Submission for Histologic Evaluation</w:t>
      </w:r>
    </w:p>
    <w:p w14:paraId="3DF891E9" w14:textId="19DEF712" w:rsidR="001318C0" w:rsidRPr="00845FBC" w:rsidRDefault="001318C0" w:rsidP="001318C0">
      <w:pPr>
        <w:rPr>
          <w:rFonts w:cs="Arial"/>
        </w:rPr>
      </w:pPr>
      <w:r w:rsidRPr="00845FBC">
        <w:rPr>
          <w:rFonts w:cs="Arial"/>
        </w:rPr>
        <w:t>One section per centimeter of maximum dimension is usually recommended, although fewer sections are needed for very large tumors, especially if they are homogeneous. Tumors known to be high grade from a previous biopsy do not require as many sections as those that were previously diagnosed as low grade, as documentation of a high-grade component will change stage and prognosis in the latter case. Sections should be taken of grossly heterogeneous areas, and there is no</w:t>
      </w:r>
      <w:r>
        <w:rPr>
          <w:rFonts w:cs="Arial"/>
        </w:rPr>
        <w:t xml:space="preserve"> need to </w:t>
      </w:r>
      <w:r w:rsidRPr="00845FBC">
        <w:rPr>
          <w:rFonts w:cs="Arial"/>
        </w:rPr>
        <w:t>submit more than 1 section of necrotic tumor (always with a transition to viable tumor), with the exception of chemotherapy effect on osteosarcomas and Ewing sarcoma.</w:t>
      </w:r>
      <w:r w:rsidR="00A23D13">
        <w:rPr>
          <w:rFonts w:cs="Arial"/>
          <w:vertAlign w:val="superscript"/>
        </w:rPr>
        <w:t>1,2</w:t>
      </w:r>
      <w:r w:rsidRPr="00845FBC">
        <w:rPr>
          <w:rFonts w:cs="Arial"/>
        </w:rPr>
        <w:t xml:space="preserve"> Occasionally, gross pathology can be misleading, and areas that appear to be grossly necrotic may actually be myxoid or edematous. When this happens, additional sections of these areas should be submitted for histologic examination. When estimates of gross necrosis exceed those of histologic necrosis, the greater percentage of necrosis should be recorded on the surgical pathology report. In </w:t>
      </w:r>
      <w:r>
        <w:rPr>
          <w:rFonts w:cs="Arial"/>
        </w:rPr>
        <w:t xml:space="preserve">general, most tumors require 12 </w:t>
      </w:r>
      <w:r w:rsidRPr="00845FBC">
        <w:rPr>
          <w:rFonts w:cs="Arial"/>
        </w:rPr>
        <w:t xml:space="preserve">sections or fewer, excluding margins. Tumors with greater </w:t>
      </w:r>
      <w:r>
        <w:rPr>
          <w:rFonts w:cs="Arial"/>
        </w:rPr>
        <w:t xml:space="preserve">areas of heterogeneity may need </w:t>
      </w:r>
      <w:r w:rsidRPr="00845FBC">
        <w:rPr>
          <w:rFonts w:cs="Arial"/>
        </w:rPr>
        <w:t xml:space="preserve">to be sampled more thoroughly. </w:t>
      </w:r>
    </w:p>
    <w:p w14:paraId="04026772" w14:textId="77777777" w:rsidR="001318C0" w:rsidRPr="00845FBC" w:rsidRDefault="001318C0" w:rsidP="001318C0">
      <w:pPr>
        <w:rPr>
          <w:rFonts w:cs="Arial"/>
        </w:rPr>
      </w:pPr>
    </w:p>
    <w:p w14:paraId="6B47450C" w14:textId="77777777" w:rsidR="001318C0" w:rsidRPr="00845FBC" w:rsidRDefault="001318C0" w:rsidP="001318C0">
      <w:pPr>
        <w:rPr>
          <w:rFonts w:cs="Arial"/>
        </w:rPr>
      </w:pPr>
      <w:r w:rsidRPr="00845FBC">
        <w:rPr>
          <w:rFonts w:cs="Arial"/>
        </w:rPr>
        <w:t>Fresh tissue for special studies should be submitted at the time the specimen is received. Note that classification of many subtypes of sarcoma is not dependent upon special studies, such as cytogenetics or molecular genetics, but frozen tissue may be needed to enter patients into treatment protocols. Discretion should be used in triaging tissue from sarcomas. Adequate tissue should be submitted for conventional light microscopy before tissue has been taken for cytogenetics, electron microscopy, or molecular analysis.</w:t>
      </w:r>
    </w:p>
    <w:p w14:paraId="2830C5E3" w14:textId="77777777" w:rsidR="001318C0" w:rsidRPr="00845FBC" w:rsidRDefault="001318C0" w:rsidP="001318C0">
      <w:pPr>
        <w:rPr>
          <w:rFonts w:cs="Arial"/>
        </w:rPr>
      </w:pPr>
    </w:p>
    <w:p w14:paraId="722457EC" w14:textId="77777777" w:rsidR="001318C0" w:rsidRPr="00C32B64" w:rsidRDefault="001318C0" w:rsidP="001318C0">
      <w:pPr>
        <w:pStyle w:val="Heading2"/>
        <w:rPr>
          <w:rFonts w:cs="Arial"/>
          <w:b w:val="0"/>
          <w:bCs/>
          <w:u w:val="single"/>
        </w:rPr>
      </w:pPr>
      <w:r w:rsidRPr="00C32B64">
        <w:rPr>
          <w:rFonts w:cs="Arial"/>
          <w:b w:val="0"/>
          <w:bCs/>
          <w:u w:val="single"/>
        </w:rPr>
        <w:t>Molecular Studies</w:t>
      </w:r>
    </w:p>
    <w:p w14:paraId="774DFD5B" w14:textId="77777777" w:rsidR="001318C0" w:rsidRPr="00845FBC" w:rsidRDefault="001318C0" w:rsidP="001318C0">
      <w:pPr>
        <w:rPr>
          <w:rFonts w:cs="Arial"/>
        </w:rPr>
      </w:pPr>
      <w:r w:rsidRPr="00845FBC">
        <w:rPr>
          <w:rFonts w:cs="Arial"/>
        </w:rPr>
        <w:t>It is important to snap freeze a small portion of tissue whenever possible. This tiss</w:t>
      </w:r>
      <w:r>
        <w:rPr>
          <w:rFonts w:cs="Arial"/>
        </w:rPr>
        <w:t xml:space="preserve">ue can be used for a variety of </w:t>
      </w:r>
      <w:r w:rsidRPr="00845FBC">
        <w:rPr>
          <w:rFonts w:cs="Arial"/>
        </w:rPr>
        <w:t>molecular assays for tumor-specific molecular translocations (see Table 1) that help in classifying bone tumors.</w:t>
      </w:r>
      <w:r w:rsidRPr="00815700">
        <w:rPr>
          <w:rFonts w:cs="Arial"/>
          <w:vertAlign w:val="superscript"/>
        </w:rPr>
        <w:t>3,4</w:t>
      </w:r>
      <w:r w:rsidRPr="00845FBC">
        <w:rPr>
          <w:rFonts w:cs="Arial"/>
        </w:rPr>
        <w:t xml:space="preserve"> In addition, treatment protocols increasingly require fresh tissue for corre</w:t>
      </w:r>
      <w:r>
        <w:rPr>
          <w:rFonts w:cs="Arial"/>
        </w:rPr>
        <w:t xml:space="preserve">lative studies. Approximately 1 </w:t>
      </w:r>
      <w:r w:rsidRPr="00845FBC">
        <w:rPr>
          <w:rFonts w:cs="Arial"/>
        </w:rPr>
        <w:t>cm</w:t>
      </w:r>
      <w:r w:rsidRPr="00845FBC">
        <w:rPr>
          <w:rFonts w:cs="Arial"/>
          <w:vertAlign w:val="superscript"/>
        </w:rPr>
        <w:t xml:space="preserve">3 </w:t>
      </w:r>
      <w:r w:rsidRPr="00845FBC">
        <w:rPr>
          <w:rFonts w:cs="Arial"/>
        </w:rPr>
        <w:t>of fresh tissue (less is acceptable for small specimens, including core biopsies) should be cut into small, 0.2</w:t>
      </w:r>
      <w:r>
        <w:rPr>
          <w:rFonts w:cs="Arial"/>
        </w:rPr>
        <w:t>-</w:t>
      </w:r>
      <w:r w:rsidRPr="00845FBC">
        <w:rPr>
          <w:rFonts w:cs="Arial"/>
        </w:rPr>
        <w:t xml:space="preserve">cm fragments, reserving </w:t>
      </w:r>
      <w:proofErr w:type="gramStart"/>
      <w:r w:rsidRPr="00845FBC">
        <w:rPr>
          <w:rFonts w:cs="Arial"/>
        </w:rPr>
        <w:t>sufficient</w:t>
      </w:r>
      <w:proofErr w:type="gramEnd"/>
      <w:r w:rsidRPr="00845FBC">
        <w:rPr>
          <w:rFonts w:cs="Arial"/>
        </w:rPr>
        <w:t xml:space="preserve"> tissue for histologic examination. This frozen tis</w:t>
      </w:r>
      <w:r>
        <w:rPr>
          <w:rFonts w:cs="Arial"/>
        </w:rPr>
        <w:t>sue should ideally be stored at minus (-)</w:t>
      </w:r>
      <w:r w:rsidRPr="00845FBC">
        <w:rPr>
          <w:rFonts w:cs="Arial"/>
        </w:rPr>
        <w:t>70</w:t>
      </w:r>
      <w:r w:rsidRPr="00845FBC">
        <w:rPr>
          <w:rFonts w:cs="Arial"/>
          <w:vertAlign w:val="superscript"/>
        </w:rPr>
        <w:t>o</w:t>
      </w:r>
      <w:r w:rsidRPr="00845FBC">
        <w:rPr>
          <w:rFonts w:cs="Arial"/>
        </w:rPr>
        <w:t>C and can be shipped on dry ice to facilities that perform molecular analysis.</w:t>
      </w:r>
    </w:p>
    <w:p w14:paraId="05FD7962" w14:textId="77777777" w:rsidR="001318C0" w:rsidRPr="00845FBC" w:rsidRDefault="001318C0" w:rsidP="001318C0">
      <w:pPr>
        <w:rPr>
          <w:rFonts w:cs="Arial"/>
        </w:rPr>
      </w:pPr>
    </w:p>
    <w:p w14:paraId="682658AD" w14:textId="77777777" w:rsidR="001318C0" w:rsidRPr="00845FBC" w:rsidRDefault="001318C0" w:rsidP="001318C0">
      <w:pPr>
        <w:pStyle w:val="Heading2"/>
        <w:spacing w:after="60"/>
        <w:rPr>
          <w:rFonts w:cs="Arial"/>
        </w:rPr>
      </w:pPr>
      <w:r w:rsidRPr="00845FBC">
        <w:rPr>
          <w:rFonts w:cs="Arial"/>
        </w:rPr>
        <w:lastRenderedPageBreak/>
        <w:t>Table 1. Characteristic Cytogenetic and Molecular Events of Bone Tumors</w:t>
      </w:r>
    </w:p>
    <w:tbl>
      <w:tblPr>
        <w:tblW w:w="0" w:type="auto"/>
        <w:tblInd w:w="-15"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1180"/>
        <w:gridCol w:w="1900"/>
        <w:gridCol w:w="3235"/>
        <w:gridCol w:w="2340"/>
      </w:tblGrid>
      <w:tr w:rsidR="001318C0" w:rsidRPr="00845FBC" w14:paraId="3698FDFB" w14:textId="77777777" w:rsidTr="00BA20B3">
        <w:trPr>
          <w:cantSplit/>
          <w:trHeight w:val="210"/>
          <w:tblHeader/>
        </w:trPr>
        <w:tc>
          <w:tcPr>
            <w:tcW w:w="3080" w:type="dxa"/>
            <w:gridSpan w:val="2"/>
            <w:tcBorders>
              <w:top w:val="single" w:sz="4" w:space="0" w:color="auto"/>
              <w:bottom w:val="single" w:sz="4" w:space="0" w:color="auto"/>
            </w:tcBorders>
            <w:vAlign w:val="bottom"/>
          </w:tcPr>
          <w:p w14:paraId="2224C7E8" w14:textId="77777777" w:rsidR="001318C0" w:rsidRPr="00845FBC" w:rsidRDefault="001318C0" w:rsidP="00BA20B3">
            <w:pPr>
              <w:keepNext/>
              <w:keepLines/>
              <w:spacing w:before="60" w:after="60"/>
              <w:rPr>
                <w:rFonts w:eastAsia="Arial Unicode MS" w:cs="Arial"/>
                <w:b/>
              </w:rPr>
            </w:pPr>
            <w:r w:rsidRPr="00845FBC">
              <w:rPr>
                <w:rFonts w:cs="Arial"/>
                <w:b/>
              </w:rPr>
              <w:t>Histologic Type </w:t>
            </w:r>
          </w:p>
        </w:tc>
        <w:tc>
          <w:tcPr>
            <w:tcW w:w="3235" w:type="dxa"/>
            <w:tcBorders>
              <w:top w:val="single" w:sz="4" w:space="0" w:color="auto"/>
              <w:bottom w:val="single" w:sz="4" w:space="0" w:color="auto"/>
            </w:tcBorders>
            <w:vAlign w:val="bottom"/>
          </w:tcPr>
          <w:p w14:paraId="7815C7B3" w14:textId="77777777" w:rsidR="001318C0" w:rsidRPr="00845FBC" w:rsidRDefault="001318C0" w:rsidP="00BA20B3">
            <w:pPr>
              <w:keepNext/>
              <w:keepLines/>
              <w:spacing w:before="60" w:after="60"/>
              <w:rPr>
                <w:rFonts w:eastAsia="Arial Unicode MS" w:cs="Arial"/>
                <w:b/>
              </w:rPr>
            </w:pPr>
            <w:r w:rsidRPr="00845FBC">
              <w:rPr>
                <w:rFonts w:cs="Arial"/>
                <w:b/>
              </w:rPr>
              <w:t>Cytogenetic Events</w:t>
            </w:r>
          </w:p>
        </w:tc>
        <w:tc>
          <w:tcPr>
            <w:tcW w:w="2340" w:type="dxa"/>
            <w:tcBorders>
              <w:top w:val="single" w:sz="4" w:space="0" w:color="auto"/>
              <w:bottom w:val="single" w:sz="4" w:space="0" w:color="auto"/>
            </w:tcBorders>
            <w:vAlign w:val="bottom"/>
          </w:tcPr>
          <w:p w14:paraId="769B159C" w14:textId="77777777" w:rsidR="001318C0" w:rsidRPr="00845FBC" w:rsidRDefault="001318C0" w:rsidP="00BA20B3">
            <w:pPr>
              <w:keepNext/>
              <w:keepLines/>
              <w:spacing w:before="60" w:after="60"/>
              <w:rPr>
                <w:rFonts w:eastAsia="Arial Unicode MS" w:cs="Arial"/>
                <w:b/>
              </w:rPr>
            </w:pPr>
            <w:r w:rsidRPr="00845FBC">
              <w:rPr>
                <w:rFonts w:cs="Arial"/>
                <w:b/>
              </w:rPr>
              <w:t>Molecular Events</w:t>
            </w:r>
          </w:p>
        </w:tc>
      </w:tr>
      <w:tr w:rsidR="001318C0" w:rsidRPr="00845FBC" w14:paraId="19A08797" w14:textId="77777777" w:rsidTr="00BA20B3">
        <w:trPr>
          <w:trHeight w:val="225"/>
        </w:trPr>
        <w:tc>
          <w:tcPr>
            <w:tcW w:w="3080" w:type="dxa"/>
            <w:gridSpan w:val="2"/>
            <w:tcBorders>
              <w:top w:val="single" w:sz="4" w:space="0" w:color="auto"/>
            </w:tcBorders>
            <w:vAlign w:val="bottom"/>
          </w:tcPr>
          <w:p w14:paraId="265446D9" w14:textId="77777777" w:rsidR="001318C0" w:rsidRPr="00845FBC" w:rsidRDefault="001318C0" w:rsidP="00BA20B3">
            <w:pPr>
              <w:pStyle w:val="NormalTableText"/>
              <w:keepNext/>
              <w:keepLines/>
              <w:spacing w:before="60"/>
              <w:rPr>
                <w:rFonts w:cs="Arial"/>
                <w:szCs w:val="18"/>
              </w:rPr>
            </w:pPr>
            <w:r w:rsidRPr="00845FBC">
              <w:rPr>
                <w:rFonts w:cs="Arial"/>
                <w:szCs w:val="18"/>
              </w:rPr>
              <w:t>Chondrosarcoma of bone</w:t>
            </w:r>
          </w:p>
        </w:tc>
        <w:tc>
          <w:tcPr>
            <w:tcW w:w="3235" w:type="dxa"/>
            <w:tcBorders>
              <w:top w:val="single" w:sz="4" w:space="0" w:color="auto"/>
            </w:tcBorders>
            <w:vAlign w:val="bottom"/>
          </w:tcPr>
          <w:p w14:paraId="0A2EC34F" w14:textId="77777777" w:rsidR="001318C0" w:rsidRPr="00845FBC" w:rsidRDefault="001318C0" w:rsidP="00BA20B3">
            <w:pPr>
              <w:pStyle w:val="NormalTableText"/>
              <w:keepNext/>
              <w:keepLines/>
              <w:spacing w:before="60"/>
              <w:rPr>
                <w:rFonts w:cs="Arial"/>
                <w:szCs w:val="18"/>
              </w:rPr>
            </w:pPr>
            <w:r w:rsidRPr="00845FBC">
              <w:rPr>
                <w:rFonts w:cs="Arial"/>
                <w:szCs w:val="18"/>
              </w:rPr>
              <w:t>Complex</w:t>
            </w:r>
          </w:p>
        </w:tc>
        <w:tc>
          <w:tcPr>
            <w:tcW w:w="2340" w:type="dxa"/>
            <w:tcBorders>
              <w:top w:val="single" w:sz="4" w:space="0" w:color="auto"/>
            </w:tcBorders>
            <w:vAlign w:val="bottom"/>
          </w:tcPr>
          <w:p w14:paraId="3F076453" w14:textId="77777777" w:rsidR="001318C0" w:rsidRPr="00845FBC" w:rsidRDefault="001318C0" w:rsidP="00BA20B3">
            <w:pPr>
              <w:pStyle w:val="NormalTableText"/>
              <w:keepNext/>
              <w:keepLines/>
              <w:spacing w:before="60"/>
              <w:rPr>
                <w:rFonts w:cs="Arial"/>
                <w:szCs w:val="18"/>
              </w:rPr>
            </w:pPr>
            <w:r w:rsidRPr="00845FBC">
              <w:rPr>
                <w:rFonts w:cs="Arial"/>
                <w:i/>
                <w:szCs w:val="18"/>
              </w:rPr>
              <w:t xml:space="preserve">IDH1 </w:t>
            </w:r>
            <w:r w:rsidRPr="00845FBC">
              <w:rPr>
                <w:rFonts w:cs="Arial"/>
                <w:szCs w:val="18"/>
              </w:rPr>
              <w:t xml:space="preserve">and </w:t>
            </w:r>
            <w:r w:rsidRPr="00845FBC">
              <w:rPr>
                <w:rFonts w:cs="Arial"/>
                <w:i/>
                <w:szCs w:val="18"/>
              </w:rPr>
              <w:t xml:space="preserve">IDH2 </w:t>
            </w:r>
            <w:r w:rsidRPr="00845FBC">
              <w:rPr>
                <w:rFonts w:cs="Arial"/>
                <w:szCs w:val="18"/>
              </w:rPr>
              <w:t>mutations</w:t>
            </w:r>
          </w:p>
        </w:tc>
      </w:tr>
      <w:tr w:rsidR="001318C0" w:rsidRPr="00845FBC" w14:paraId="7CEAF1BB" w14:textId="77777777" w:rsidTr="00BA20B3">
        <w:trPr>
          <w:trHeight w:val="225"/>
        </w:trPr>
        <w:tc>
          <w:tcPr>
            <w:tcW w:w="3080" w:type="dxa"/>
            <w:gridSpan w:val="2"/>
            <w:vAlign w:val="bottom"/>
          </w:tcPr>
          <w:p w14:paraId="3E7E719D" w14:textId="77777777" w:rsidR="001318C0" w:rsidRPr="00845FBC" w:rsidRDefault="001318C0" w:rsidP="00BA20B3">
            <w:pPr>
              <w:pStyle w:val="NormalTableText"/>
              <w:keepNext/>
              <w:keepLines/>
              <w:spacing w:before="60"/>
              <w:rPr>
                <w:rFonts w:cs="Arial"/>
                <w:szCs w:val="18"/>
              </w:rPr>
            </w:pPr>
            <w:r w:rsidRPr="00845FBC">
              <w:rPr>
                <w:rFonts w:cs="Arial"/>
                <w:szCs w:val="18"/>
              </w:rPr>
              <w:t>Ewing sarcoma</w:t>
            </w:r>
          </w:p>
        </w:tc>
        <w:tc>
          <w:tcPr>
            <w:tcW w:w="3235" w:type="dxa"/>
            <w:vAlign w:val="bottom"/>
          </w:tcPr>
          <w:p w14:paraId="13D97200" w14:textId="77777777" w:rsidR="001318C0" w:rsidRPr="00845FBC" w:rsidRDefault="001318C0" w:rsidP="00BA20B3">
            <w:pPr>
              <w:pStyle w:val="NormalTableText"/>
              <w:keepNext/>
              <w:keepLines/>
              <w:spacing w:before="60"/>
              <w:rPr>
                <w:rFonts w:cs="Arial"/>
                <w:szCs w:val="18"/>
              </w:rPr>
            </w:pPr>
            <w:r w:rsidRPr="00845FBC">
              <w:rPr>
                <w:rFonts w:cs="Arial"/>
                <w:szCs w:val="18"/>
              </w:rPr>
              <w:t>t(11;</w:t>
            </w:r>
            <w:proofErr w:type="gramStart"/>
            <w:r w:rsidRPr="00845FBC">
              <w:rPr>
                <w:rFonts w:cs="Arial"/>
                <w:szCs w:val="18"/>
              </w:rPr>
              <w:t>22)(</w:t>
            </w:r>
            <w:proofErr w:type="gramEnd"/>
            <w:r w:rsidRPr="00845FBC">
              <w:rPr>
                <w:rFonts w:cs="Arial"/>
                <w:szCs w:val="18"/>
              </w:rPr>
              <w:t>q24;q12)</w:t>
            </w:r>
          </w:p>
        </w:tc>
        <w:tc>
          <w:tcPr>
            <w:tcW w:w="2340" w:type="dxa"/>
            <w:vAlign w:val="bottom"/>
          </w:tcPr>
          <w:p w14:paraId="17F714F0" w14:textId="77777777" w:rsidR="001318C0" w:rsidRPr="00845FBC" w:rsidRDefault="001318C0" w:rsidP="00BA20B3">
            <w:pPr>
              <w:pStyle w:val="NormalTableText"/>
              <w:keepNext/>
              <w:keepLines/>
              <w:spacing w:before="60"/>
              <w:rPr>
                <w:rFonts w:cs="Arial"/>
                <w:szCs w:val="18"/>
              </w:rPr>
            </w:pPr>
            <w:r w:rsidRPr="00845FBC">
              <w:rPr>
                <w:rFonts w:cs="Arial"/>
                <w:i/>
                <w:szCs w:val="18"/>
              </w:rPr>
              <w:t>EWSR1-FLI1</w:t>
            </w:r>
            <w:r w:rsidRPr="00845FBC">
              <w:rPr>
                <w:rFonts w:cs="Arial"/>
                <w:szCs w:val="18"/>
              </w:rPr>
              <w:t xml:space="preserve"> fusion</w:t>
            </w:r>
          </w:p>
        </w:tc>
      </w:tr>
      <w:tr w:rsidR="001318C0" w:rsidRPr="00845FBC" w14:paraId="0758C7C2" w14:textId="77777777" w:rsidTr="00BA20B3">
        <w:trPr>
          <w:trHeight w:val="225"/>
        </w:trPr>
        <w:tc>
          <w:tcPr>
            <w:tcW w:w="1180" w:type="dxa"/>
            <w:vAlign w:val="bottom"/>
          </w:tcPr>
          <w:p w14:paraId="5C489C20" w14:textId="77777777" w:rsidR="001318C0" w:rsidRPr="00845FBC" w:rsidRDefault="001318C0" w:rsidP="00BA20B3">
            <w:pPr>
              <w:pStyle w:val="NormalTableText"/>
              <w:keepNext/>
              <w:keepLines/>
              <w:spacing w:before="60"/>
              <w:rPr>
                <w:rFonts w:eastAsia="Arial Unicode MS" w:cs="Arial"/>
                <w:szCs w:val="18"/>
              </w:rPr>
            </w:pPr>
          </w:p>
        </w:tc>
        <w:tc>
          <w:tcPr>
            <w:tcW w:w="1900" w:type="dxa"/>
            <w:vAlign w:val="bottom"/>
          </w:tcPr>
          <w:p w14:paraId="689A67F1" w14:textId="77777777" w:rsidR="001318C0" w:rsidRPr="00845FBC" w:rsidRDefault="001318C0" w:rsidP="00BA20B3">
            <w:pPr>
              <w:pStyle w:val="NormalTableText"/>
              <w:keepNext/>
              <w:keepLines/>
              <w:spacing w:before="60"/>
              <w:rPr>
                <w:rFonts w:eastAsia="Arial Unicode MS" w:cs="Arial"/>
                <w:szCs w:val="18"/>
              </w:rPr>
            </w:pPr>
          </w:p>
        </w:tc>
        <w:tc>
          <w:tcPr>
            <w:tcW w:w="3235" w:type="dxa"/>
            <w:vAlign w:val="bottom"/>
          </w:tcPr>
          <w:p w14:paraId="06926D1C" w14:textId="77777777" w:rsidR="001318C0" w:rsidRPr="00845FBC" w:rsidRDefault="001318C0" w:rsidP="00BA20B3">
            <w:pPr>
              <w:pStyle w:val="NormalTableText"/>
              <w:keepNext/>
              <w:keepLines/>
              <w:spacing w:before="60"/>
              <w:rPr>
                <w:rFonts w:eastAsia="Arial Unicode MS" w:cs="Arial"/>
                <w:szCs w:val="18"/>
              </w:rPr>
            </w:pPr>
            <w:r w:rsidRPr="00845FBC">
              <w:rPr>
                <w:rFonts w:cs="Arial"/>
                <w:szCs w:val="18"/>
              </w:rPr>
              <w:t>t(21;</w:t>
            </w:r>
            <w:proofErr w:type="gramStart"/>
            <w:r w:rsidRPr="00845FBC">
              <w:rPr>
                <w:rFonts w:cs="Arial"/>
                <w:szCs w:val="18"/>
              </w:rPr>
              <w:t>22)(</w:t>
            </w:r>
            <w:proofErr w:type="gramEnd"/>
            <w:r w:rsidRPr="00845FBC">
              <w:rPr>
                <w:rFonts w:cs="Arial"/>
                <w:szCs w:val="18"/>
              </w:rPr>
              <w:t>q12;q12)</w:t>
            </w:r>
          </w:p>
        </w:tc>
        <w:tc>
          <w:tcPr>
            <w:tcW w:w="2340" w:type="dxa"/>
            <w:vAlign w:val="bottom"/>
          </w:tcPr>
          <w:p w14:paraId="3A707582" w14:textId="77777777" w:rsidR="001318C0" w:rsidRPr="00845FBC" w:rsidRDefault="001318C0" w:rsidP="00BA20B3">
            <w:pPr>
              <w:pStyle w:val="NormalTableText"/>
              <w:keepNext/>
              <w:keepLines/>
              <w:spacing w:before="60"/>
              <w:rPr>
                <w:rFonts w:eastAsia="Arial Unicode MS" w:cs="Arial"/>
                <w:i/>
                <w:szCs w:val="18"/>
              </w:rPr>
            </w:pPr>
            <w:r w:rsidRPr="00845FBC">
              <w:rPr>
                <w:rFonts w:cs="Arial"/>
                <w:i/>
                <w:szCs w:val="18"/>
              </w:rPr>
              <w:t>EWSR1-ERG</w:t>
            </w:r>
            <w:r w:rsidRPr="00845FBC">
              <w:rPr>
                <w:rFonts w:cs="Arial"/>
                <w:szCs w:val="18"/>
              </w:rPr>
              <w:t xml:space="preserve"> fusion</w:t>
            </w:r>
          </w:p>
        </w:tc>
      </w:tr>
      <w:tr w:rsidR="001318C0" w:rsidRPr="00845FBC" w14:paraId="10A06745" w14:textId="77777777" w:rsidTr="00BA20B3">
        <w:trPr>
          <w:trHeight w:val="225"/>
        </w:trPr>
        <w:tc>
          <w:tcPr>
            <w:tcW w:w="1180" w:type="dxa"/>
            <w:vAlign w:val="bottom"/>
          </w:tcPr>
          <w:p w14:paraId="73F4148C" w14:textId="77777777" w:rsidR="001318C0" w:rsidRPr="00845FBC" w:rsidRDefault="001318C0" w:rsidP="00BA20B3">
            <w:pPr>
              <w:pStyle w:val="NormalTableText"/>
              <w:keepNext/>
              <w:keepLines/>
              <w:spacing w:before="60"/>
              <w:rPr>
                <w:rFonts w:eastAsia="Arial Unicode MS" w:cs="Arial"/>
                <w:szCs w:val="18"/>
              </w:rPr>
            </w:pPr>
          </w:p>
        </w:tc>
        <w:tc>
          <w:tcPr>
            <w:tcW w:w="1900" w:type="dxa"/>
            <w:vAlign w:val="bottom"/>
          </w:tcPr>
          <w:p w14:paraId="75C52C1A" w14:textId="77777777" w:rsidR="001318C0" w:rsidRPr="00845FBC" w:rsidRDefault="001318C0" w:rsidP="00BA20B3">
            <w:pPr>
              <w:pStyle w:val="NormalTableText"/>
              <w:keepNext/>
              <w:keepLines/>
              <w:spacing w:before="60"/>
              <w:rPr>
                <w:rFonts w:eastAsia="Arial Unicode MS" w:cs="Arial"/>
                <w:szCs w:val="18"/>
              </w:rPr>
            </w:pPr>
          </w:p>
        </w:tc>
        <w:tc>
          <w:tcPr>
            <w:tcW w:w="3235" w:type="dxa"/>
            <w:vAlign w:val="bottom"/>
          </w:tcPr>
          <w:p w14:paraId="2839DB5B" w14:textId="77777777" w:rsidR="001318C0" w:rsidRPr="00845FBC" w:rsidRDefault="001318C0" w:rsidP="00BA20B3">
            <w:pPr>
              <w:pStyle w:val="NormalTableText"/>
              <w:keepNext/>
              <w:keepLines/>
              <w:spacing w:before="60"/>
              <w:rPr>
                <w:rFonts w:eastAsia="Arial Unicode MS" w:cs="Arial"/>
                <w:szCs w:val="18"/>
              </w:rPr>
            </w:pPr>
            <w:r w:rsidRPr="00845FBC">
              <w:rPr>
                <w:rFonts w:cs="Arial"/>
                <w:szCs w:val="18"/>
              </w:rPr>
              <w:t>t(2;</w:t>
            </w:r>
            <w:proofErr w:type="gramStart"/>
            <w:r w:rsidRPr="00845FBC">
              <w:rPr>
                <w:rFonts w:cs="Arial"/>
                <w:szCs w:val="18"/>
              </w:rPr>
              <w:t>22)(</w:t>
            </w:r>
            <w:proofErr w:type="gramEnd"/>
            <w:r w:rsidRPr="00845FBC">
              <w:rPr>
                <w:rFonts w:cs="Arial"/>
                <w:szCs w:val="18"/>
              </w:rPr>
              <w:t>q33;q12)</w:t>
            </w:r>
          </w:p>
        </w:tc>
        <w:tc>
          <w:tcPr>
            <w:tcW w:w="2340" w:type="dxa"/>
            <w:vAlign w:val="bottom"/>
          </w:tcPr>
          <w:p w14:paraId="4EA0F9EA" w14:textId="77777777" w:rsidR="001318C0" w:rsidRPr="00845FBC" w:rsidRDefault="001318C0" w:rsidP="00BA20B3">
            <w:pPr>
              <w:pStyle w:val="NormalTableText"/>
              <w:keepNext/>
              <w:keepLines/>
              <w:spacing w:before="60"/>
              <w:rPr>
                <w:rFonts w:eastAsia="Arial Unicode MS" w:cs="Arial"/>
                <w:i/>
                <w:szCs w:val="18"/>
              </w:rPr>
            </w:pPr>
            <w:r w:rsidRPr="00845FBC">
              <w:rPr>
                <w:rFonts w:cs="Arial"/>
                <w:i/>
                <w:szCs w:val="18"/>
              </w:rPr>
              <w:t>EWSR1-FEV</w:t>
            </w:r>
            <w:r w:rsidRPr="00845FBC">
              <w:rPr>
                <w:rFonts w:cs="Arial"/>
                <w:szCs w:val="18"/>
              </w:rPr>
              <w:t xml:space="preserve"> fusion</w:t>
            </w:r>
          </w:p>
        </w:tc>
      </w:tr>
      <w:tr w:rsidR="001318C0" w:rsidRPr="00845FBC" w14:paraId="4641ECA3" w14:textId="77777777" w:rsidTr="00BA20B3">
        <w:trPr>
          <w:trHeight w:val="225"/>
        </w:trPr>
        <w:tc>
          <w:tcPr>
            <w:tcW w:w="1180" w:type="dxa"/>
            <w:vAlign w:val="bottom"/>
          </w:tcPr>
          <w:p w14:paraId="74A66CB3" w14:textId="77777777" w:rsidR="001318C0" w:rsidRPr="00845FBC" w:rsidRDefault="001318C0" w:rsidP="00BA20B3">
            <w:pPr>
              <w:pStyle w:val="NormalTableText"/>
              <w:keepNext/>
              <w:keepLines/>
              <w:spacing w:before="60"/>
              <w:rPr>
                <w:rFonts w:eastAsia="Arial Unicode MS" w:cs="Arial"/>
                <w:szCs w:val="18"/>
              </w:rPr>
            </w:pPr>
          </w:p>
        </w:tc>
        <w:tc>
          <w:tcPr>
            <w:tcW w:w="1900" w:type="dxa"/>
            <w:vAlign w:val="bottom"/>
          </w:tcPr>
          <w:p w14:paraId="2FA4F66E" w14:textId="77777777" w:rsidR="001318C0" w:rsidRPr="00845FBC" w:rsidRDefault="001318C0" w:rsidP="00BA20B3">
            <w:pPr>
              <w:pStyle w:val="NormalTableText"/>
              <w:keepNext/>
              <w:keepLines/>
              <w:spacing w:before="60"/>
              <w:rPr>
                <w:rFonts w:eastAsia="Arial Unicode MS" w:cs="Arial"/>
                <w:szCs w:val="18"/>
              </w:rPr>
            </w:pPr>
          </w:p>
        </w:tc>
        <w:tc>
          <w:tcPr>
            <w:tcW w:w="3235" w:type="dxa"/>
            <w:vAlign w:val="bottom"/>
          </w:tcPr>
          <w:p w14:paraId="668EA6E9" w14:textId="77777777" w:rsidR="001318C0" w:rsidRPr="00845FBC" w:rsidRDefault="001318C0" w:rsidP="00BA20B3">
            <w:pPr>
              <w:pStyle w:val="NormalTableText"/>
              <w:keepNext/>
              <w:keepLines/>
              <w:spacing w:before="60"/>
              <w:rPr>
                <w:rFonts w:eastAsia="Arial Unicode MS" w:cs="Arial"/>
                <w:szCs w:val="18"/>
              </w:rPr>
            </w:pPr>
            <w:r w:rsidRPr="00845FBC">
              <w:rPr>
                <w:rFonts w:cs="Arial"/>
                <w:szCs w:val="18"/>
              </w:rPr>
              <w:t>t(7;</w:t>
            </w:r>
            <w:proofErr w:type="gramStart"/>
            <w:r w:rsidRPr="00845FBC">
              <w:rPr>
                <w:rFonts w:cs="Arial"/>
                <w:szCs w:val="18"/>
              </w:rPr>
              <w:t>22)(</w:t>
            </w:r>
            <w:proofErr w:type="gramEnd"/>
            <w:r w:rsidRPr="00845FBC">
              <w:rPr>
                <w:rFonts w:cs="Arial"/>
                <w:szCs w:val="18"/>
              </w:rPr>
              <w:t>p22;q12)</w:t>
            </w:r>
          </w:p>
        </w:tc>
        <w:tc>
          <w:tcPr>
            <w:tcW w:w="2340" w:type="dxa"/>
            <w:vAlign w:val="bottom"/>
          </w:tcPr>
          <w:p w14:paraId="09A62764" w14:textId="77777777" w:rsidR="001318C0" w:rsidRPr="00845FBC" w:rsidRDefault="001318C0" w:rsidP="00BA20B3">
            <w:pPr>
              <w:pStyle w:val="NormalTableText"/>
              <w:keepNext/>
              <w:keepLines/>
              <w:spacing w:before="60"/>
              <w:rPr>
                <w:rFonts w:eastAsia="Arial Unicode MS" w:cs="Arial"/>
                <w:i/>
                <w:szCs w:val="18"/>
              </w:rPr>
            </w:pPr>
            <w:r w:rsidRPr="00845FBC">
              <w:rPr>
                <w:rFonts w:cs="Arial"/>
                <w:i/>
                <w:szCs w:val="18"/>
              </w:rPr>
              <w:t>EWSR1-ETV1</w:t>
            </w:r>
            <w:r w:rsidRPr="00845FBC">
              <w:rPr>
                <w:rFonts w:cs="Arial"/>
                <w:szCs w:val="18"/>
              </w:rPr>
              <w:t xml:space="preserve"> fusion</w:t>
            </w:r>
          </w:p>
        </w:tc>
      </w:tr>
      <w:tr w:rsidR="001318C0" w:rsidRPr="00845FBC" w14:paraId="1A190173" w14:textId="77777777" w:rsidTr="00BA20B3">
        <w:trPr>
          <w:trHeight w:val="225"/>
        </w:trPr>
        <w:tc>
          <w:tcPr>
            <w:tcW w:w="1180" w:type="dxa"/>
            <w:vAlign w:val="bottom"/>
          </w:tcPr>
          <w:p w14:paraId="6A2003BA" w14:textId="77777777" w:rsidR="001318C0" w:rsidRPr="00845FBC" w:rsidRDefault="001318C0" w:rsidP="00BA20B3">
            <w:pPr>
              <w:pStyle w:val="NormalTableText"/>
              <w:keepNext/>
              <w:keepLines/>
              <w:spacing w:before="60"/>
              <w:rPr>
                <w:rFonts w:eastAsia="Arial Unicode MS" w:cs="Arial"/>
                <w:szCs w:val="18"/>
              </w:rPr>
            </w:pPr>
          </w:p>
        </w:tc>
        <w:tc>
          <w:tcPr>
            <w:tcW w:w="1900" w:type="dxa"/>
            <w:vAlign w:val="bottom"/>
          </w:tcPr>
          <w:p w14:paraId="693BE097" w14:textId="77777777" w:rsidR="001318C0" w:rsidRPr="00845FBC" w:rsidRDefault="001318C0" w:rsidP="00BA20B3">
            <w:pPr>
              <w:pStyle w:val="NormalTableText"/>
              <w:keepNext/>
              <w:keepLines/>
              <w:spacing w:before="60"/>
              <w:rPr>
                <w:rFonts w:eastAsia="Arial Unicode MS" w:cs="Arial"/>
                <w:szCs w:val="18"/>
              </w:rPr>
            </w:pPr>
          </w:p>
        </w:tc>
        <w:tc>
          <w:tcPr>
            <w:tcW w:w="3235" w:type="dxa"/>
            <w:vAlign w:val="bottom"/>
          </w:tcPr>
          <w:p w14:paraId="392401E2" w14:textId="77777777" w:rsidR="001318C0" w:rsidRPr="00845FBC" w:rsidRDefault="001318C0" w:rsidP="00BA20B3">
            <w:pPr>
              <w:pStyle w:val="NormalTableText"/>
              <w:keepNext/>
              <w:keepLines/>
              <w:spacing w:before="60"/>
              <w:rPr>
                <w:rFonts w:eastAsia="Arial Unicode MS" w:cs="Arial"/>
                <w:szCs w:val="18"/>
              </w:rPr>
            </w:pPr>
            <w:r w:rsidRPr="00845FBC">
              <w:rPr>
                <w:rFonts w:cs="Arial"/>
                <w:szCs w:val="18"/>
              </w:rPr>
              <w:t>t(17;</w:t>
            </w:r>
            <w:proofErr w:type="gramStart"/>
            <w:r w:rsidRPr="00845FBC">
              <w:rPr>
                <w:rFonts w:cs="Arial"/>
                <w:szCs w:val="18"/>
              </w:rPr>
              <w:t>22)(</w:t>
            </w:r>
            <w:proofErr w:type="gramEnd"/>
            <w:r w:rsidRPr="00845FBC">
              <w:rPr>
                <w:rFonts w:cs="Arial"/>
                <w:szCs w:val="18"/>
              </w:rPr>
              <w:t>q12;q12)</w:t>
            </w:r>
          </w:p>
        </w:tc>
        <w:tc>
          <w:tcPr>
            <w:tcW w:w="2340" w:type="dxa"/>
            <w:vAlign w:val="bottom"/>
          </w:tcPr>
          <w:p w14:paraId="35690CB3" w14:textId="77777777" w:rsidR="001318C0" w:rsidRPr="00845FBC" w:rsidRDefault="001318C0" w:rsidP="00BA20B3">
            <w:pPr>
              <w:pStyle w:val="NormalTableText"/>
              <w:keepNext/>
              <w:keepLines/>
              <w:spacing w:before="60"/>
              <w:rPr>
                <w:rFonts w:eastAsia="Arial Unicode MS" w:cs="Arial"/>
                <w:i/>
                <w:szCs w:val="18"/>
              </w:rPr>
            </w:pPr>
            <w:r w:rsidRPr="00845FBC">
              <w:rPr>
                <w:rFonts w:cs="Arial"/>
                <w:i/>
                <w:szCs w:val="18"/>
              </w:rPr>
              <w:t>EWSR1-E1AF</w:t>
            </w:r>
            <w:r w:rsidRPr="00845FBC">
              <w:rPr>
                <w:rFonts w:cs="Arial"/>
                <w:szCs w:val="18"/>
              </w:rPr>
              <w:t xml:space="preserve"> fusion</w:t>
            </w:r>
          </w:p>
        </w:tc>
      </w:tr>
      <w:tr w:rsidR="001318C0" w:rsidRPr="00845FBC" w14:paraId="4E6452CA" w14:textId="77777777" w:rsidTr="00BA20B3">
        <w:trPr>
          <w:trHeight w:val="225"/>
        </w:trPr>
        <w:tc>
          <w:tcPr>
            <w:tcW w:w="1180" w:type="dxa"/>
            <w:vAlign w:val="bottom"/>
          </w:tcPr>
          <w:p w14:paraId="4C596B20" w14:textId="77777777" w:rsidR="001318C0" w:rsidRPr="00845FBC" w:rsidRDefault="001318C0" w:rsidP="00BA20B3">
            <w:pPr>
              <w:pStyle w:val="NormalTableText"/>
              <w:keepNext/>
              <w:keepLines/>
              <w:spacing w:before="60"/>
              <w:rPr>
                <w:rFonts w:eastAsia="Arial Unicode MS" w:cs="Arial"/>
                <w:szCs w:val="18"/>
              </w:rPr>
            </w:pPr>
          </w:p>
        </w:tc>
        <w:tc>
          <w:tcPr>
            <w:tcW w:w="1900" w:type="dxa"/>
            <w:vAlign w:val="bottom"/>
          </w:tcPr>
          <w:p w14:paraId="1D6F7601" w14:textId="77777777" w:rsidR="001318C0" w:rsidRPr="00845FBC" w:rsidRDefault="001318C0" w:rsidP="00BA20B3">
            <w:pPr>
              <w:pStyle w:val="NormalTableText"/>
              <w:keepNext/>
              <w:keepLines/>
              <w:spacing w:before="60"/>
              <w:rPr>
                <w:rFonts w:eastAsia="Arial Unicode MS" w:cs="Arial"/>
                <w:szCs w:val="18"/>
              </w:rPr>
            </w:pPr>
          </w:p>
        </w:tc>
        <w:tc>
          <w:tcPr>
            <w:tcW w:w="3235" w:type="dxa"/>
            <w:vAlign w:val="bottom"/>
          </w:tcPr>
          <w:p w14:paraId="580ED3DC" w14:textId="77777777" w:rsidR="001318C0" w:rsidRPr="00845FBC" w:rsidRDefault="001318C0" w:rsidP="00BA20B3">
            <w:pPr>
              <w:pStyle w:val="NormalTableText"/>
              <w:keepNext/>
              <w:keepLines/>
              <w:spacing w:before="60"/>
              <w:rPr>
                <w:rFonts w:eastAsia="Arial Unicode MS" w:cs="Arial"/>
                <w:szCs w:val="18"/>
              </w:rPr>
            </w:pPr>
            <w:r w:rsidRPr="00845FBC">
              <w:rPr>
                <w:rFonts w:cs="Arial"/>
                <w:szCs w:val="18"/>
              </w:rPr>
              <w:t>inv(</w:t>
            </w:r>
            <w:proofErr w:type="gramStart"/>
            <w:r w:rsidRPr="00845FBC">
              <w:rPr>
                <w:rFonts w:cs="Arial"/>
                <w:szCs w:val="18"/>
              </w:rPr>
              <w:t>22)(</w:t>
            </w:r>
            <w:proofErr w:type="gramEnd"/>
            <w:r w:rsidRPr="00845FBC">
              <w:rPr>
                <w:rFonts w:cs="Arial"/>
                <w:szCs w:val="18"/>
              </w:rPr>
              <w:t>q12q12)</w:t>
            </w:r>
          </w:p>
        </w:tc>
        <w:tc>
          <w:tcPr>
            <w:tcW w:w="2340" w:type="dxa"/>
            <w:vAlign w:val="bottom"/>
          </w:tcPr>
          <w:p w14:paraId="4BE29469" w14:textId="77777777" w:rsidR="001318C0" w:rsidRPr="00845FBC" w:rsidRDefault="001318C0" w:rsidP="00BA20B3">
            <w:pPr>
              <w:pStyle w:val="NormalTableText"/>
              <w:keepNext/>
              <w:keepLines/>
              <w:spacing w:before="60"/>
              <w:rPr>
                <w:rFonts w:eastAsia="Arial Unicode MS" w:cs="Arial"/>
                <w:i/>
                <w:szCs w:val="18"/>
              </w:rPr>
            </w:pPr>
            <w:r w:rsidRPr="00845FBC">
              <w:rPr>
                <w:rFonts w:cs="Arial"/>
                <w:i/>
                <w:szCs w:val="18"/>
              </w:rPr>
              <w:t>EWSR1-ZSG</w:t>
            </w:r>
          </w:p>
        </w:tc>
      </w:tr>
      <w:tr w:rsidR="001318C0" w:rsidRPr="00845FBC" w14:paraId="0F8DA62E" w14:textId="77777777" w:rsidTr="00BA20B3">
        <w:trPr>
          <w:trHeight w:val="225"/>
        </w:trPr>
        <w:tc>
          <w:tcPr>
            <w:tcW w:w="1180" w:type="dxa"/>
            <w:vAlign w:val="bottom"/>
          </w:tcPr>
          <w:p w14:paraId="79C8F6A1" w14:textId="77777777" w:rsidR="001318C0" w:rsidRPr="00845FBC" w:rsidRDefault="001318C0" w:rsidP="00BA20B3">
            <w:pPr>
              <w:pStyle w:val="NormalTableText"/>
              <w:keepNext/>
              <w:keepLines/>
              <w:spacing w:before="60"/>
              <w:rPr>
                <w:rFonts w:eastAsia="Arial Unicode MS" w:cs="Arial"/>
                <w:szCs w:val="18"/>
              </w:rPr>
            </w:pPr>
          </w:p>
        </w:tc>
        <w:tc>
          <w:tcPr>
            <w:tcW w:w="1900" w:type="dxa"/>
            <w:vAlign w:val="bottom"/>
          </w:tcPr>
          <w:p w14:paraId="2DAA8A3B" w14:textId="77777777" w:rsidR="001318C0" w:rsidRPr="00845FBC" w:rsidRDefault="001318C0" w:rsidP="00BA20B3">
            <w:pPr>
              <w:pStyle w:val="NormalTableText"/>
              <w:keepNext/>
              <w:keepLines/>
              <w:spacing w:before="60"/>
              <w:rPr>
                <w:rFonts w:eastAsia="Arial Unicode MS" w:cs="Arial"/>
                <w:szCs w:val="18"/>
              </w:rPr>
            </w:pPr>
          </w:p>
        </w:tc>
        <w:tc>
          <w:tcPr>
            <w:tcW w:w="3235" w:type="dxa"/>
            <w:vAlign w:val="bottom"/>
          </w:tcPr>
          <w:p w14:paraId="0285CA23" w14:textId="77777777" w:rsidR="001318C0" w:rsidRPr="00845FBC" w:rsidRDefault="001318C0" w:rsidP="00BA20B3">
            <w:pPr>
              <w:pStyle w:val="NormalTableText"/>
              <w:keepNext/>
              <w:keepLines/>
              <w:spacing w:before="60"/>
              <w:rPr>
                <w:rFonts w:cs="Arial"/>
                <w:szCs w:val="18"/>
              </w:rPr>
            </w:pPr>
            <w:r w:rsidRPr="00845FBC">
              <w:rPr>
                <w:rFonts w:cs="Arial"/>
                <w:szCs w:val="18"/>
              </w:rPr>
              <w:t>t(16;</w:t>
            </w:r>
            <w:proofErr w:type="gramStart"/>
            <w:r w:rsidRPr="00845FBC">
              <w:rPr>
                <w:rFonts w:cs="Arial"/>
                <w:szCs w:val="18"/>
              </w:rPr>
              <w:t>21)(</w:t>
            </w:r>
            <w:proofErr w:type="gramEnd"/>
            <w:r w:rsidRPr="00845FBC">
              <w:rPr>
                <w:rFonts w:cs="Arial"/>
                <w:szCs w:val="18"/>
              </w:rPr>
              <w:t>p11;q22)</w:t>
            </w:r>
          </w:p>
        </w:tc>
        <w:tc>
          <w:tcPr>
            <w:tcW w:w="2340" w:type="dxa"/>
            <w:vAlign w:val="bottom"/>
          </w:tcPr>
          <w:p w14:paraId="61A845E1" w14:textId="77777777" w:rsidR="001318C0" w:rsidRPr="00845FBC" w:rsidRDefault="001318C0" w:rsidP="00BA20B3">
            <w:pPr>
              <w:pStyle w:val="NormalTableText"/>
              <w:keepNext/>
              <w:keepLines/>
              <w:spacing w:before="60"/>
              <w:rPr>
                <w:rFonts w:cs="Arial"/>
                <w:i/>
                <w:szCs w:val="18"/>
              </w:rPr>
            </w:pPr>
            <w:r w:rsidRPr="00845FBC">
              <w:rPr>
                <w:rFonts w:cs="Arial"/>
                <w:i/>
                <w:szCs w:val="18"/>
              </w:rPr>
              <w:t>FUS-ERG</w:t>
            </w:r>
          </w:p>
        </w:tc>
      </w:tr>
      <w:tr w:rsidR="001318C0" w:rsidRPr="00845FBC" w14:paraId="6189D9AE" w14:textId="77777777" w:rsidTr="00BA20B3">
        <w:trPr>
          <w:trHeight w:val="225"/>
        </w:trPr>
        <w:tc>
          <w:tcPr>
            <w:tcW w:w="1180" w:type="dxa"/>
            <w:vAlign w:val="bottom"/>
          </w:tcPr>
          <w:p w14:paraId="482CEA3C" w14:textId="77777777" w:rsidR="001318C0" w:rsidRPr="00845FBC" w:rsidRDefault="001318C0" w:rsidP="00BA20B3">
            <w:pPr>
              <w:pStyle w:val="NormalTableText"/>
              <w:keepNext/>
              <w:keepLines/>
              <w:spacing w:before="60"/>
              <w:rPr>
                <w:rFonts w:eastAsia="Arial Unicode MS" w:cs="Arial"/>
                <w:szCs w:val="18"/>
              </w:rPr>
            </w:pPr>
          </w:p>
        </w:tc>
        <w:tc>
          <w:tcPr>
            <w:tcW w:w="1900" w:type="dxa"/>
            <w:vAlign w:val="bottom"/>
          </w:tcPr>
          <w:p w14:paraId="7E22CA1F" w14:textId="77777777" w:rsidR="001318C0" w:rsidRPr="00845FBC" w:rsidRDefault="001318C0" w:rsidP="00BA20B3">
            <w:pPr>
              <w:pStyle w:val="NormalTableText"/>
              <w:keepNext/>
              <w:keepLines/>
              <w:spacing w:before="60"/>
              <w:rPr>
                <w:rFonts w:eastAsia="Arial Unicode MS" w:cs="Arial"/>
                <w:szCs w:val="18"/>
              </w:rPr>
            </w:pPr>
          </w:p>
        </w:tc>
        <w:tc>
          <w:tcPr>
            <w:tcW w:w="3235" w:type="dxa"/>
            <w:vAlign w:val="bottom"/>
          </w:tcPr>
          <w:p w14:paraId="17B10EA9" w14:textId="77777777" w:rsidR="001318C0" w:rsidRPr="00845FBC" w:rsidRDefault="001318C0" w:rsidP="00BA20B3">
            <w:pPr>
              <w:pStyle w:val="NormalTableText"/>
              <w:keepNext/>
              <w:keepLines/>
              <w:spacing w:before="60"/>
              <w:rPr>
                <w:rFonts w:cs="Arial"/>
                <w:szCs w:val="18"/>
              </w:rPr>
            </w:pPr>
            <w:r w:rsidRPr="00845FBC">
              <w:rPr>
                <w:rFonts w:cs="Arial"/>
                <w:szCs w:val="18"/>
              </w:rPr>
              <w:t>t(2;</w:t>
            </w:r>
            <w:proofErr w:type="gramStart"/>
            <w:r w:rsidRPr="00845FBC">
              <w:rPr>
                <w:rFonts w:cs="Arial"/>
                <w:szCs w:val="18"/>
              </w:rPr>
              <w:t>16)(</w:t>
            </w:r>
            <w:proofErr w:type="gramEnd"/>
            <w:r w:rsidRPr="00845FBC">
              <w:rPr>
                <w:rFonts w:cs="Arial"/>
                <w:szCs w:val="18"/>
              </w:rPr>
              <w:t>q35;p11)</w:t>
            </w:r>
          </w:p>
        </w:tc>
        <w:tc>
          <w:tcPr>
            <w:tcW w:w="2340" w:type="dxa"/>
            <w:vAlign w:val="bottom"/>
          </w:tcPr>
          <w:p w14:paraId="7E8C258F" w14:textId="77777777" w:rsidR="001318C0" w:rsidRPr="00845FBC" w:rsidRDefault="001318C0" w:rsidP="00BA20B3">
            <w:pPr>
              <w:pStyle w:val="NormalTableText"/>
              <w:keepNext/>
              <w:keepLines/>
              <w:spacing w:before="60"/>
              <w:rPr>
                <w:rFonts w:cs="Arial"/>
                <w:i/>
                <w:szCs w:val="18"/>
              </w:rPr>
            </w:pPr>
            <w:r w:rsidRPr="00845FBC">
              <w:rPr>
                <w:rFonts w:cs="Arial"/>
                <w:i/>
                <w:szCs w:val="18"/>
              </w:rPr>
              <w:t>FUS-FEV</w:t>
            </w:r>
          </w:p>
        </w:tc>
      </w:tr>
      <w:tr w:rsidR="001318C0" w:rsidRPr="00845FBC" w14:paraId="7DC77080" w14:textId="77777777" w:rsidTr="00BA20B3">
        <w:trPr>
          <w:trHeight w:val="225"/>
        </w:trPr>
        <w:tc>
          <w:tcPr>
            <w:tcW w:w="3080" w:type="dxa"/>
            <w:gridSpan w:val="2"/>
            <w:vAlign w:val="bottom"/>
          </w:tcPr>
          <w:p w14:paraId="0070D66F" w14:textId="77777777" w:rsidR="001318C0" w:rsidRPr="00845FBC" w:rsidRDefault="001318C0" w:rsidP="00BA20B3">
            <w:pPr>
              <w:pStyle w:val="NormalTableText"/>
              <w:keepNext/>
              <w:keepLines/>
              <w:spacing w:before="60"/>
              <w:rPr>
                <w:rFonts w:eastAsia="Arial Unicode MS" w:cs="Arial"/>
                <w:szCs w:val="18"/>
              </w:rPr>
            </w:pPr>
            <w:r w:rsidRPr="00845FBC">
              <w:rPr>
                <w:rFonts w:eastAsia="Arial Unicode MS" w:cs="Arial"/>
                <w:szCs w:val="18"/>
              </w:rPr>
              <w:t>Ewing-like sarcomas</w:t>
            </w:r>
            <w:r w:rsidRPr="00845FBC">
              <w:rPr>
                <w:rFonts w:eastAsia="Arial Unicode MS" w:cs="Arial"/>
                <w:szCs w:val="18"/>
                <w:vertAlign w:val="superscript"/>
              </w:rPr>
              <w:t>#</w:t>
            </w:r>
          </w:p>
        </w:tc>
        <w:tc>
          <w:tcPr>
            <w:tcW w:w="3235" w:type="dxa"/>
            <w:vAlign w:val="bottom"/>
          </w:tcPr>
          <w:p w14:paraId="03DF1B39" w14:textId="77777777" w:rsidR="001318C0" w:rsidRPr="00845FBC" w:rsidRDefault="001318C0" w:rsidP="00BA20B3">
            <w:pPr>
              <w:pStyle w:val="NormalTableText"/>
              <w:keepNext/>
              <w:keepLines/>
              <w:spacing w:before="60"/>
              <w:rPr>
                <w:rFonts w:cs="Arial"/>
                <w:szCs w:val="18"/>
              </w:rPr>
            </w:pPr>
          </w:p>
        </w:tc>
        <w:tc>
          <w:tcPr>
            <w:tcW w:w="2340" w:type="dxa"/>
            <w:vAlign w:val="bottom"/>
          </w:tcPr>
          <w:p w14:paraId="21240458" w14:textId="77777777" w:rsidR="001318C0" w:rsidRPr="00845FBC" w:rsidRDefault="001318C0" w:rsidP="00BA20B3">
            <w:pPr>
              <w:pStyle w:val="NormalTableText"/>
              <w:keepNext/>
              <w:keepLines/>
              <w:spacing w:before="60"/>
              <w:rPr>
                <w:rFonts w:cs="Arial"/>
                <w:i/>
                <w:szCs w:val="18"/>
              </w:rPr>
            </w:pPr>
          </w:p>
        </w:tc>
      </w:tr>
      <w:tr w:rsidR="001318C0" w:rsidRPr="00845FBC" w14:paraId="0D67F97E" w14:textId="77777777" w:rsidTr="00BA20B3">
        <w:trPr>
          <w:trHeight w:val="225"/>
        </w:trPr>
        <w:tc>
          <w:tcPr>
            <w:tcW w:w="1180" w:type="dxa"/>
            <w:vAlign w:val="bottom"/>
          </w:tcPr>
          <w:p w14:paraId="6733D8D2" w14:textId="77777777" w:rsidR="001318C0" w:rsidRPr="00845FBC" w:rsidRDefault="001318C0" w:rsidP="00BA20B3">
            <w:pPr>
              <w:pStyle w:val="NormalTableText"/>
              <w:keepNext/>
              <w:keepLines/>
              <w:spacing w:before="60"/>
              <w:rPr>
                <w:rFonts w:eastAsia="Arial Unicode MS" w:cs="Arial"/>
                <w:szCs w:val="18"/>
              </w:rPr>
            </w:pPr>
          </w:p>
        </w:tc>
        <w:tc>
          <w:tcPr>
            <w:tcW w:w="1900" w:type="dxa"/>
            <w:vAlign w:val="bottom"/>
          </w:tcPr>
          <w:p w14:paraId="4B11CB54" w14:textId="77777777" w:rsidR="001318C0" w:rsidRPr="00845FBC" w:rsidRDefault="001318C0" w:rsidP="00BA20B3">
            <w:pPr>
              <w:pStyle w:val="NormalTableText"/>
              <w:keepNext/>
              <w:keepLines/>
              <w:spacing w:before="60"/>
              <w:rPr>
                <w:rFonts w:eastAsia="Arial Unicode MS" w:cs="Arial"/>
                <w:szCs w:val="18"/>
              </w:rPr>
            </w:pPr>
          </w:p>
        </w:tc>
        <w:tc>
          <w:tcPr>
            <w:tcW w:w="3235" w:type="dxa"/>
            <w:vAlign w:val="bottom"/>
          </w:tcPr>
          <w:p w14:paraId="04B22398" w14:textId="77777777" w:rsidR="001318C0" w:rsidRPr="00845FBC" w:rsidRDefault="001318C0" w:rsidP="00BA20B3">
            <w:pPr>
              <w:pStyle w:val="NormalTableText"/>
              <w:keepNext/>
              <w:keepLines/>
              <w:spacing w:before="60"/>
              <w:rPr>
                <w:rFonts w:cs="Arial"/>
                <w:szCs w:val="18"/>
              </w:rPr>
            </w:pPr>
            <w:r w:rsidRPr="00845FBC">
              <w:rPr>
                <w:rFonts w:cs="Arial"/>
                <w:szCs w:val="18"/>
              </w:rPr>
              <w:t>t(20;</w:t>
            </w:r>
            <w:proofErr w:type="gramStart"/>
            <w:r w:rsidRPr="00845FBC">
              <w:rPr>
                <w:rFonts w:cs="Arial"/>
                <w:szCs w:val="18"/>
              </w:rPr>
              <w:t>22)(</w:t>
            </w:r>
            <w:proofErr w:type="gramEnd"/>
            <w:r w:rsidRPr="00845FBC">
              <w:rPr>
                <w:rFonts w:cs="Arial"/>
                <w:szCs w:val="18"/>
              </w:rPr>
              <w:t>q13;q12)</w:t>
            </w:r>
          </w:p>
        </w:tc>
        <w:tc>
          <w:tcPr>
            <w:tcW w:w="2340" w:type="dxa"/>
            <w:vAlign w:val="bottom"/>
          </w:tcPr>
          <w:p w14:paraId="410C3C09" w14:textId="77777777" w:rsidR="001318C0" w:rsidRPr="00845FBC" w:rsidRDefault="001318C0" w:rsidP="00BA20B3">
            <w:pPr>
              <w:pStyle w:val="NormalTableText"/>
              <w:keepNext/>
              <w:keepLines/>
              <w:spacing w:before="60"/>
              <w:rPr>
                <w:rFonts w:cs="Arial"/>
                <w:i/>
                <w:szCs w:val="18"/>
              </w:rPr>
            </w:pPr>
            <w:r w:rsidRPr="00845FBC">
              <w:rPr>
                <w:rFonts w:cs="Arial"/>
                <w:i/>
                <w:szCs w:val="18"/>
              </w:rPr>
              <w:t>EWSR1-NFATC2</w:t>
            </w:r>
          </w:p>
        </w:tc>
      </w:tr>
      <w:tr w:rsidR="001318C0" w:rsidRPr="00845FBC" w14:paraId="710E17F1" w14:textId="77777777" w:rsidTr="00BA20B3">
        <w:trPr>
          <w:trHeight w:val="225"/>
        </w:trPr>
        <w:tc>
          <w:tcPr>
            <w:tcW w:w="1180" w:type="dxa"/>
            <w:vAlign w:val="bottom"/>
          </w:tcPr>
          <w:p w14:paraId="68DB108A" w14:textId="77777777" w:rsidR="001318C0" w:rsidRPr="00845FBC" w:rsidRDefault="001318C0" w:rsidP="00BA20B3">
            <w:pPr>
              <w:pStyle w:val="NormalTableText"/>
              <w:keepNext/>
              <w:keepLines/>
              <w:spacing w:before="60"/>
              <w:rPr>
                <w:rFonts w:eastAsia="Arial Unicode MS" w:cs="Arial"/>
                <w:szCs w:val="18"/>
              </w:rPr>
            </w:pPr>
          </w:p>
        </w:tc>
        <w:tc>
          <w:tcPr>
            <w:tcW w:w="1900" w:type="dxa"/>
            <w:vAlign w:val="bottom"/>
          </w:tcPr>
          <w:p w14:paraId="3716800F" w14:textId="77777777" w:rsidR="001318C0" w:rsidRPr="00845FBC" w:rsidRDefault="001318C0" w:rsidP="00BA20B3">
            <w:pPr>
              <w:pStyle w:val="NormalTableText"/>
              <w:keepNext/>
              <w:keepLines/>
              <w:spacing w:before="60"/>
              <w:rPr>
                <w:rFonts w:eastAsia="Arial Unicode MS" w:cs="Arial"/>
                <w:szCs w:val="18"/>
              </w:rPr>
            </w:pPr>
          </w:p>
        </w:tc>
        <w:tc>
          <w:tcPr>
            <w:tcW w:w="3235" w:type="dxa"/>
            <w:vAlign w:val="bottom"/>
          </w:tcPr>
          <w:p w14:paraId="753B97F0" w14:textId="77777777" w:rsidR="001318C0" w:rsidRPr="00845FBC" w:rsidRDefault="001318C0" w:rsidP="00BA20B3">
            <w:pPr>
              <w:pStyle w:val="NormalTableText"/>
              <w:keepNext/>
              <w:keepLines/>
              <w:spacing w:before="60"/>
              <w:rPr>
                <w:rFonts w:cs="Arial"/>
                <w:szCs w:val="18"/>
              </w:rPr>
            </w:pPr>
            <w:r w:rsidRPr="00845FBC">
              <w:rPr>
                <w:rFonts w:cs="Arial"/>
                <w:szCs w:val="18"/>
              </w:rPr>
              <w:t>t(6;</w:t>
            </w:r>
            <w:proofErr w:type="gramStart"/>
            <w:r w:rsidRPr="00845FBC">
              <w:rPr>
                <w:rFonts w:cs="Arial"/>
                <w:szCs w:val="18"/>
              </w:rPr>
              <w:t>22)(</w:t>
            </w:r>
            <w:proofErr w:type="gramEnd"/>
            <w:r w:rsidRPr="00845FBC">
              <w:rPr>
                <w:rFonts w:cs="Arial"/>
                <w:szCs w:val="18"/>
              </w:rPr>
              <w:t>p21;q12)</w:t>
            </w:r>
          </w:p>
        </w:tc>
        <w:tc>
          <w:tcPr>
            <w:tcW w:w="2340" w:type="dxa"/>
            <w:vAlign w:val="bottom"/>
          </w:tcPr>
          <w:p w14:paraId="0A40BFE3" w14:textId="77777777" w:rsidR="001318C0" w:rsidRPr="00845FBC" w:rsidRDefault="001318C0" w:rsidP="00BA20B3">
            <w:pPr>
              <w:pStyle w:val="NormalTableText"/>
              <w:keepNext/>
              <w:keepLines/>
              <w:spacing w:before="60"/>
              <w:rPr>
                <w:rFonts w:cs="Arial"/>
                <w:i/>
                <w:szCs w:val="18"/>
              </w:rPr>
            </w:pPr>
            <w:r w:rsidRPr="00845FBC">
              <w:rPr>
                <w:rFonts w:cs="Arial"/>
                <w:i/>
                <w:szCs w:val="18"/>
              </w:rPr>
              <w:t>EWSR1-POU5F1</w:t>
            </w:r>
          </w:p>
        </w:tc>
      </w:tr>
      <w:tr w:rsidR="001318C0" w:rsidRPr="00845FBC" w14:paraId="1AA00E45" w14:textId="77777777" w:rsidTr="00BA20B3">
        <w:trPr>
          <w:trHeight w:val="225"/>
        </w:trPr>
        <w:tc>
          <w:tcPr>
            <w:tcW w:w="1180" w:type="dxa"/>
            <w:vAlign w:val="bottom"/>
          </w:tcPr>
          <w:p w14:paraId="44B96665" w14:textId="77777777" w:rsidR="001318C0" w:rsidRPr="00845FBC" w:rsidRDefault="001318C0" w:rsidP="00BA20B3">
            <w:pPr>
              <w:pStyle w:val="NormalTableText"/>
              <w:keepNext/>
              <w:keepLines/>
              <w:spacing w:before="60"/>
              <w:rPr>
                <w:rFonts w:eastAsia="Arial Unicode MS" w:cs="Arial"/>
                <w:szCs w:val="18"/>
              </w:rPr>
            </w:pPr>
          </w:p>
        </w:tc>
        <w:tc>
          <w:tcPr>
            <w:tcW w:w="1900" w:type="dxa"/>
            <w:vAlign w:val="bottom"/>
          </w:tcPr>
          <w:p w14:paraId="179A159F" w14:textId="77777777" w:rsidR="001318C0" w:rsidRPr="00845FBC" w:rsidRDefault="001318C0" w:rsidP="00BA20B3">
            <w:pPr>
              <w:pStyle w:val="NormalTableText"/>
              <w:keepNext/>
              <w:keepLines/>
              <w:spacing w:before="60"/>
              <w:rPr>
                <w:rFonts w:eastAsia="Arial Unicode MS" w:cs="Arial"/>
                <w:szCs w:val="18"/>
              </w:rPr>
            </w:pPr>
          </w:p>
        </w:tc>
        <w:tc>
          <w:tcPr>
            <w:tcW w:w="3235" w:type="dxa"/>
            <w:vAlign w:val="bottom"/>
          </w:tcPr>
          <w:p w14:paraId="0D3C41F1" w14:textId="77777777" w:rsidR="001318C0" w:rsidRPr="00845FBC" w:rsidRDefault="001318C0" w:rsidP="00BA20B3">
            <w:pPr>
              <w:pStyle w:val="NormalTableText"/>
              <w:keepNext/>
              <w:keepLines/>
              <w:spacing w:before="60"/>
              <w:rPr>
                <w:rFonts w:cs="Arial"/>
                <w:szCs w:val="18"/>
              </w:rPr>
            </w:pPr>
            <w:r w:rsidRPr="00845FBC">
              <w:rPr>
                <w:rFonts w:cs="Arial"/>
                <w:szCs w:val="18"/>
              </w:rPr>
              <w:t>t(4;</w:t>
            </w:r>
            <w:proofErr w:type="gramStart"/>
            <w:r w:rsidRPr="00845FBC">
              <w:rPr>
                <w:rFonts w:cs="Arial"/>
                <w:szCs w:val="18"/>
              </w:rPr>
              <w:t>22)(</w:t>
            </w:r>
            <w:proofErr w:type="gramEnd"/>
            <w:r w:rsidRPr="00845FBC">
              <w:rPr>
                <w:rFonts w:cs="Arial"/>
                <w:szCs w:val="18"/>
              </w:rPr>
              <w:t>q31;q12)</w:t>
            </w:r>
          </w:p>
        </w:tc>
        <w:tc>
          <w:tcPr>
            <w:tcW w:w="2340" w:type="dxa"/>
            <w:vAlign w:val="bottom"/>
          </w:tcPr>
          <w:p w14:paraId="5BBA7179" w14:textId="77777777" w:rsidR="001318C0" w:rsidRPr="00845FBC" w:rsidRDefault="001318C0" w:rsidP="00BA20B3">
            <w:pPr>
              <w:pStyle w:val="NormalTableText"/>
              <w:keepNext/>
              <w:keepLines/>
              <w:spacing w:before="60"/>
              <w:rPr>
                <w:rFonts w:cs="Arial"/>
                <w:i/>
                <w:szCs w:val="18"/>
              </w:rPr>
            </w:pPr>
            <w:r w:rsidRPr="00845FBC">
              <w:rPr>
                <w:rFonts w:cs="Arial"/>
                <w:i/>
                <w:szCs w:val="18"/>
              </w:rPr>
              <w:t>EWSR1-SMARCA5</w:t>
            </w:r>
          </w:p>
        </w:tc>
      </w:tr>
      <w:tr w:rsidR="001318C0" w:rsidRPr="00845FBC" w14:paraId="75CAFE08" w14:textId="77777777" w:rsidTr="00BA20B3">
        <w:trPr>
          <w:trHeight w:val="225"/>
        </w:trPr>
        <w:tc>
          <w:tcPr>
            <w:tcW w:w="1180" w:type="dxa"/>
            <w:vAlign w:val="bottom"/>
          </w:tcPr>
          <w:p w14:paraId="09502258" w14:textId="77777777" w:rsidR="001318C0" w:rsidRPr="00845FBC" w:rsidRDefault="001318C0" w:rsidP="00BA20B3">
            <w:pPr>
              <w:pStyle w:val="NormalTableText"/>
              <w:keepNext/>
              <w:keepLines/>
              <w:spacing w:before="60"/>
              <w:rPr>
                <w:rFonts w:eastAsia="Arial Unicode MS" w:cs="Arial"/>
                <w:szCs w:val="18"/>
              </w:rPr>
            </w:pPr>
          </w:p>
        </w:tc>
        <w:tc>
          <w:tcPr>
            <w:tcW w:w="1900" w:type="dxa"/>
            <w:vAlign w:val="bottom"/>
          </w:tcPr>
          <w:p w14:paraId="62424310" w14:textId="77777777" w:rsidR="001318C0" w:rsidRPr="00845FBC" w:rsidRDefault="001318C0" w:rsidP="00BA20B3">
            <w:pPr>
              <w:pStyle w:val="NormalTableText"/>
              <w:keepNext/>
              <w:keepLines/>
              <w:spacing w:before="60"/>
              <w:rPr>
                <w:rFonts w:eastAsia="Arial Unicode MS" w:cs="Arial"/>
                <w:szCs w:val="18"/>
              </w:rPr>
            </w:pPr>
          </w:p>
        </w:tc>
        <w:tc>
          <w:tcPr>
            <w:tcW w:w="3235" w:type="dxa"/>
            <w:vAlign w:val="bottom"/>
          </w:tcPr>
          <w:p w14:paraId="2313A663" w14:textId="77777777" w:rsidR="001318C0" w:rsidRPr="00845FBC" w:rsidRDefault="001318C0" w:rsidP="00BA20B3">
            <w:pPr>
              <w:pStyle w:val="NormalTableText"/>
              <w:keepNext/>
              <w:keepLines/>
              <w:spacing w:before="60"/>
              <w:rPr>
                <w:rFonts w:cs="Arial"/>
                <w:szCs w:val="18"/>
              </w:rPr>
            </w:pPr>
            <w:r w:rsidRPr="00845FBC">
              <w:rPr>
                <w:rFonts w:cs="Arial"/>
                <w:szCs w:val="18"/>
              </w:rPr>
              <w:t xml:space="preserve">Submicroscopic </w:t>
            </w:r>
            <w:proofErr w:type="gramStart"/>
            <w:r w:rsidRPr="00845FBC">
              <w:rPr>
                <w:rFonts w:cs="Arial"/>
                <w:szCs w:val="18"/>
              </w:rPr>
              <w:t>inv(</w:t>
            </w:r>
            <w:proofErr w:type="gramEnd"/>
            <w:r w:rsidRPr="00845FBC">
              <w:rPr>
                <w:rFonts w:cs="Arial"/>
                <w:szCs w:val="18"/>
              </w:rPr>
              <w:t>22)in t(1;22)(p36.1;q12)</w:t>
            </w:r>
          </w:p>
        </w:tc>
        <w:tc>
          <w:tcPr>
            <w:tcW w:w="2340" w:type="dxa"/>
            <w:vAlign w:val="bottom"/>
          </w:tcPr>
          <w:p w14:paraId="43E2FB2E" w14:textId="77777777" w:rsidR="001318C0" w:rsidRPr="00845FBC" w:rsidRDefault="001318C0" w:rsidP="00BA20B3">
            <w:pPr>
              <w:pStyle w:val="NormalTableText"/>
              <w:keepNext/>
              <w:keepLines/>
              <w:spacing w:before="60"/>
              <w:rPr>
                <w:rFonts w:cs="Arial"/>
                <w:i/>
                <w:szCs w:val="18"/>
              </w:rPr>
            </w:pPr>
            <w:r w:rsidRPr="00845FBC">
              <w:rPr>
                <w:rFonts w:cs="Arial"/>
                <w:i/>
                <w:szCs w:val="18"/>
              </w:rPr>
              <w:t>EWSR1-PATZ</w:t>
            </w:r>
          </w:p>
        </w:tc>
      </w:tr>
      <w:tr w:rsidR="001318C0" w:rsidRPr="00845FBC" w14:paraId="71FD8C5C" w14:textId="77777777" w:rsidTr="00BA20B3">
        <w:trPr>
          <w:trHeight w:val="225"/>
        </w:trPr>
        <w:tc>
          <w:tcPr>
            <w:tcW w:w="1180" w:type="dxa"/>
            <w:vAlign w:val="bottom"/>
          </w:tcPr>
          <w:p w14:paraId="07806F72" w14:textId="77777777" w:rsidR="001318C0" w:rsidRPr="00845FBC" w:rsidRDefault="001318C0" w:rsidP="00BA20B3">
            <w:pPr>
              <w:pStyle w:val="NormalTableText"/>
              <w:keepNext/>
              <w:keepLines/>
              <w:spacing w:before="60"/>
              <w:rPr>
                <w:rFonts w:eastAsia="Arial Unicode MS" w:cs="Arial"/>
                <w:szCs w:val="18"/>
              </w:rPr>
            </w:pPr>
          </w:p>
        </w:tc>
        <w:tc>
          <w:tcPr>
            <w:tcW w:w="1900" w:type="dxa"/>
            <w:vAlign w:val="bottom"/>
          </w:tcPr>
          <w:p w14:paraId="654029AD" w14:textId="77777777" w:rsidR="001318C0" w:rsidRPr="00845FBC" w:rsidRDefault="001318C0" w:rsidP="00BA20B3">
            <w:pPr>
              <w:pStyle w:val="NormalTableText"/>
              <w:keepNext/>
              <w:keepLines/>
              <w:spacing w:before="60"/>
              <w:rPr>
                <w:rFonts w:eastAsia="Arial Unicode MS" w:cs="Arial"/>
                <w:szCs w:val="18"/>
              </w:rPr>
            </w:pPr>
          </w:p>
        </w:tc>
        <w:tc>
          <w:tcPr>
            <w:tcW w:w="3235" w:type="dxa"/>
            <w:vAlign w:val="bottom"/>
          </w:tcPr>
          <w:p w14:paraId="698BB3B4" w14:textId="77777777" w:rsidR="001318C0" w:rsidRPr="00845FBC" w:rsidRDefault="001318C0" w:rsidP="00BA20B3">
            <w:pPr>
              <w:pStyle w:val="NormalTableText"/>
              <w:keepNext/>
              <w:keepLines/>
              <w:spacing w:before="60"/>
              <w:rPr>
                <w:rFonts w:cs="Arial"/>
                <w:szCs w:val="18"/>
              </w:rPr>
            </w:pPr>
            <w:r w:rsidRPr="00845FBC">
              <w:rPr>
                <w:rFonts w:cs="Arial"/>
                <w:szCs w:val="18"/>
              </w:rPr>
              <w:t>t(2;</w:t>
            </w:r>
            <w:proofErr w:type="gramStart"/>
            <w:r w:rsidRPr="00845FBC">
              <w:rPr>
                <w:rFonts w:cs="Arial"/>
                <w:szCs w:val="18"/>
              </w:rPr>
              <w:t>22)(</w:t>
            </w:r>
            <w:proofErr w:type="gramEnd"/>
            <w:r w:rsidRPr="00845FBC">
              <w:rPr>
                <w:rFonts w:cs="Arial"/>
                <w:szCs w:val="18"/>
              </w:rPr>
              <w:t>q31;q12)</w:t>
            </w:r>
          </w:p>
        </w:tc>
        <w:tc>
          <w:tcPr>
            <w:tcW w:w="2340" w:type="dxa"/>
            <w:vAlign w:val="bottom"/>
          </w:tcPr>
          <w:p w14:paraId="2F79E2C6" w14:textId="77777777" w:rsidR="001318C0" w:rsidRPr="00845FBC" w:rsidRDefault="001318C0" w:rsidP="00BA20B3">
            <w:pPr>
              <w:pStyle w:val="NormalTableText"/>
              <w:keepNext/>
              <w:keepLines/>
              <w:spacing w:before="60"/>
              <w:rPr>
                <w:rFonts w:cs="Arial"/>
                <w:i/>
                <w:szCs w:val="18"/>
              </w:rPr>
            </w:pPr>
            <w:r w:rsidRPr="00845FBC">
              <w:rPr>
                <w:rFonts w:cs="Arial"/>
                <w:i/>
                <w:szCs w:val="18"/>
              </w:rPr>
              <w:t>EWSR1-SP3</w:t>
            </w:r>
          </w:p>
        </w:tc>
      </w:tr>
      <w:tr w:rsidR="001318C0" w:rsidRPr="00845FBC" w14:paraId="073A29D2" w14:textId="77777777" w:rsidTr="00BA20B3">
        <w:trPr>
          <w:trHeight w:val="225"/>
        </w:trPr>
        <w:tc>
          <w:tcPr>
            <w:tcW w:w="1180" w:type="dxa"/>
            <w:vAlign w:val="bottom"/>
          </w:tcPr>
          <w:p w14:paraId="26FE9BBC" w14:textId="77777777" w:rsidR="001318C0" w:rsidRPr="00845FBC" w:rsidRDefault="001318C0" w:rsidP="00BA20B3">
            <w:pPr>
              <w:pStyle w:val="NormalTableText"/>
              <w:keepNext/>
              <w:keepLines/>
              <w:spacing w:before="60"/>
              <w:rPr>
                <w:rFonts w:eastAsia="Arial Unicode MS" w:cs="Arial"/>
                <w:szCs w:val="18"/>
              </w:rPr>
            </w:pPr>
          </w:p>
        </w:tc>
        <w:tc>
          <w:tcPr>
            <w:tcW w:w="1900" w:type="dxa"/>
            <w:vAlign w:val="bottom"/>
          </w:tcPr>
          <w:p w14:paraId="10A94DF2" w14:textId="77777777" w:rsidR="001318C0" w:rsidRPr="00845FBC" w:rsidRDefault="001318C0" w:rsidP="00BA20B3">
            <w:pPr>
              <w:pStyle w:val="NormalTableText"/>
              <w:keepNext/>
              <w:keepLines/>
              <w:spacing w:before="60"/>
              <w:rPr>
                <w:rFonts w:eastAsia="Arial Unicode MS" w:cs="Arial"/>
                <w:szCs w:val="18"/>
              </w:rPr>
            </w:pPr>
          </w:p>
        </w:tc>
        <w:tc>
          <w:tcPr>
            <w:tcW w:w="3235" w:type="dxa"/>
            <w:vAlign w:val="bottom"/>
          </w:tcPr>
          <w:p w14:paraId="4A1FFDCD" w14:textId="77777777" w:rsidR="001318C0" w:rsidRPr="00845FBC" w:rsidRDefault="001318C0" w:rsidP="00BA20B3">
            <w:pPr>
              <w:pStyle w:val="NormalTableText"/>
              <w:keepNext/>
              <w:keepLines/>
              <w:spacing w:before="60"/>
              <w:rPr>
                <w:rFonts w:cs="Arial"/>
                <w:szCs w:val="18"/>
              </w:rPr>
            </w:pPr>
            <w:r w:rsidRPr="00845FBC">
              <w:rPr>
                <w:rFonts w:cs="Arial"/>
                <w:szCs w:val="18"/>
              </w:rPr>
              <w:t>t(4;</w:t>
            </w:r>
            <w:proofErr w:type="gramStart"/>
            <w:r w:rsidRPr="00845FBC">
              <w:rPr>
                <w:rFonts w:cs="Arial"/>
                <w:szCs w:val="18"/>
              </w:rPr>
              <w:t>19)(</w:t>
            </w:r>
            <w:proofErr w:type="gramEnd"/>
            <w:r w:rsidRPr="00845FBC">
              <w:rPr>
                <w:rFonts w:cs="Arial"/>
                <w:szCs w:val="18"/>
              </w:rPr>
              <w:t>q35;q13)</w:t>
            </w:r>
          </w:p>
        </w:tc>
        <w:tc>
          <w:tcPr>
            <w:tcW w:w="2340" w:type="dxa"/>
            <w:vAlign w:val="bottom"/>
          </w:tcPr>
          <w:p w14:paraId="485886DA" w14:textId="77777777" w:rsidR="001318C0" w:rsidRPr="00845FBC" w:rsidRDefault="001318C0" w:rsidP="00BA20B3">
            <w:pPr>
              <w:pStyle w:val="NormalTableText"/>
              <w:keepNext/>
              <w:keepLines/>
              <w:spacing w:before="60"/>
              <w:rPr>
                <w:rFonts w:cs="Arial"/>
                <w:i/>
                <w:szCs w:val="18"/>
              </w:rPr>
            </w:pPr>
            <w:r w:rsidRPr="00845FBC">
              <w:rPr>
                <w:rFonts w:cs="Arial"/>
                <w:i/>
                <w:szCs w:val="18"/>
              </w:rPr>
              <w:t>CIC-DUX4</w:t>
            </w:r>
          </w:p>
        </w:tc>
      </w:tr>
      <w:tr w:rsidR="001318C0" w:rsidRPr="00845FBC" w14:paraId="7FB91DA8" w14:textId="77777777" w:rsidTr="00BA20B3">
        <w:trPr>
          <w:cantSplit/>
          <w:trHeight w:val="225"/>
        </w:trPr>
        <w:tc>
          <w:tcPr>
            <w:tcW w:w="3080" w:type="dxa"/>
            <w:gridSpan w:val="2"/>
            <w:vAlign w:val="bottom"/>
          </w:tcPr>
          <w:p w14:paraId="5D6321D9" w14:textId="77777777" w:rsidR="001318C0" w:rsidRPr="00845FBC" w:rsidRDefault="001318C0" w:rsidP="00BA20B3">
            <w:pPr>
              <w:pStyle w:val="NormalTableText"/>
              <w:keepNext/>
              <w:keepLines/>
              <w:spacing w:before="60"/>
              <w:rPr>
                <w:rFonts w:cs="Arial"/>
                <w:szCs w:val="18"/>
              </w:rPr>
            </w:pPr>
            <w:r w:rsidRPr="00845FBC">
              <w:rPr>
                <w:rFonts w:cs="Arial"/>
                <w:szCs w:val="18"/>
              </w:rPr>
              <w:t>Osteosarcoma</w:t>
            </w:r>
          </w:p>
        </w:tc>
        <w:tc>
          <w:tcPr>
            <w:tcW w:w="3235" w:type="dxa"/>
            <w:vAlign w:val="bottom"/>
          </w:tcPr>
          <w:p w14:paraId="3F166364" w14:textId="77777777" w:rsidR="001318C0" w:rsidRPr="00845FBC" w:rsidRDefault="001318C0" w:rsidP="00BA20B3">
            <w:pPr>
              <w:pStyle w:val="NormalTableText"/>
              <w:keepNext/>
              <w:keepLines/>
              <w:spacing w:before="60"/>
              <w:rPr>
                <w:rFonts w:cs="Arial"/>
                <w:szCs w:val="18"/>
              </w:rPr>
            </w:pPr>
          </w:p>
        </w:tc>
        <w:tc>
          <w:tcPr>
            <w:tcW w:w="2340" w:type="dxa"/>
            <w:vAlign w:val="center"/>
          </w:tcPr>
          <w:p w14:paraId="58EFB9D6" w14:textId="77777777" w:rsidR="001318C0" w:rsidRPr="00845FBC" w:rsidRDefault="001318C0" w:rsidP="00BA20B3">
            <w:pPr>
              <w:pStyle w:val="NormalTableText"/>
              <w:keepNext/>
              <w:keepLines/>
              <w:spacing w:before="60"/>
              <w:rPr>
                <w:rFonts w:cs="Arial"/>
                <w:szCs w:val="18"/>
              </w:rPr>
            </w:pPr>
          </w:p>
        </w:tc>
      </w:tr>
      <w:tr w:rsidR="001318C0" w:rsidRPr="00845FBC" w14:paraId="73F113AF" w14:textId="77777777" w:rsidTr="00BA20B3">
        <w:trPr>
          <w:trHeight w:val="225"/>
        </w:trPr>
        <w:tc>
          <w:tcPr>
            <w:tcW w:w="1180" w:type="dxa"/>
            <w:vAlign w:val="bottom"/>
          </w:tcPr>
          <w:p w14:paraId="7BB3AAD7" w14:textId="77777777" w:rsidR="001318C0" w:rsidRPr="00845FBC" w:rsidRDefault="001318C0" w:rsidP="00BA20B3">
            <w:pPr>
              <w:pStyle w:val="NormalTableText"/>
              <w:keepNext/>
              <w:keepLines/>
              <w:spacing w:before="60"/>
              <w:rPr>
                <w:rFonts w:eastAsia="Arial Unicode MS" w:cs="Arial"/>
                <w:szCs w:val="18"/>
              </w:rPr>
            </w:pPr>
          </w:p>
        </w:tc>
        <w:tc>
          <w:tcPr>
            <w:tcW w:w="1900" w:type="dxa"/>
            <w:vAlign w:val="center"/>
          </w:tcPr>
          <w:p w14:paraId="36AE0134" w14:textId="77777777" w:rsidR="001318C0" w:rsidRPr="00845FBC" w:rsidRDefault="001318C0" w:rsidP="00BA20B3">
            <w:pPr>
              <w:pStyle w:val="NormalTableText"/>
              <w:keepNext/>
              <w:keepLines/>
              <w:spacing w:before="60"/>
              <w:rPr>
                <w:rFonts w:eastAsia="Arial Unicode MS" w:cs="Arial"/>
                <w:szCs w:val="18"/>
              </w:rPr>
            </w:pPr>
            <w:r w:rsidRPr="00845FBC">
              <w:rPr>
                <w:rFonts w:cs="Arial"/>
                <w:szCs w:val="18"/>
              </w:rPr>
              <w:t>Low grade central</w:t>
            </w:r>
          </w:p>
        </w:tc>
        <w:tc>
          <w:tcPr>
            <w:tcW w:w="3235" w:type="dxa"/>
            <w:vAlign w:val="bottom"/>
          </w:tcPr>
          <w:p w14:paraId="4C70EE8C" w14:textId="77777777" w:rsidR="001318C0" w:rsidRPr="00845FBC" w:rsidRDefault="001318C0" w:rsidP="00BA20B3">
            <w:pPr>
              <w:pStyle w:val="NormalTableText"/>
              <w:keepNext/>
              <w:keepLines/>
              <w:spacing w:before="60"/>
              <w:rPr>
                <w:rFonts w:eastAsia="Arial Unicode MS" w:cs="Arial"/>
                <w:szCs w:val="18"/>
              </w:rPr>
            </w:pPr>
            <w:r w:rsidRPr="00845FBC">
              <w:rPr>
                <w:rFonts w:cs="Arial"/>
                <w:szCs w:val="18"/>
              </w:rPr>
              <w:t>Simple</w:t>
            </w:r>
          </w:p>
        </w:tc>
        <w:tc>
          <w:tcPr>
            <w:tcW w:w="2340" w:type="dxa"/>
            <w:vAlign w:val="center"/>
          </w:tcPr>
          <w:p w14:paraId="237C55B7" w14:textId="77777777" w:rsidR="001318C0" w:rsidRPr="00845FBC" w:rsidRDefault="001318C0" w:rsidP="00BA20B3">
            <w:pPr>
              <w:pStyle w:val="NormalTableText"/>
              <w:keepNext/>
              <w:keepLines/>
              <w:spacing w:before="60"/>
              <w:rPr>
                <w:rFonts w:eastAsia="Arial Unicode MS" w:cs="Arial"/>
                <w:szCs w:val="18"/>
              </w:rPr>
            </w:pPr>
            <w:r w:rsidRPr="00845FBC">
              <w:rPr>
                <w:rFonts w:eastAsia="Arial Unicode MS" w:cs="Arial"/>
                <w:i/>
                <w:szCs w:val="18"/>
              </w:rPr>
              <w:t xml:space="preserve">MDM2 </w:t>
            </w:r>
            <w:r w:rsidRPr="00845FBC">
              <w:rPr>
                <w:rFonts w:eastAsia="Arial Unicode MS" w:cs="Arial"/>
                <w:szCs w:val="18"/>
              </w:rPr>
              <w:t>amplification</w:t>
            </w:r>
          </w:p>
        </w:tc>
      </w:tr>
      <w:tr w:rsidR="001318C0" w:rsidRPr="00845FBC" w14:paraId="43067299" w14:textId="77777777" w:rsidTr="00BA20B3">
        <w:trPr>
          <w:trHeight w:val="225"/>
        </w:trPr>
        <w:tc>
          <w:tcPr>
            <w:tcW w:w="1180" w:type="dxa"/>
            <w:vAlign w:val="bottom"/>
          </w:tcPr>
          <w:p w14:paraId="028D2859" w14:textId="77777777" w:rsidR="001318C0" w:rsidRPr="00845FBC" w:rsidRDefault="001318C0" w:rsidP="00BA20B3">
            <w:pPr>
              <w:pStyle w:val="NormalTableText"/>
              <w:keepNext/>
              <w:keepLines/>
              <w:spacing w:before="60"/>
              <w:rPr>
                <w:rFonts w:eastAsia="Arial Unicode MS" w:cs="Arial"/>
                <w:szCs w:val="18"/>
              </w:rPr>
            </w:pPr>
          </w:p>
        </w:tc>
        <w:tc>
          <w:tcPr>
            <w:tcW w:w="1900" w:type="dxa"/>
            <w:vAlign w:val="center"/>
          </w:tcPr>
          <w:p w14:paraId="7C5196E6" w14:textId="77777777" w:rsidR="001318C0" w:rsidRPr="00845FBC" w:rsidRDefault="001318C0" w:rsidP="00BA20B3">
            <w:pPr>
              <w:pStyle w:val="NormalTableText"/>
              <w:keepNext/>
              <w:keepLines/>
              <w:spacing w:before="60" w:after="60"/>
              <w:rPr>
                <w:rFonts w:cs="Arial"/>
                <w:szCs w:val="18"/>
              </w:rPr>
            </w:pPr>
            <w:proofErr w:type="spellStart"/>
            <w:r w:rsidRPr="00845FBC">
              <w:rPr>
                <w:rFonts w:cs="Arial"/>
                <w:szCs w:val="18"/>
              </w:rPr>
              <w:t>Parosteal</w:t>
            </w:r>
            <w:proofErr w:type="spellEnd"/>
            <w:r w:rsidRPr="00845FBC">
              <w:rPr>
                <w:rFonts w:cs="Arial"/>
                <w:szCs w:val="18"/>
              </w:rPr>
              <w:t xml:space="preserve"> </w:t>
            </w:r>
          </w:p>
        </w:tc>
        <w:tc>
          <w:tcPr>
            <w:tcW w:w="3235" w:type="dxa"/>
            <w:vAlign w:val="bottom"/>
          </w:tcPr>
          <w:p w14:paraId="6116FB14" w14:textId="77777777" w:rsidR="001318C0" w:rsidRPr="00845FBC" w:rsidRDefault="001318C0" w:rsidP="00BA20B3">
            <w:pPr>
              <w:pStyle w:val="NormalTableText"/>
              <w:keepNext/>
              <w:keepLines/>
              <w:spacing w:before="60"/>
              <w:rPr>
                <w:rFonts w:cs="Arial"/>
                <w:szCs w:val="18"/>
              </w:rPr>
            </w:pPr>
            <w:r w:rsidRPr="00845FBC">
              <w:rPr>
                <w:rFonts w:cs="Arial"/>
                <w:szCs w:val="18"/>
              </w:rPr>
              <w:t>Ring chromosomes</w:t>
            </w:r>
          </w:p>
        </w:tc>
        <w:tc>
          <w:tcPr>
            <w:tcW w:w="2340" w:type="dxa"/>
            <w:vAlign w:val="center"/>
          </w:tcPr>
          <w:p w14:paraId="49AB130B" w14:textId="77777777" w:rsidR="001318C0" w:rsidRPr="00845FBC" w:rsidRDefault="001318C0" w:rsidP="00BA20B3">
            <w:pPr>
              <w:pStyle w:val="NormalTableText"/>
              <w:keepNext/>
              <w:keepLines/>
              <w:spacing w:before="60"/>
              <w:rPr>
                <w:rFonts w:eastAsia="Arial Unicode MS" w:cs="Arial"/>
                <w:szCs w:val="18"/>
              </w:rPr>
            </w:pPr>
            <w:r w:rsidRPr="00845FBC">
              <w:rPr>
                <w:rFonts w:eastAsia="Arial Unicode MS" w:cs="Arial"/>
                <w:szCs w:val="18"/>
              </w:rPr>
              <w:t>12q13-15</w:t>
            </w:r>
            <w:r w:rsidRPr="00845FBC">
              <w:rPr>
                <w:rFonts w:eastAsia="Arial Unicode MS" w:cs="Arial"/>
                <w:i/>
                <w:szCs w:val="18"/>
              </w:rPr>
              <w:t xml:space="preserve"> </w:t>
            </w:r>
            <w:r w:rsidRPr="00845FBC">
              <w:rPr>
                <w:rFonts w:eastAsia="Arial Unicode MS" w:cs="Arial"/>
                <w:szCs w:val="18"/>
              </w:rPr>
              <w:t>amplification</w:t>
            </w:r>
          </w:p>
        </w:tc>
      </w:tr>
      <w:tr w:rsidR="001318C0" w:rsidRPr="00845FBC" w14:paraId="3FF9596F" w14:textId="77777777" w:rsidTr="00BA20B3">
        <w:trPr>
          <w:trHeight w:val="225"/>
        </w:trPr>
        <w:tc>
          <w:tcPr>
            <w:tcW w:w="1180" w:type="dxa"/>
            <w:vAlign w:val="bottom"/>
          </w:tcPr>
          <w:p w14:paraId="69673D1C" w14:textId="77777777" w:rsidR="001318C0" w:rsidRPr="00845FBC" w:rsidRDefault="001318C0" w:rsidP="00BA20B3">
            <w:pPr>
              <w:pStyle w:val="NormalTableText"/>
              <w:keepNext/>
              <w:keepLines/>
              <w:spacing w:before="60"/>
              <w:rPr>
                <w:rFonts w:eastAsia="Arial Unicode MS" w:cs="Arial"/>
                <w:szCs w:val="18"/>
              </w:rPr>
            </w:pPr>
          </w:p>
        </w:tc>
        <w:tc>
          <w:tcPr>
            <w:tcW w:w="1900" w:type="dxa"/>
            <w:vAlign w:val="center"/>
          </w:tcPr>
          <w:p w14:paraId="38A039BB" w14:textId="77777777" w:rsidR="001318C0" w:rsidRPr="00845FBC" w:rsidRDefault="001318C0" w:rsidP="00BA20B3">
            <w:pPr>
              <w:pStyle w:val="NormalTableText"/>
              <w:keepNext/>
              <w:keepLines/>
              <w:spacing w:before="60" w:after="60"/>
              <w:rPr>
                <w:rFonts w:eastAsia="Arial Unicode MS" w:cs="Arial"/>
                <w:szCs w:val="18"/>
              </w:rPr>
            </w:pPr>
            <w:r w:rsidRPr="00845FBC">
              <w:rPr>
                <w:rFonts w:cs="Arial"/>
                <w:szCs w:val="18"/>
              </w:rPr>
              <w:t>High grade</w:t>
            </w:r>
          </w:p>
        </w:tc>
        <w:tc>
          <w:tcPr>
            <w:tcW w:w="3235" w:type="dxa"/>
            <w:vAlign w:val="bottom"/>
          </w:tcPr>
          <w:p w14:paraId="75D39D9C" w14:textId="77777777" w:rsidR="001318C0" w:rsidRPr="00845FBC" w:rsidRDefault="001318C0" w:rsidP="00BA20B3">
            <w:pPr>
              <w:pStyle w:val="NormalTableText"/>
              <w:keepNext/>
              <w:keepLines/>
              <w:spacing w:before="60"/>
              <w:rPr>
                <w:rFonts w:eastAsia="Arial Unicode MS" w:cs="Arial"/>
                <w:szCs w:val="18"/>
              </w:rPr>
            </w:pPr>
            <w:r w:rsidRPr="00845FBC">
              <w:rPr>
                <w:rFonts w:cs="Arial"/>
                <w:szCs w:val="18"/>
              </w:rPr>
              <w:t>Complex</w:t>
            </w:r>
          </w:p>
        </w:tc>
        <w:tc>
          <w:tcPr>
            <w:tcW w:w="2340" w:type="dxa"/>
            <w:vAlign w:val="center"/>
          </w:tcPr>
          <w:p w14:paraId="52527257" w14:textId="77777777" w:rsidR="001318C0" w:rsidRPr="00845FBC" w:rsidRDefault="001318C0" w:rsidP="00BA20B3">
            <w:pPr>
              <w:pStyle w:val="NormalTableText"/>
              <w:keepNext/>
              <w:keepLines/>
              <w:spacing w:before="60"/>
              <w:rPr>
                <w:rFonts w:eastAsia="Arial Unicode MS" w:cs="Arial"/>
                <w:szCs w:val="18"/>
              </w:rPr>
            </w:pPr>
          </w:p>
        </w:tc>
      </w:tr>
    </w:tbl>
    <w:p w14:paraId="5BE8CB64" w14:textId="77777777" w:rsidR="001318C0" w:rsidRPr="00845FBC" w:rsidRDefault="001318C0" w:rsidP="001318C0">
      <w:pPr>
        <w:spacing w:before="60"/>
        <w:rPr>
          <w:rFonts w:cs="Arial"/>
          <w:sz w:val="18"/>
          <w:szCs w:val="18"/>
        </w:rPr>
      </w:pPr>
      <w:r w:rsidRPr="00845FBC">
        <w:rPr>
          <w:rFonts w:cs="Arial"/>
          <w:sz w:val="18"/>
          <w:szCs w:val="18"/>
          <w:vertAlign w:val="superscript"/>
        </w:rPr>
        <w:t>#</w:t>
      </w:r>
      <w:r w:rsidRPr="00845FBC">
        <w:rPr>
          <w:rFonts w:cs="Arial"/>
          <w:sz w:val="18"/>
          <w:szCs w:val="18"/>
        </w:rPr>
        <w:t xml:space="preserve"> Ewing-like sarcomas are similar both clinically and histologically to Ewing sarcoma, but it is not known at the present time whether they represent true Ewing sarcomas. They are treated the same as true Ewing sarcomas.</w:t>
      </w:r>
    </w:p>
    <w:p w14:paraId="0CCFB3E4" w14:textId="77777777" w:rsidR="001318C0" w:rsidRDefault="001318C0" w:rsidP="001318C0">
      <w:pPr>
        <w:rPr>
          <w:rFonts w:cs="Arial"/>
        </w:rPr>
      </w:pPr>
    </w:p>
    <w:p w14:paraId="1734EF46" w14:textId="77777777" w:rsidR="001318C0" w:rsidRPr="00010CA3" w:rsidRDefault="001318C0" w:rsidP="001318C0">
      <w:pPr>
        <w:pStyle w:val="Heading1"/>
        <w:rPr>
          <w:rFonts w:cs="Arial"/>
          <w:b w:val="0"/>
          <w:kern w:val="18"/>
        </w:rPr>
      </w:pPr>
      <w:r w:rsidRPr="00010CA3">
        <w:rPr>
          <w:rFonts w:cs="Arial"/>
          <w:b w:val="0"/>
          <w:kern w:val="18"/>
        </w:rPr>
        <w:t>References</w:t>
      </w:r>
    </w:p>
    <w:p w14:paraId="64CC01CE" w14:textId="77777777" w:rsidR="001318C0" w:rsidRDefault="001318C0" w:rsidP="001318C0">
      <w:pPr>
        <w:pStyle w:val="BodyText2"/>
        <w:numPr>
          <w:ilvl w:val="0"/>
          <w:numId w:val="4"/>
        </w:numPr>
        <w:tabs>
          <w:tab w:val="left" w:pos="450"/>
          <w:tab w:val="left" w:pos="1890"/>
        </w:tabs>
        <w:ind w:left="450" w:hanging="450"/>
        <w:rPr>
          <w:rFonts w:cs="Arial"/>
          <w:b w:val="0"/>
        </w:rPr>
      </w:pPr>
      <w:r w:rsidRPr="00845FBC">
        <w:rPr>
          <w:rFonts w:cs="Arial"/>
          <w:b w:val="0"/>
        </w:rPr>
        <w:t xml:space="preserve">Amin MB, Edge SB, Greene FL, et al, eds. </w:t>
      </w:r>
      <w:r w:rsidRPr="00845FBC">
        <w:rPr>
          <w:rFonts w:cs="Arial"/>
          <w:b w:val="0"/>
          <w:i/>
        </w:rPr>
        <w:t>AJCC Cancer Staging Manual</w:t>
      </w:r>
      <w:r w:rsidRPr="00845FBC">
        <w:rPr>
          <w:rFonts w:cs="Arial"/>
          <w:b w:val="0"/>
        </w:rPr>
        <w:t>. 8th ed. New York, NY: Springer; 2017.</w:t>
      </w:r>
    </w:p>
    <w:p w14:paraId="016E3094" w14:textId="77777777" w:rsidR="001318C0" w:rsidRPr="00845FBC" w:rsidRDefault="001318C0" w:rsidP="001318C0">
      <w:pPr>
        <w:pStyle w:val="BodyText2"/>
        <w:numPr>
          <w:ilvl w:val="0"/>
          <w:numId w:val="4"/>
        </w:numPr>
        <w:tabs>
          <w:tab w:val="left" w:pos="450"/>
          <w:tab w:val="left" w:pos="1890"/>
        </w:tabs>
        <w:ind w:left="450" w:hanging="450"/>
        <w:rPr>
          <w:rFonts w:cs="Arial"/>
          <w:b w:val="0"/>
        </w:rPr>
      </w:pPr>
      <w:r>
        <w:rPr>
          <w:rFonts w:cs="Arial"/>
          <w:b w:val="0"/>
        </w:rPr>
        <w:t xml:space="preserve">Pawel B, </w:t>
      </w:r>
      <w:proofErr w:type="spellStart"/>
      <w:r>
        <w:rPr>
          <w:rFonts w:cs="Arial"/>
          <w:b w:val="0"/>
        </w:rPr>
        <w:t>Bahrami</w:t>
      </w:r>
      <w:proofErr w:type="spellEnd"/>
      <w:r>
        <w:rPr>
          <w:rFonts w:cs="Arial"/>
          <w:b w:val="0"/>
        </w:rPr>
        <w:t xml:space="preserve"> A, Hicks MJ, Rudzinski E. Protocol for the Examination of Specimens </w:t>
      </w:r>
      <w:proofErr w:type="gramStart"/>
      <w:r>
        <w:rPr>
          <w:rFonts w:cs="Arial"/>
          <w:b w:val="0"/>
        </w:rPr>
        <w:t>From</w:t>
      </w:r>
      <w:proofErr w:type="gramEnd"/>
      <w:r>
        <w:rPr>
          <w:rFonts w:cs="Arial"/>
          <w:b w:val="0"/>
        </w:rPr>
        <w:t xml:space="preserve"> Pediatric Patients With Ewing Sarcoma (ES). 2016. Available at www.cap.org/cancerprotocols</w:t>
      </w:r>
      <w:r w:rsidRPr="00845FBC">
        <w:rPr>
          <w:rFonts w:cs="Arial"/>
          <w:b w:val="0"/>
        </w:rPr>
        <w:t>.</w:t>
      </w:r>
    </w:p>
    <w:p w14:paraId="7B4A5117" w14:textId="77777777" w:rsidR="001318C0" w:rsidRPr="00845FBC" w:rsidRDefault="001318C0" w:rsidP="001318C0">
      <w:pPr>
        <w:pStyle w:val="BodyText2"/>
        <w:numPr>
          <w:ilvl w:val="0"/>
          <w:numId w:val="4"/>
        </w:numPr>
        <w:tabs>
          <w:tab w:val="left" w:pos="450"/>
          <w:tab w:val="left" w:pos="1890"/>
        </w:tabs>
        <w:ind w:left="450" w:hanging="450"/>
        <w:rPr>
          <w:rFonts w:cs="Arial"/>
          <w:b w:val="0"/>
        </w:rPr>
      </w:pPr>
      <w:r w:rsidRPr="00845FBC">
        <w:rPr>
          <w:rFonts w:cs="Arial"/>
          <w:b w:val="0"/>
        </w:rPr>
        <w:t xml:space="preserve">Taylor BS, </w:t>
      </w:r>
      <w:proofErr w:type="spellStart"/>
      <w:r w:rsidRPr="00845FBC">
        <w:rPr>
          <w:rFonts w:cs="Arial"/>
          <w:b w:val="0"/>
        </w:rPr>
        <w:t>Barretina</w:t>
      </w:r>
      <w:proofErr w:type="spellEnd"/>
      <w:r w:rsidRPr="00845FBC">
        <w:rPr>
          <w:rFonts w:cs="Arial"/>
          <w:b w:val="0"/>
        </w:rPr>
        <w:t xml:space="preserve"> J, Maki RG, </w:t>
      </w:r>
      <w:proofErr w:type="spellStart"/>
      <w:r w:rsidRPr="00845FBC">
        <w:rPr>
          <w:rFonts w:cs="Arial"/>
          <w:b w:val="0"/>
        </w:rPr>
        <w:t>Antonescu</w:t>
      </w:r>
      <w:proofErr w:type="spellEnd"/>
      <w:r w:rsidRPr="00845FBC">
        <w:rPr>
          <w:rFonts w:cs="Arial"/>
          <w:b w:val="0"/>
        </w:rPr>
        <w:t xml:space="preserve"> CR, Singer S, </w:t>
      </w:r>
      <w:proofErr w:type="spellStart"/>
      <w:r w:rsidRPr="00845FBC">
        <w:rPr>
          <w:rFonts w:cs="Arial"/>
          <w:b w:val="0"/>
        </w:rPr>
        <w:t>Ladanyi</w:t>
      </w:r>
      <w:proofErr w:type="spellEnd"/>
      <w:r w:rsidRPr="00845FBC">
        <w:rPr>
          <w:rFonts w:cs="Arial"/>
          <w:b w:val="0"/>
        </w:rPr>
        <w:t xml:space="preserve"> M. Advances in sarcoma genomics and new therapeutic targets. </w:t>
      </w:r>
      <w:r w:rsidRPr="00DD7C11">
        <w:rPr>
          <w:rFonts w:cs="Arial"/>
          <w:b w:val="0"/>
          <w:i/>
        </w:rPr>
        <w:t>Nat Rev Cancer</w:t>
      </w:r>
      <w:r w:rsidRPr="00C03DB6">
        <w:rPr>
          <w:rFonts w:cs="Arial"/>
          <w:b w:val="0"/>
        </w:rPr>
        <w:t>.</w:t>
      </w:r>
      <w:r w:rsidRPr="00845FBC">
        <w:rPr>
          <w:rFonts w:cs="Arial"/>
          <w:b w:val="0"/>
        </w:rPr>
        <w:t xml:space="preserve"> 2011;11(8):541-547.</w:t>
      </w:r>
    </w:p>
    <w:p w14:paraId="6D15C974" w14:textId="77777777" w:rsidR="001318C0" w:rsidRPr="00845FBC" w:rsidRDefault="001318C0" w:rsidP="001318C0">
      <w:pPr>
        <w:pStyle w:val="BodyText2"/>
        <w:numPr>
          <w:ilvl w:val="0"/>
          <w:numId w:val="4"/>
        </w:numPr>
        <w:tabs>
          <w:tab w:val="left" w:pos="450"/>
          <w:tab w:val="left" w:pos="1890"/>
        </w:tabs>
        <w:ind w:left="450" w:hanging="450"/>
        <w:rPr>
          <w:rFonts w:cs="Arial"/>
          <w:b w:val="0"/>
        </w:rPr>
      </w:pPr>
      <w:r w:rsidRPr="00C03DB6">
        <w:rPr>
          <w:rFonts w:cs="Arial"/>
          <w:b w:val="0"/>
        </w:rPr>
        <w:t>Rubin BP</w:t>
      </w:r>
      <w:r w:rsidRPr="00845FBC">
        <w:rPr>
          <w:rFonts w:cs="Arial"/>
          <w:b w:val="0"/>
        </w:rPr>
        <w:t xml:space="preserve">, Lazar JF, Oliveira AM. Molecular pathology of bone and soft tissue tumors. In: Tubbs R, </w:t>
      </w:r>
      <w:proofErr w:type="spellStart"/>
      <w:r w:rsidRPr="00845FBC">
        <w:rPr>
          <w:rFonts w:cs="Arial"/>
          <w:b w:val="0"/>
        </w:rPr>
        <w:t>Stoler</w:t>
      </w:r>
      <w:proofErr w:type="spellEnd"/>
      <w:r w:rsidRPr="00845FBC">
        <w:rPr>
          <w:rFonts w:cs="Arial"/>
          <w:b w:val="0"/>
        </w:rPr>
        <w:t xml:space="preserve"> M. </w:t>
      </w:r>
      <w:r w:rsidRPr="00DD7C11">
        <w:rPr>
          <w:rFonts w:cs="Arial"/>
          <w:b w:val="0"/>
          <w:i/>
        </w:rPr>
        <w:t>Cell and Tissue Based Molecular Pathology</w:t>
      </w:r>
      <w:r w:rsidRPr="00C03DB6">
        <w:rPr>
          <w:rFonts w:cs="Arial"/>
          <w:b w:val="0"/>
        </w:rPr>
        <w:t>.</w:t>
      </w:r>
      <w:r w:rsidRPr="00845FBC">
        <w:rPr>
          <w:rFonts w:cs="Arial"/>
          <w:b w:val="0"/>
        </w:rPr>
        <w:t xml:space="preserve"> Philadelphia, PA: Churchill Livingstone; 2009.</w:t>
      </w:r>
    </w:p>
    <w:p w14:paraId="0E8D78B0" w14:textId="77777777" w:rsidR="00743467" w:rsidRDefault="00743467" w:rsidP="00B336E3">
      <w:pPr>
        <w:pStyle w:val="Heading2"/>
        <w:rPr>
          <w:rFonts w:cs="Arial"/>
        </w:rPr>
      </w:pPr>
    </w:p>
    <w:p w14:paraId="645BB693" w14:textId="5D040D7F" w:rsidR="00B336E3" w:rsidRPr="00845FBC" w:rsidRDefault="00743467" w:rsidP="00B336E3">
      <w:pPr>
        <w:pStyle w:val="Heading2"/>
        <w:rPr>
          <w:rFonts w:cs="Arial"/>
        </w:rPr>
      </w:pPr>
      <w:r>
        <w:rPr>
          <w:rFonts w:cs="Arial"/>
        </w:rPr>
        <w:t>B</w:t>
      </w:r>
      <w:r w:rsidR="00776309" w:rsidRPr="00845FBC">
        <w:rPr>
          <w:rFonts w:cs="Arial"/>
        </w:rPr>
        <w:t xml:space="preserve">.  </w:t>
      </w:r>
      <w:r w:rsidR="00110386">
        <w:rPr>
          <w:rFonts w:cs="Arial"/>
        </w:rPr>
        <w:t xml:space="preserve">Tumor Site </w:t>
      </w:r>
    </w:p>
    <w:p w14:paraId="15AB12E3" w14:textId="77777777" w:rsidR="00110386" w:rsidRDefault="00110386" w:rsidP="00110386">
      <w:pPr>
        <w:rPr>
          <w:rFonts w:cs="Arial"/>
        </w:rPr>
      </w:pPr>
      <w:r w:rsidRPr="00110386">
        <w:rPr>
          <w:rFonts w:cs="Arial"/>
        </w:rPr>
        <w:t xml:space="preserve">Given the strong association between the primary anatomic site and outcome, the </w:t>
      </w:r>
      <w:r w:rsidR="00DD7C11">
        <w:rPr>
          <w:rFonts w:cs="Arial"/>
        </w:rPr>
        <w:t>8th</w:t>
      </w:r>
      <w:r w:rsidRPr="00110386">
        <w:rPr>
          <w:rFonts w:cs="Arial"/>
        </w:rPr>
        <w:t xml:space="preserve"> edition of t</w:t>
      </w:r>
      <w:r w:rsidR="00815700">
        <w:rPr>
          <w:rFonts w:cs="Arial"/>
        </w:rPr>
        <w:t xml:space="preserve">he </w:t>
      </w:r>
      <w:r w:rsidR="00815700" w:rsidRPr="00DD7C11">
        <w:rPr>
          <w:rFonts w:cs="Arial"/>
          <w:i/>
        </w:rPr>
        <w:t>AJCC Cancer Staging Manual</w:t>
      </w:r>
      <w:r w:rsidR="00815700" w:rsidRPr="00DD7C11">
        <w:rPr>
          <w:rFonts w:cs="Arial"/>
          <w:i/>
          <w:vertAlign w:val="superscript"/>
        </w:rPr>
        <w:t>1</w:t>
      </w:r>
      <w:r w:rsidRPr="00110386">
        <w:rPr>
          <w:rFonts w:cs="Arial"/>
        </w:rPr>
        <w:t xml:space="preserve"> uses the following site groups for staging purposes:</w:t>
      </w:r>
    </w:p>
    <w:p w14:paraId="5F00404A" w14:textId="77777777" w:rsidR="00110386" w:rsidRPr="00110386" w:rsidRDefault="00110386" w:rsidP="00110386">
      <w:pPr>
        <w:rPr>
          <w:rFonts w:cs="Arial"/>
        </w:rPr>
      </w:pPr>
    </w:p>
    <w:p w14:paraId="27AF4F12" w14:textId="77777777" w:rsidR="00110386" w:rsidRPr="00110386" w:rsidRDefault="00110386" w:rsidP="00DD7C11">
      <w:pPr>
        <w:numPr>
          <w:ilvl w:val="0"/>
          <w:numId w:val="6"/>
        </w:numPr>
        <w:rPr>
          <w:rFonts w:cs="Arial"/>
        </w:rPr>
      </w:pPr>
      <w:r w:rsidRPr="00110386">
        <w:rPr>
          <w:rFonts w:cs="Arial"/>
        </w:rPr>
        <w:t>Appendicular skeleton, including trunk, skull, and facial bones</w:t>
      </w:r>
    </w:p>
    <w:p w14:paraId="0B792681" w14:textId="77777777" w:rsidR="00110386" w:rsidRPr="00110386" w:rsidRDefault="00110386" w:rsidP="00DD7C11">
      <w:pPr>
        <w:numPr>
          <w:ilvl w:val="0"/>
          <w:numId w:val="6"/>
        </w:numPr>
        <w:rPr>
          <w:rFonts w:cs="Arial"/>
        </w:rPr>
      </w:pPr>
      <w:r w:rsidRPr="00110386">
        <w:rPr>
          <w:rFonts w:cs="Arial"/>
        </w:rPr>
        <w:t>Pelvis</w:t>
      </w:r>
    </w:p>
    <w:p w14:paraId="41C6E8D9" w14:textId="77777777" w:rsidR="00110386" w:rsidRPr="00110386" w:rsidRDefault="00110386" w:rsidP="00DD7C11">
      <w:pPr>
        <w:numPr>
          <w:ilvl w:val="0"/>
          <w:numId w:val="6"/>
        </w:numPr>
        <w:rPr>
          <w:rFonts w:cs="Arial"/>
        </w:rPr>
      </w:pPr>
      <w:r w:rsidRPr="00110386">
        <w:rPr>
          <w:rFonts w:cs="Arial"/>
        </w:rPr>
        <w:t>Spine</w:t>
      </w:r>
    </w:p>
    <w:p w14:paraId="06DF9956" w14:textId="77777777" w:rsidR="00110386" w:rsidRPr="00110386" w:rsidRDefault="00110386" w:rsidP="00110386">
      <w:pPr>
        <w:rPr>
          <w:rFonts w:cs="Arial"/>
        </w:rPr>
      </w:pPr>
    </w:p>
    <w:p w14:paraId="4B0A3D2D" w14:textId="77777777" w:rsidR="00110386" w:rsidRDefault="00110386" w:rsidP="00110386">
      <w:pPr>
        <w:rPr>
          <w:rFonts w:cs="Arial"/>
        </w:rPr>
      </w:pPr>
      <w:r w:rsidRPr="00110386">
        <w:rPr>
          <w:rFonts w:cs="Arial"/>
        </w:rPr>
        <w:t>This site grouping is reflected by the provision of separate definitions for the primary tumor (T) for each anatomic site.</w:t>
      </w:r>
    </w:p>
    <w:p w14:paraId="62D9C562" w14:textId="77777777" w:rsidR="008B58C3" w:rsidRDefault="008B58C3" w:rsidP="00110386">
      <w:pPr>
        <w:rPr>
          <w:rFonts w:cs="Arial"/>
        </w:rPr>
      </w:pPr>
    </w:p>
    <w:p w14:paraId="577618DE" w14:textId="77777777" w:rsidR="008B58C3" w:rsidRPr="00010CA3" w:rsidRDefault="008B58C3" w:rsidP="008B58C3">
      <w:pPr>
        <w:pStyle w:val="Heading1"/>
        <w:rPr>
          <w:rFonts w:cs="Arial"/>
          <w:b w:val="0"/>
          <w:kern w:val="18"/>
        </w:rPr>
      </w:pPr>
      <w:r w:rsidRPr="00010CA3">
        <w:rPr>
          <w:rFonts w:cs="Arial"/>
          <w:b w:val="0"/>
          <w:kern w:val="18"/>
        </w:rPr>
        <w:t>References</w:t>
      </w:r>
    </w:p>
    <w:p w14:paraId="68A4D570" w14:textId="77777777" w:rsidR="008B58C3" w:rsidRDefault="008B58C3" w:rsidP="008B58C3">
      <w:pPr>
        <w:pStyle w:val="BodyText2"/>
        <w:numPr>
          <w:ilvl w:val="0"/>
          <w:numId w:val="13"/>
        </w:numPr>
        <w:tabs>
          <w:tab w:val="left" w:pos="450"/>
          <w:tab w:val="left" w:pos="1890"/>
        </w:tabs>
        <w:ind w:left="450" w:hanging="450"/>
        <w:rPr>
          <w:rFonts w:cs="Arial"/>
          <w:b w:val="0"/>
        </w:rPr>
      </w:pPr>
      <w:r w:rsidRPr="00845FBC">
        <w:rPr>
          <w:rFonts w:cs="Arial"/>
          <w:b w:val="0"/>
        </w:rPr>
        <w:t xml:space="preserve">Amin MB, Edge SB, Greene FL, et al, eds. </w:t>
      </w:r>
      <w:r w:rsidRPr="00327031">
        <w:rPr>
          <w:rFonts w:cs="Arial"/>
          <w:b w:val="0"/>
        </w:rPr>
        <w:t>AJCC Cancer Staging Manual</w:t>
      </w:r>
      <w:r w:rsidRPr="00845FBC">
        <w:rPr>
          <w:rFonts w:cs="Arial"/>
          <w:b w:val="0"/>
        </w:rPr>
        <w:t>. 8th ed. New York, NY: Springer; 2017.</w:t>
      </w:r>
    </w:p>
    <w:p w14:paraId="2204738D" w14:textId="77777777" w:rsidR="00820B30" w:rsidRDefault="00820B30" w:rsidP="00820B30">
      <w:pPr>
        <w:pStyle w:val="Heading2"/>
        <w:rPr>
          <w:rFonts w:cs="Arial"/>
        </w:rPr>
      </w:pPr>
    </w:p>
    <w:p w14:paraId="52EE39E9" w14:textId="084A0EAD" w:rsidR="00EF2323" w:rsidRPr="00B47D30" w:rsidRDefault="00EF2323" w:rsidP="009A4BFE">
      <w:pPr>
        <w:pStyle w:val="Heading2"/>
        <w:rPr>
          <w:rFonts w:cs="Arial"/>
        </w:rPr>
      </w:pPr>
      <w:r>
        <w:br w:type="page"/>
      </w:r>
      <w:r w:rsidRPr="009A4BFE">
        <w:rPr>
          <w:rFonts w:cs="Arial"/>
        </w:rPr>
        <w:lastRenderedPageBreak/>
        <w:t xml:space="preserve">C.  Tumor Location and Extent </w:t>
      </w:r>
    </w:p>
    <w:p w14:paraId="18307331" w14:textId="77777777" w:rsidR="00EF2323" w:rsidRPr="009A4BFE" w:rsidRDefault="00EF2323" w:rsidP="009A4BFE"/>
    <w:p w14:paraId="282D88AA" w14:textId="77777777" w:rsidR="00B336E3" w:rsidRPr="00E8564A" w:rsidRDefault="00B336E3" w:rsidP="009A4BFE">
      <w:pPr>
        <w:pStyle w:val="Heading2"/>
        <w:rPr>
          <w:rFonts w:cs="Arial"/>
          <w:bCs/>
        </w:rPr>
      </w:pPr>
      <w:r w:rsidRPr="009A4BFE">
        <w:rPr>
          <w:rFonts w:cs="Arial"/>
          <w:b w:val="0"/>
          <w:bCs/>
        </w:rPr>
        <w:t>Radiographic imaging plays an especially critical role in the diagnosis of bone tumors</w:t>
      </w:r>
      <w:r w:rsidR="003F5BDF" w:rsidRPr="009A4BFE">
        <w:rPr>
          <w:rFonts w:cs="Arial"/>
          <w:b w:val="0"/>
          <w:bCs/>
        </w:rPr>
        <w:t>.</w:t>
      </w:r>
      <w:r w:rsidRPr="009A4BFE">
        <w:rPr>
          <w:rFonts w:cs="Arial"/>
          <w:b w:val="0"/>
          <w:bCs/>
        </w:rPr>
        <w:t xml:space="preserve"> Close collaboration with an experienced musculoskeletal radiologist and orthopedic surgeon is recommended. </w:t>
      </w:r>
    </w:p>
    <w:p w14:paraId="75E09861" w14:textId="77777777" w:rsidR="00B336E3" w:rsidRPr="00845FBC" w:rsidRDefault="00B336E3" w:rsidP="00B336E3">
      <w:pPr>
        <w:rPr>
          <w:rFonts w:cs="Arial"/>
        </w:rPr>
      </w:pPr>
    </w:p>
    <w:p w14:paraId="4442AB09" w14:textId="77777777" w:rsidR="00B336E3" w:rsidRPr="00845FBC" w:rsidRDefault="00DD7C11" w:rsidP="00B336E3">
      <w:pPr>
        <w:rPr>
          <w:rFonts w:cs="Arial"/>
        </w:rPr>
      </w:pPr>
      <w:r>
        <w:rPr>
          <w:rFonts w:cs="Arial"/>
        </w:rPr>
        <w:t>F</w:t>
      </w:r>
      <w:r w:rsidR="00B336E3" w:rsidRPr="00845FBC">
        <w:rPr>
          <w:rFonts w:cs="Arial"/>
        </w:rPr>
        <w:t>igure</w:t>
      </w:r>
      <w:r>
        <w:rPr>
          <w:rFonts w:cs="Arial"/>
        </w:rPr>
        <w:t xml:space="preserve"> 1 </w:t>
      </w:r>
      <w:r w:rsidR="00B336E3" w:rsidRPr="00845FBC">
        <w:rPr>
          <w:rFonts w:cs="Arial"/>
        </w:rPr>
        <w:t xml:space="preserve">is a diagrammatic representation of the “anatomic” regions of a long bone. These locations are very important in classifying bone tumors. For instance, </w:t>
      </w:r>
      <w:proofErr w:type="spellStart"/>
      <w:r w:rsidR="00B336E3" w:rsidRPr="00845FBC">
        <w:rPr>
          <w:rFonts w:cs="Arial"/>
        </w:rPr>
        <w:t>chondroblastomas</w:t>
      </w:r>
      <w:proofErr w:type="spellEnd"/>
      <w:r w:rsidR="00B336E3" w:rsidRPr="00845FBC">
        <w:rPr>
          <w:rFonts w:cs="Arial"/>
        </w:rPr>
        <w:t xml:space="preserve"> almost always arise in the epiphysis. Epiphyses and apophyses are secondary ossification centers and therefore are embryonic equivalents. The greater and lesser trochanters are apophyses, while the epiphyses are at the ends of long bones.</w:t>
      </w:r>
    </w:p>
    <w:p w14:paraId="4CA86464" w14:textId="77777777" w:rsidR="00B336E3" w:rsidRPr="00845FBC" w:rsidRDefault="00B336E3" w:rsidP="00B336E3">
      <w:pPr>
        <w:rPr>
          <w:rFonts w:cs="Arial"/>
        </w:rPr>
      </w:pPr>
    </w:p>
    <w:p w14:paraId="73202E49" w14:textId="77777777" w:rsidR="00B336E3" w:rsidRPr="00845FBC" w:rsidRDefault="00E8564A" w:rsidP="00845FBC">
      <w:pPr>
        <w:ind w:left="540"/>
        <w:rPr>
          <w:rFonts w:cs="Arial"/>
        </w:rPr>
      </w:pPr>
      <w:r>
        <w:rPr>
          <w:rFonts w:cs="Arial"/>
          <w:noProof/>
        </w:rPr>
        <w:drawing>
          <wp:inline distT="0" distB="0" distL="0" distR="0" wp14:anchorId="6D42457A" wp14:editId="22704452">
            <wp:extent cx="2854325" cy="2854325"/>
            <wp:effectExtent l="0" t="0" r="0" b="0"/>
            <wp:docPr id="6" name="Picture 2" descr="BoneDiagram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oneDiagram09"/>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4325" cy="2854325"/>
                    </a:xfrm>
                    <a:prstGeom prst="rect">
                      <a:avLst/>
                    </a:prstGeom>
                    <a:noFill/>
                    <a:ln>
                      <a:noFill/>
                    </a:ln>
                  </pic:spPr>
                </pic:pic>
              </a:graphicData>
            </a:graphic>
          </wp:inline>
        </w:drawing>
      </w:r>
    </w:p>
    <w:p w14:paraId="349C9E2E" w14:textId="2E5130BA" w:rsidR="00B336E3" w:rsidRPr="00845FBC" w:rsidRDefault="00E51FE6" w:rsidP="00845FBC">
      <w:pPr>
        <w:spacing w:after="120"/>
        <w:ind w:right="720"/>
        <w:rPr>
          <w:rFonts w:cs="Arial"/>
          <w:sz w:val="18"/>
          <w:szCs w:val="18"/>
        </w:rPr>
      </w:pPr>
      <w:r w:rsidRPr="00845FBC">
        <w:rPr>
          <w:rFonts w:cs="Arial"/>
          <w:b/>
          <w:sz w:val="18"/>
          <w:szCs w:val="18"/>
        </w:rPr>
        <w:t>Figure 1</w:t>
      </w:r>
      <w:r w:rsidR="00845FBC" w:rsidRPr="00845FBC">
        <w:rPr>
          <w:rFonts w:cs="Arial"/>
          <w:b/>
          <w:sz w:val="18"/>
          <w:szCs w:val="18"/>
        </w:rPr>
        <w:t>.</w:t>
      </w:r>
      <w:r w:rsidRPr="00845FBC">
        <w:rPr>
          <w:rFonts w:cs="Arial"/>
          <w:sz w:val="18"/>
          <w:szCs w:val="18"/>
        </w:rPr>
        <w:t xml:space="preserve"> </w:t>
      </w:r>
      <w:r w:rsidR="00B336E3" w:rsidRPr="00845FBC">
        <w:rPr>
          <w:rFonts w:cs="Arial"/>
          <w:sz w:val="18"/>
          <w:szCs w:val="18"/>
        </w:rPr>
        <w:t xml:space="preserve">Important anatomic landmarks for tumor diagnosis in long bones. Adapted from </w:t>
      </w:r>
      <w:r w:rsidR="00B336E3" w:rsidRPr="00845FBC">
        <w:rPr>
          <w:rFonts w:cs="Arial"/>
          <w:i/>
          <w:sz w:val="18"/>
          <w:szCs w:val="18"/>
        </w:rPr>
        <w:t>Gray’s Anatomy.</w:t>
      </w:r>
      <w:r w:rsidR="00B336E3" w:rsidRPr="00845FBC">
        <w:rPr>
          <w:rFonts w:cs="Arial"/>
          <w:sz w:val="18"/>
          <w:szCs w:val="18"/>
          <w:vertAlign w:val="superscript"/>
        </w:rPr>
        <w:t>1</w:t>
      </w:r>
    </w:p>
    <w:p w14:paraId="776D27B2" w14:textId="77777777" w:rsidR="00B336E3" w:rsidRDefault="00B336E3" w:rsidP="00B336E3">
      <w:pPr>
        <w:rPr>
          <w:rFonts w:cs="Arial"/>
        </w:rPr>
      </w:pPr>
    </w:p>
    <w:p w14:paraId="3198C177" w14:textId="77777777" w:rsidR="00623068" w:rsidRPr="00010CA3" w:rsidRDefault="00623068" w:rsidP="00623068">
      <w:pPr>
        <w:pStyle w:val="Heading1"/>
        <w:rPr>
          <w:rFonts w:cs="Arial"/>
          <w:b w:val="0"/>
          <w:kern w:val="18"/>
        </w:rPr>
      </w:pPr>
      <w:r w:rsidRPr="00010CA3">
        <w:rPr>
          <w:rFonts w:cs="Arial"/>
          <w:b w:val="0"/>
          <w:kern w:val="18"/>
        </w:rPr>
        <w:t>References</w:t>
      </w:r>
    </w:p>
    <w:p w14:paraId="4C42B7FD" w14:textId="77777777" w:rsidR="00623068" w:rsidRDefault="00FF1B19" w:rsidP="009A4BFE">
      <w:pPr>
        <w:ind w:left="450" w:hanging="450"/>
        <w:rPr>
          <w:rFonts w:cs="Arial"/>
        </w:rPr>
      </w:pPr>
      <w:r w:rsidRPr="00FF1B19">
        <w:rPr>
          <w:rFonts w:cs="Arial"/>
        </w:rPr>
        <w:t>1.</w:t>
      </w:r>
      <w:r w:rsidRPr="00FF1B19">
        <w:rPr>
          <w:rFonts w:cs="Arial"/>
        </w:rPr>
        <w:tab/>
      </w:r>
      <w:r w:rsidRPr="009A4BFE">
        <w:rPr>
          <w:rFonts w:cs="Arial"/>
          <w:i/>
          <w:iCs/>
        </w:rPr>
        <w:t>Gray’s Anatomy of the Human Body</w:t>
      </w:r>
      <w:r w:rsidRPr="00FF1B19">
        <w:rPr>
          <w:rFonts w:cs="Arial"/>
        </w:rPr>
        <w:t xml:space="preserve">. Philadelphia, PA: Lea &amp; </w:t>
      </w:r>
      <w:proofErr w:type="spellStart"/>
      <w:r w:rsidRPr="00FF1B19">
        <w:rPr>
          <w:rFonts w:cs="Arial"/>
        </w:rPr>
        <w:t>Febiger</w:t>
      </w:r>
      <w:proofErr w:type="spellEnd"/>
      <w:r w:rsidRPr="00FF1B19">
        <w:rPr>
          <w:rFonts w:cs="Arial"/>
        </w:rPr>
        <w:t>; 1918.</w:t>
      </w:r>
    </w:p>
    <w:p w14:paraId="369942DF" w14:textId="77777777" w:rsidR="00623068" w:rsidRDefault="00623068" w:rsidP="00B336E3">
      <w:pPr>
        <w:rPr>
          <w:rFonts w:cs="Arial"/>
        </w:rPr>
      </w:pPr>
    </w:p>
    <w:p w14:paraId="19DB519D" w14:textId="7BC70D88" w:rsidR="00B336E3" w:rsidRPr="00845FBC" w:rsidRDefault="00EF2323" w:rsidP="00776309">
      <w:pPr>
        <w:pStyle w:val="Heading2"/>
        <w:rPr>
          <w:rFonts w:cs="Arial"/>
        </w:rPr>
      </w:pPr>
      <w:r>
        <w:rPr>
          <w:rFonts w:cs="Arial"/>
        </w:rPr>
        <w:t>D</w:t>
      </w:r>
      <w:r w:rsidR="00B336E3" w:rsidRPr="00845FBC">
        <w:rPr>
          <w:rFonts w:cs="Arial"/>
        </w:rPr>
        <w:t>.</w:t>
      </w:r>
      <w:r w:rsidR="00B336E3" w:rsidRPr="00845FBC">
        <w:rPr>
          <w:rFonts w:cs="Arial"/>
        </w:rPr>
        <w:tab/>
        <w:t>Classification of Bone Tumors</w:t>
      </w:r>
    </w:p>
    <w:p w14:paraId="003E0EBF" w14:textId="77777777" w:rsidR="00B336E3" w:rsidRPr="009A4BFE" w:rsidRDefault="00B336E3" w:rsidP="00B336E3">
      <w:pPr>
        <w:pStyle w:val="Heading2"/>
        <w:rPr>
          <w:rFonts w:cs="Arial"/>
          <w:b w:val="0"/>
          <w:bCs/>
          <w:u w:val="single"/>
        </w:rPr>
      </w:pPr>
      <w:r w:rsidRPr="009A4BFE">
        <w:rPr>
          <w:rFonts w:cs="Arial"/>
          <w:b w:val="0"/>
          <w:bCs/>
          <w:u w:val="single"/>
        </w:rPr>
        <w:t>Intraoperative Consultation</w:t>
      </w:r>
    </w:p>
    <w:p w14:paraId="67C86C9B" w14:textId="77777777" w:rsidR="00B336E3" w:rsidRPr="00845FBC" w:rsidRDefault="00B336E3" w:rsidP="00B336E3">
      <w:pPr>
        <w:rPr>
          <w:rFonts w:cs="Arial"/>
        </w:rPr>
      </w:pPr>
      <w:r w:rsidRPr="00845FBC">
        <w:rPr>
          <w:rFonts w:cs="Arial"/>
        </w:rPr>
        <w:t>Histologic classification of bone tumors is sufficiently complex that, in many cases, it is unreasonable to expect a precise classification of these tumors based on an intraoperative consultation. A complete understanding of the surgeon’s treatment algorithm is recommended before rendering a frozen section diagnosis. In the case of primary bone tumors, an intraoperative diagnosis of benign versus malignant will generally guide the immediate decision to curette, excise, or wait for permanent sections, and certain therapeutic options may be lost if the wrong path is pursued. Intraoperative consultation is useful in assessing if “</w:t>
      </w:r>
      <w:proofErr w:type="spellStart"/>
      <w:r w:rsidRPr="00845FBC">
        <w:rPr>
          <w:rFonts w:cs="Arial"/>
        </w:rPr>
        <w:t>lesional</w:t>
      </w:r>
      <w:proofErr w:type="spellEnd"/>
      <w:r w:rsidRPr="00845FBC">
        <w:rPr>
          <w:rFonts w:cs="Arial"/>
        </w:rPr>
        <w:t xml:space="preserve">” tissue is present and whether or not this tissue is necrotic, and in constructing a differential diagnosis that can direct the proper triage of tissue for flow cytometry (lymphoma), electron microscopy, and molecular studies/cytogenetics. Tissue triage optimally is performed at the time of frozen section. In many cases, it is important that a portion of tissue be submitted for ancillary studies, even from fine-needle aspiration (FNA) and core needle biopsy specimens, once </w:t>
      </w:r>
      <w:proofErr w:type="gramStart"/>
      <w:r w:rsidRPr="00845FBC">
        <w:rPr>
          <w:rFonts w:cs="Arial"/>
        </w:rPr>
        <w:t>sufficient</w:t>
      </w:r>
      <w:proofErr w:type="gramEnd"/>
      <w:r w:rsidRPr="00845FBC">
        <w:rPr>
          <w:rFonts w:cs="Arial"/>
        </w:rPr>
        <w:t xml:space="preserve"> tissue has been submitted for histologic evaluation. </w:t>
      </w:r>
    </w:p>
    <w:p w14:paraId="0EFB717F" w14:textId="77777777" w:rsidR="00B336E3" w:rsidRPr="00845FBC" w:rsidRDefault="00B336E3" w:rsidP="00B336E3">
      <w:pPr>
        <w:rPr>
          <w:rFonts w:cs="Arial"/>
        </w:rPr>
      </w:pPr>
    </w:p>
    <w:p w14:paraId="1F528DDC" w14:textId="77777777" w:rsidR="00A23D13" w:rsidRPr="00696ADA" w:rsidRDefault="00A23D13" w:rsidP="00A23D13">
      <w:pPr>
        <w:pStyle w:val="Heading2"/>
        <w:rPr>
          <w:rFonts w:cs="Arial"/>
          <w:b w:val="0"/>
          <w:bCs/>
          <w:u w:val="single"/>
        </w:rPr>
      </w:pPr>
      <w:r w:rsidRPr="00696ADA">
        <w:rPr>
          <w:rFonts w:cs="Arial"/>
          <w:b w:val="0"/>
          <w:bCs/>
          <w:u w:val="single"/>
        </w:rPr>
        <w:t xml:space="preserve">Histologic Classification of Treated Lesions </w:t>
      </w:r>
    </w:p>
    <w:p w14:paraId="3D18E466" w14:textId="77777777" w:rsidR="00A23D13" w:rsidRPr="00845FBC" w:rsidRDefault="00A23D13" w:rsidP="00A23D13">
      <w:pPr>
        <w:rPr>
          <w:rFonts w:cs="Arial"/>
        </w:rPr>
      </w:pPr>
      <w:r w:rsidRPr="00845FBC">
        <w:rPr>
          <w:rFonts w:cs="Arial"/>
        </w:rPr>
        <w:t>Due to extensive treatment effects, such as necrosis, fibrosis, and chemotherapy-induced and radiation-induced pleomorphism, it may not be possible to classify some lesions that were either never biopsied or where the biopsy was insufficient for a precise diagnosis. In problematic cases, the grade of the pretreatment specimen (if available) should take precedence.</w:t>
      </w:r>
    </w:p>
    <w:p w14:paraId="7EFEEEB9" w14:textId="77777777" w:rsidR="00A23D13" w:rsidRPr="00845FBC" w:rsidRDefault="00A23D13" w:rsidP="00B336E3">
      <w:pPr>
        <w:rPr>
          <w:rFonts w:cs="Arial"/>
        </w:rPr>
      </w:pPr>
    </w:p>
    <w:p w14:paraId="15192EF6" w14:textId="77777777" w:rsidR="00B336E3" w:rsidRPr="009A4BFE" w:rsidRDefault="00B336E3" w:rsidP="00B336E3">
      <w:pPr>
        <w:pStyle w:val="Heading2"/>
        <w:rPr>
          <w:rFonts w:cs="Arial"/>
          <w:b w:val="0"/>
          <w:bCs/>
          <w:u w:val="single"/>
        </w:rPr>
      </w:pPr>
      <w:r w:rsidRPr="009A4BFE">
        <w:rPr>
          <w:rFonts w:cs="Arial"/>
          <w:b w:val="0"/>
          <w:bCs/>
          <w:u w:val="single"/>
        </w:rPr>
        <w:lastRenderedPageBreak/>
        <w:t>WHO Classification of Malignant Bone Tumors</w:t>
      </w:r>
    </w:p>
    <w:p w14:paraId="022B61AC" w14:textId="1E5F22EE" w:rsidR="00B336E3" w:rsidRPr="00845FBC" w:rsidRDefault="00B336E3" w:rsidP="00B336E3">
      <w:pPr>
        <w:rPr>
          <w:rFonts w:cs="Arial"/>
        </w:rPr>
      </w:pPr>
      <w:r w:rsidRPr="00845FBC">
        <w:rPr>
          <w:rFonts w:cs="Arial"/>
        </w:rPr>
        <w:t>Classification of tumors should be made according to the World Health Organization (WHO) classification of bone tumors listed below.</w:t>
      </w:r>
      <w:r w:rsidR="00525675">
        <w:rPr>
          <w:rFonts w:cs="Arial"/>
          <w:vertAlign w:val="superscript"/>
        </w:rPr>
        <w:t>1</w:t>
      </w:r>
      <w:r w:rsidRPr="00845FBC">
        <w:rPr>
          <w:rFonts w:cs="Arial"/>
        </w:rPr>
        <w:t xml:space="preserve"> </w:t>
      </w:r>
    </w:p>
    <w:p w14:paraId="554EAFD7" w14:textId="77777777" w:rsidR="00B336E3" w:rsidRPr="00845FBC" w:rsidRDefault="00B336E3" w:rsidP="00A36903">
      <w:pPr>
        <w:pStyle w:val="Heading2"/>
        <w:keepNext w:val="0"/>
        <w:tabs>
          <w:tab w:val="left" w:pos="7710"/>
        </w:tabs>
        <w:rPr>
          <w:rFonts w:eastAsia="MS Mincho" w:cs="Arial"/>
        </w:rPr>
      </w:pPr>
    </w:p>
    <w:p w14:paraId="46BCB954" w14:textId="1A405444" w:rsidR="00B336E3" w:rsidRDefault="00B336E3" w:rsidP="00B336E3">
      <w:pPr>
        <w:pStyle w:val="Heading2"/>
        <w:tabs>
          <w:tab w:val="left" w:pos="7710"/>
        </w:tabs>
        <w:rPr>
          <w:rFonts w:eastAsia="MS Mincho" w:cs="Arial"/>
        </w:rPr>
      </w:pPr>
      <w:r w:rsidRPr="00845FBC">
        <w:rPr>
          <w:rFonts w:eastAsia="MS Mincho" w:cs="Arial"/>
        </w:rPr>
        <w:t>WHO Classification of Malignant Bone Tumors</w:t>
      </w:r>
    </w:p>
    <w:p w14:paraId="30ED7F42" w14:textId="77777777" w:rsidR="00DB110A" w:rsidRPr="00DB110A" w:rsidRDefault="00DB110A" w:rsidP="00DB110A">
      <w:pPr>
        <w:rPr>
          <w:rFonts w:eastAsia="MS Mincho"/>
        </w:rPr>
      </w:pPr>
    </w:p>
    <w:p w14:paraId="1E89B371" w14:textId="77777777" w:rsidR="00B336E3" w:rsidRPr="00E159A6" w:rsidRDefault="00E104E0" w:rsidP="00B336E3">
      <w:pPr>
        <w:keepNext/>
        <w:keepLines/>
        <w:rPr>
          <w:rFonts w:eastAsia="MS Mincho" w:cs="Arial"/>
          <w:u w:val="single"/>
        </w:rPr>
      </w:pPr>
      <w:bookmarkStart w:id="3" w:name="_Hlk29816614"/>
      <w:r w:rsidRPr="00E159A6">
        <w:rPr>
          <w:rFonts w:eastAsia="MS Mincho" w:cs="Arial"/>
          <w:u w:val="single"/>
        </w:rPr>
        <w:t>Chondrogenic</w:t>
      </w:r>
      <w:r w:rsidR="00185C08" w:rsidRPr="00E159A6">
        <w:rPr>
          <w:rFonts w:eastAsia="MS Mincho" w:cs="Arial"/>
          <w:u w:val="single"/>
        </w:rPr>
        <w:t xml:space="preserve"> </w:t>
      </w:r>
      <w:r w:rsidR="00B336E3" w:rsidRPr="00E159A6">
        <w:rPr>
          <w:rFonts w:eastAsia="MS Mincho" w:cs="Arial"/>
          <w:u w:val="single"/>
        </w:rPr>
        <w:t>Tumors</w:t>
      </w:r>
    </w:p>
    <w:p w14:paraId="39044408" w14:textId="77777777" w:rsidR="00B336E3" w:rsidRPr="00845FBC" w:rsidRDefault="00B336E3" w:rsidP="00E159A6">
      <w:pPr>
        <w:pStyle w:val="10"/>
        <w:rPr>
          <w:rFonts w:eastAsia="MS Mincho" w:cs="Arial"/>
        </w:rPr>
      </w:pPr>
      <w:r w:rsidRPr="00845FBC">
        <w:rPr>
          <w:rFonts w:eastAsia="MS Mincho" w:cs="Arial"/>
        </w:rPr>
        <w:t>Chondrosarcoma</w:t>
      </w:r>
    </w:p>
    <w:p w14:paraId="2A825D9B" w14:textId="77777777" w:rsidR="001C6C05" w:rsidRPr="00845FBC" w:rsidRDefault="001C6C05" w:rsidP="00E159A6">
      <w:pPr>
        <w:pStyle w:val="10"/>
        <w:rPr>
          <w:rFonts w:eastAsia="MS Mincho" w:cs="Arial"/>
        </w:rPr>
      </w:pPr>
      <w:r w:rsidRPr="00845FBC">
        <w:rPr>
          <w:rFonts w:eastAsia="MS Mincho" w:cs="Arial"/>
        </w:rPr>
        <w:t>Dedifferentiated chondrosarcoma</w:t>
      </w:r>
    </w:p>
    <w:p w14:paraId="664DC684" w14:textId="77777777" w:rsidR="001C6C05" w:rsidRPr="00845FBC" w:rsidRDefault="001C6C05" w:rsidP="00E159A6">
      <w:pPr>
        <w:pStyle w:val="10"/>
        <w:rPr>
          <w:rFonts w:eastAsia="MS Mincho" w:cs="Arial"/>
        </w:rPr>
      </w:pPr>
      <w:r w:rsidRPr="00845FBC">
        <w:rPr>
          <w:rFonts w:eastAsia="MS Mincho" w:cs="Arial"/>
        </w:rPr>
        <w:t>Clear cell chondrosarcoma</w:t>
      </w:r>
    </w:p>
    <w:p w14:paraId="50C5B388" w14:textId="77777777" w:rsidR="00B336E3" w:rsidRPr="00845FBC" w:rsidRDefault="001C6C05" w:rsidP="00E159A6">
      <w:pPr>
        <w:pStyle w:val="10"/>
        <w:rPr>
          <w:rFonts w:eastAsia="MS Mincho" w:cs="Arial"/>
        </w:rPr>
      </w:pPr>
      <w:r w:rsidRPr="00845FBC">
        <w:rPr>
          <w:rFonts w:eastAsia="MS Mincho" w:cs="Arial"/>
        </w:rPr>
        <w:t>Mesenchymal chondrosarcoma</w:t>
      </w:r>
    </w:p>
    <w:p w14:paraId="4B8552BB" w14:textId="77777777" w:rsidR="00B336E3" w:rsidRPr="00845FBC" w:rsidRDefault="00B336E3" w:rsidP="00B336E3">
      <w:pPr>
        <w:rPr>
          <w:rFonts w:eastAsia="MS Mincho" w:cs="Arial"/>
        </w:rPr>
      </w:pPr>
    </w:p>
    <w:p w14:paraId="54C3A01B" w14:textId="77777777" w:rsidR="007166AE" w:rsidRPr="00E159A6" w:rsidRDefault="00B336E3" w:rsidP="00B336E3">
      <w:pPr>
        <w:pStyle w:val="Footer"/>
        <w:tabs>
          <w:tab w:val="clear" w:pos="4320"/>
          <w:tab w:val="clear" w:pos="8640"/>
        </w:tabs>
        <w:rPr>
          <w:rFonts w:eastAsia="MS Mincho" w:cs="Arial"/>
          <w:u w:val="single"/>
        </w:rPr>
      </w:pPr>
      <w:r w:rsidRPr="00E159A6">
        <w:rPr>
          <w:rFonts w:eastAsia="MS Mincho" w:cs="Arial"/>
          <w:u w:val="single"/>
        </w:rPr>
        <w:t>Osteogenic Tumors</w:t>
      </w:r>
    </w:p>
    <w:p w14:paraId="62140CBE" w14:textId="77777777" w:rsidR="00B336E3" w:rsidRPr="00845FBC" w:rsidRDefault="00DE7995" w:rsidP="00E159A6">
      <w:pPr>
        <w:pStyle w:val="10"/>
        <w:rPr>
          <w:rFonts w:eastAsia="MS Mincho" w:cs="Arial"/>
        </w:rPr>
      </w:pPr>
      <w:r w:rsidRPr="00845FBC">
        <w:rPr>
          <w:rFonts w:eastAsia="MS Mincho" w:cs="Arial"/>
        </w:rPr>
        <w:t>Low-grade central o</w:t>
      </w:r>
      <w:r w:rsidR="00B336E3" w:rsidRPr="00845FBC">
        <w:rPr>
          <w:rFonts w:eastAsia="MS Mincho" w:cs="Arial"/>
        </w:rPr>
        <w:t>steosarcoma</w:t>
      </w:r>
    </w:p>
    <w:p w14:paraId="3639D261" w14:textId="77777777" w:rsidR="00B336E3" w:rsidRPr="00845FBC" w:rsidRDefault="00B336E3" w:rsidP="00E159A6">
      <w:pPr>
        <w:pStyle w:val="10"/>
        <w:rPr>
          <w:rFonts w:eastAsia="MS Mincho" w:cs="Arial"/>
        </w:rPr>
      </w:pPr>
      <w:r w:rsidRPr="00845FBC">
        <w:rPr>
          <w:rFonts w:eastAsia="MS Mincho" w:cs="Arial"/>
        </w:rPr>
        <w:t>Conventional</w:t>
      </w:r>
      <w:r w:rsidR="00DE7995" w:rsidRPr="00845FBC">
        <w:rPr>
          <w:rFonts w:eastAsia="MS Mincho" w:cs="Arial"/>
        </w:rPr>
        <w:t xml:space="preserve"> osteosarcoma</w:t>
      </w:r>
    </w:p>
    <w:p w14:paraId="6348A8A8" w14:textId="77777777" w:rsidR="00B336E3" w:rsidRPr="00845FBC" w:rsidRDefault="00B336E3" w:rsidP="00E159A6">
      <w:pPr>
        <w:pStyle w:val="1"/>
        <w:ind w:left="0" w:firstLine="720"/>
        <w:rPr>
          <w:rFonts w:eastAsia="MS Mincho" w:cs="Arial"/>
        </w:rPr>
      </w:pPr>
      <w:proofErr w:type="spellStart"/>
      <w:r w:rsidRPr="00845FBC">
        <w:rPr>
          <w:rFonts w:eastAsia="MS Mincho" w:cs="Arial"/>
        </w:rPr>
        <w:t>Chondroblastic</w:t>
      </w:r>
      <w:proofErr w:type="spellEnd"/>
    </w:p>
    <w:p w14:paraId="757B1191" w14:textId="77777777" w:rsidR="00B336E3" w:rsidRPr="00845FBC" w:rsidRDefault="00B336E3" w:rsidP="00E159A6">
      <w:pPr>
        <w:pStyle w:val="1"/>
        <w:ind w:left="360" w:firstLine="360"/>
        <w:rPr>
          <w:rFonts w:eastAsia="MS Mincho" w:cs="Arial"/>
        </w:rPr>
      </w:pPr>
      <w:r w:rsidRPr="00845FBC">
        <w:rPr>
          <w:rFonts w:eastAsia="MS Mincho" w:cs="Arial"/>
        </w:rPr>
        <w:t>Fibroblastic</w:t>
      </w:r>
    </w:p>
    <w:p w14:paraId="0D5DCE08" w14:textId="77777777" w:rsidR="00B336E3" w:rsidRPr="00845FBC" w:rsidRDefault="00B336E3" w:rsidP="00E159A6">
      <w:pPr>
        <w:pStyle w:val="1"/>
        <w:ind w:left="0" w:firstLine="720"/>
        <w:rPr>
          <w:rFonts w:eastAsia="MS Mincho" w:cs="Arial"/>
        </w:rPr>
      </w:pPr>
      <w:r w:rsidRPr="00845FBC">
        <w:rPr>
          <w:rFonts w:eastAsia="MS Mincho" w:cs="Arial"/>
        </w:rPr>
        <w:t>Osteoblastic</w:t>
      </w:r>
    </w:p>
    <w:p w14:paraId="62B5C12D" w14:textId="4E656D59" w:rsidR="00B336E3" w:rsidRPr="00845FBC" w:rsidRDefault="00B336E3" w:rsidP="00DB110A">
      <w:pPr>
        <w:pStyle w:val="a"/>
        <w:ind w:left="720"/>
        <w:rPr>
          <w:rFonts w:eastAsia="MS Mincho" w:cs="Arial"/>
        </w:rPr>
      </w:pPr>
      <w:r w:rsidRPr="00845FBC">
        <w:rPr>
          <w:rFonts w:eastAsia="MS Mincho" w:cs="Arial"/>
        </w:rPr>
        <w:t>Telangiectatic</w:t>
      </w:r>
      <w:r w:rsidR="00EB61D3">
        <w:rPr>
          <w:rFonts w:eastAsia="MS Mincho" w:cs="Arial"/>
        </w:rPr>
        <w:t xml:space="preserve"> osteosarcoma</w:t>
      </w:r>
    </w:p>
    <w:p w14:paraId="71C0C4FE" w14:textId="754122C8" w:rsidR="00B336E3" w:rsidRPr="00845FBC" w:rsidRDefault="00B336E3" w:rsidP="00DB110A">
      <w:pPr>
        <w:pStyle w:val="a"/>
        <w:ind w:left="720"/>
        <w:rPr>
          <w:rFonts w:eastAsia="MS Mincho" w:cs="Arial"/>
        </w:rPr>
      </w:pPr>
      <w:r w:rsidRPr="00845FBC">
        <w:rPr>
          <w:rFonts w:eastAsia="MS Mincho" w:cs="Arial"/>
        </w:rPr>
        <w:t>Small cell</w:t>
      </w:r>
      <w:r w:rsidR="00EB61D3">
        <w:rPr>
          <w:rFonts w:eastAsia="MS Mincho" w:cs="Arial"/>
        </w:rPr>
        <w:t xml:space="preserve"> osteosarcoma</w:t>
      </w:r>
    </w:p>
    <w:p w14:paraId="0B5248D3" w14:textId="5EE05674" w:rsidR="00B336E3" w:rsidRPr="00845FBC" w:rsidRDefault="00B336E3" w:rsidP="00DB110A">
      <w:pPr>
        <w:pStyle w:val="a"/>
        <w:ind w:left="720"/>
        <w:rPr>
          <w:rFonts w:eastAsia="MS Mincho" w:cs="Arial"/>
        </w:rPr>
      </w:pPr>
      <w:r w:rsidRPr="00845FBC">
        <w:rPr>
          <w:rFonts w:eastAsia="MS Mincho" w:cs="Arial"/>
        </w:rPr>
        <w:t>Secondary</w:t>
      </w:r>
      <w:r w:rsidR="00EB61D3">
        <w:rPr>
          <w:rFonts w:eastAsia="MS Mincho" w:cs="Arial"/>
        </w:rPr>
        <w:t xml:space="preserve"> osteosarcoma</w:t>
      </w:r>
    </w:p>
    <w:p w14:paraId="6EC08690" w14:textId="5F618D76" w:rsidR="00B336E3" w:rsidRPr="00845FBC" w:rsidRDefault="00B336E3" w:rsidP="00DB110A">
      <w:pPr>
        <w:pStyle w:val="a"/>
        <w:ind w:left="720"/>
        <w:rPr>
          <w:rFonts w:eastAsia="MS Mincho" w:cs="Arial"/>
        </w:rPr>
      </w:pPr>
      <w:proofErr w:type="spellStart"/>
      <w:r w:rsidRPr="00845FBC">
        <w:rPr>
          <w:rFonts w:eastAsia="MS Mincho" w:cs="Arial"/>
        </w:rPr>
        <w:t>Parosteal</w:t>
      </w:r>
      <w:proofErr w:type="spellEnd"/>
      <w:r w:rsidR="00EB61D3">
        <w:rPr>
          <w:rFonts w:eastAsia="MS Mincho" w:cs="Arial"/>
        </w:rPr>
        <w:t xml:space="preserve"> osteosarcoma</w:t>
      </w:r>
    </w:p>
    <w:p w14:paraId="6AF74031" w14:textId="3C7CC23B" w:rsidR="00B336E3" w:rsidRPr="00845FBC" w:rsidRDefault="00B336E3" w:rsidP="00DB110A">
      <w:pPr>
        <w:pStyle w:val="a"/>
        <w:ind w:left="720"/>
        <w:rPr>
          <w:rFonts w:eastAsia="MS Mincho" w:cs="Arial"/>
        </w:rPr>
      </w:pPr>
      <w:r w:rsidRPr="00845FBC">
        <w:rPr>
          <w:rFonts w:eastAsia="MS Mincho" w:cs="Arial"/>
        </w:rPr>
        <w:t>Periosteal</w:t>
      </w:r>
      <w:r w:rsidR="00EB61D3">
        <w:rPr>
          <w:rFonts w:eastAsia="MS Mincho" w:cs="Arial"/>
        </w:rPr>
        <w:t xml:space="preserve"> osteosarcoma</w:t>
      </w:r>
    </w:p>
    <w:p w14:paraId="2A6677A3" w14:textId="19342D86" w:rsidR="00B336E3" w:rsidRPr="00845FBC" w:rsidRDefault="00B336E3" w:rsidP="00DB110A">
      <w:pPr>
        <w:pStyle w:val="a"/>
        <w:ind w:left="720"/>
        <w:rPr>
          <w:rFonts w:eastAsia="MS Mincho" w:cs="Arial"/>
        </w:rPr>
      </w:pPr>
      <w:r w:rsidRPr="00845FBC">
        <w:rPr>
          <w:rFonts w:eastAsia="MS Mincho" w:cs="Arial"/>
        </w:rPr>
        <w:t>High grade surface</w:t>
      </w:r>
      <w:r w:rsidR="00EB61D3">
        <w:rPr>
          <w:rFonts w:eastAsia="MS Mincho" w:cs="Arial"/>
        </w:rPr>
        <w:t xml:space="preserve"> osteosarcoma</w:t>
      </w:r>
    </w:p>
    <w:p w14:paraId="380867FB" w14:textId="77777777" w:rsidR="00B336E3" w:rsidRPr="00845FBC" w:rsidRDefault="00B336E3" w:rsidP="00B336E3">
      <w:pPr>
        <w:rPr>
          <w:rFonts w:eastAsia="MS Mincho" w:cs="Arial"/>
        </w:rPr>
      </w:pPr>
    </w:p>
    <w:p w14:paraId="3589D1C4" w14:textId="77777777" w:rsidR="00B336E3" w:rsidRPr="00E159A6" w:rsidRDefault="00B336E3" w:rsidP="0072709F">
      <w:pPr>
        <w:pStyle w:val="Footer"/>
        <w:keepNext/>
        <w:tabs>
          <w:tab w:val="clear" w:pos="4320"/>
          <w:tab w:val="clear" w:pos="8640"/>
        </w:tabs>
        <w:rPr>
          <w:rFonts w:eastAsia="MS Mincho" w:cs="Arial"/>
          <w:u w:val="single"/>
        </w:rPr>
      </w:pPr>
      <w:proofErr w:type="spellStart"/>
      <w:r w:rsidRPr="00E159A6">
        <w:rPr>
          <w:rFonts w:eastAsia="MS Mincho" w:cs="Arial"/>
          <w:u w:val="single"/>
        </w:rPr>
        <w:t>Fibrogenic</w:t>
      </w:r>
      <w:proofErr w:type="spellEnd"/>
      <w:r w:rsidRPr="00E159A6">
        <w:rPr>
          <w:rFonts w:eastAsia="MS Mincho" w:cs="Arial"/>
          <w:u w:val="single"/>
        </w:rPr>
        <w:t xml:space="preserve"> Tumors</w:t>
      </w:r>
    </w:p>
    <w:p w14:paraId="053FC788" w14:textId="77777777" w:rsidR="00B336E3" w:rsidRPr="00845FBC" w:rsidRDefault="00B336E3" w:rsidP="00DB110A">
      <w:pPr>
        <w:pStyle w:val="10"/>
        <w:rPr>
          <w:rFonts w:eastAsia="MS Mincho" w:cs="Arial"/>
        </w:rPr>
      </w:pPr>
      <w:r w:rsidRPr="00845FBC">
        <w:rPr>
          <w:rFonts w:eastAsia="MS Mincho" w:cs="Arial"/>
        </w:rPr>
        <w:t>Fibrosarcoma</w:t>
      </w:r>
      <w:r w:rsidR="00DE7995" w:rsidRPr="00845FBC">
        <w:rPr>
          <w:rFonts w:eastAsia="MS Mincho" w:cs="Arial"/>
        </w:rPr>
        <w:t xml:space="preserve"> of bone</w:t>
      </w:r>
    </w:p>
    <w:p w14:paraId="7AD65E28" w14:textId="77777777" w:rsidR="00DE7995" w:rsidRPr="00845FBC" w:rsidRDefault="00DE7995" w:rsidP="00B336E3">
      <w:pPr>
        <w:pStyle w:val="PlainText"/>
        <w:tabs>
          <w:tab w:val="left" w:pos="600"/>
          <w:tab w:val="left" w:pos="3720"/>
        </w:tabs>
        <w:rPr>
          <w:rFonts w:ascii="Arial" w:eastAsia="MS Mincho" w:hAnsi="Arial" w:cs="Arial"/>
        </w:rPr>
      </w:pPr>
    </w:p>
    <w:p w14:paraId="0CE715C0" w14:textId="77777777" w:rsidR="00B336E3" w:rsidRPr="00E159A6" w:rsidRDefault="00B336E3" w:rsidP="00B336E3">
      <w:pPr>
        <w:pStyle w:val="Footer"/>
        <w:tabs>
          <w:tab w:val="clear" w:pos="4320"/>
          <w:tab w:val="clear" w:pos="8640"/>
        </w:tabs>
        <w:rPr>
          <w:rFonts w:eastAsia="MS Mincho" w:cs="Arial"/>
          <w:u w:val="single"/>
        </w:rPr>
      </w:pPr>
      <w:r w:rsidRPr="00E159A6">
        <w:rPr>
          <w:rFonts w:eastAsia="MS Mincho" w:cs="Arial"/>
          <w:u w:val="single"/>
        </w:rPr>
        <w:t>Hematopoietic Tumors</w:t>
      </w:r>
      <w:r w:rsidR="002709DA" w:rsidRPr="00E159A6">
        <w:rPr>
          <w:rFonts w:eastAsia="MS Mincho" w:cs="Arial"/>
          <w:u w:val="single"/>
        </w:rPr>
        <w:t>*</w:t>
      </w:r>
    </w:p>
    <w:p w14:paraId="183A2BE9" w14:textId="77777777" w:rsidR="00B336E3" w:rsidRPr="00845FBC" w:rsidRDefault="00B336E3" w:rsidP="00B336E3">
      <w:pPr>
        <w:pStyle w:val="10"/>
        <w:rPr>
          <w:rFonts w:eastAsia="MS Mincho" w:cs="Arial"/>
        </w:rPr>
      </w:pPr>
      <w:r w:rsidRPr="00845FBC">
        <w:rPr>
          <w:rFonts w:eastAsia="MS Mincho" w:cs="Arial"/>
        </w:rPr>
        <w:t>Plasma cell myeloma</w:t>
      </w:r>
      <w:r w:rsidR="002709DA">
        <w:rPr>
          <w:rFonts w:eastAsia="MS Mincho" w:cs="Arial"/>
        </w:rPr>
        <w:t>*</w:t>
      </w:r>
    </w:p>
    <w:p w14:paraId="0AB3563A" w14:textId="77777777" w:rsidR="0029554A" w:rsidRPr="00845FBC" w:rsidRDefault="0029554A" w:rsidP="00B336E3">
      <w:pPr>
        <w:pStyle w:val="10"/>
        <w:rPr>
          <w:rFonts w:eastAsia="MS Mincho" w:cs="Arial"/>
        </w:rPr>
      </w:pPr>
      <w:r w:rsidRPr="00845FBC">
        <w:rPr>
          <w:rFonts w:eastAsia="MS Mincho" w:cs="Arial"/>
        </w:rPr>
        <w:t>Solitary plasmacytoma of bone</w:t>
      </w:r>
      <w:r w:rsidR="002709DA">
        <w:rPr>
          <w:rFonts w:eastAsia="MS Mincho" w:cs="Arial"/>
        </w:rPr>
        <w:t>*</w:t>
      </w:r>
    </w:p>
    <w:p w14:paraId="1CFF949D" w14:textId="77777777" w:rsidR="00B336E3" w:rsidRPr="00845FBC" w:rsidRDefault="0029554A" w:rsidP="00B336E3">
      <w:pPr>
        <w:pStyle w:val="10"/>
        <w:rPr>
          <w:rFonts w:eastAsia="MS Mincho" w:cs="Arial"/>
        </w:rPr>
      </w:pPr>
      <w:r w:rsidRPr="00845FBC">
        <w:rPr>
          <w:rFonts w:eastAsia="MS Mincho" w:cs="Arial"/>
        </w:rPr>
        <w:t xml:space="preserve">Primary non-Hodgkin </w:t>
      </w:r>
      <w:r w:rsidR="00B336E3" w:rsidRPr="00845FBC">
        <w:rPr>
          <w:rFonts w:eastAsia="MS Mincho" w:cs="Arial"/>
        </w:rPr>
        <w:t>lymphoma, NOS</w:t>
      </w:r>
      <w:r w:rsidR="002709DA">
        <w:rPr>
          <w:rFonts w:eastAsia="MS Mincho" w:cs="Arial"/>
        </w:rPr>
        <w:t>*</w:t>
      </w:r>
    </w:p>
    <w:p w14:paraId="13F4FE97" w14:textId="77777777" w:rsidR="00B336E3" w:rsidRPr="00845FBC" w:rsidRDefault="00B336E3" w:rsidP="00B336E3">
      <w:pPr>
        <w:pStyle w:val="10"/>
        <w:rPr>
          <w:rFonts w:eastAsia="MS Mincho" w:cs="Arial"/>
        </w:rPr>
      </w:pPr>
    </w:p>
    <w:p w14:paraId="38D79922" w14:textId="77777777" w:rsidR="00B336E3" w:rsidRPr="00E159A6" w:rsidRDefault="009F33E8" w:rsidP="00B336E3">
      <w:pPr>
        <w:pStyle w:val="Footer"/>
        <w:keepNext/>
        <w:keepLines/>
        <w:tabs>
          <w:tab w:val="clear" w:pos="4320"/>
          <w:tab w:val="clear" w:pos="8640"/>
        </w:tabs>
        <w:rPr>
          <w:rFonts w:eastAsia="MS Mincho" w:cs="Arial"/>
          <w:u w:val="single"/>
        </w:rPr>
      </w:pPr>
      <w:r w:rsidRPr="00E159A6">
        <w:rPr>
          <w:rFonts w:eastAsia="MS Mincho" w:cs="Arial"/>
          <w:u w:val="single"/>
        </w:rPr>
        <w:t xml:space="preserve">Osteoclastic </w:t>
      </w:r>
      <w:r w:rsidR="00B336E3" w:rsidRPr="00E159A6">
        <w:rPr>
          <w:rFonts w:eastAsia="MS Mincho" w:cs="Arial"/>
          <w:u w:val="single"/>
        </w:rPr>
        <w:t xml:space="preserve">Giant Cell </w:t>
      </w:r>
      <w:r w:rsidRPr="00E159A6">
        <w:rPr>
          <w:rFonts w:eastAsia="MS Mincho" w:cs="Arial"/>
          <w:u w:val="single"/>
        </w:rPr>
        <w:t xml:space="preserve">Rich </w:t>
      </w:r>
      <w:r w:rsidR="00B336E3" w:rsidRPr="00E159A6">
        <w:rPr>
          <w:rFonts w:eastAsia="MS Mincho" w:cs="Arial"/>
          <w:u w:val="single"/>
        </w:rPr>
        <w:t>Tumors</w:t>
      </w:r>
    </w:p>
    <w:p w14:paraId="4A840B30" w14:textId="77777777" w:rsidR="00B336E3" w:rsidRPr="00845FBC" w:rsidRDefault="00B336E3" w:rsidP="00B336E3">
      <w:pPr>
        <w:pStyle w:val="10"/>
        <w:rPr>
          <w:rFonts w:eastAsia="MS Mincho" w:cs="Arial"/>
        </w:rPr>
      </w:pPr>
      <w:r w:rsidRPr="00845FBC">
        <w:rPr>
          <w:rFonts w:eastAsia="MS Mincho" w:cs="Arial"/>
        </w:rPr>
        <w:t>Malignancy in giant cell tumor</w:t>
      </w:r>
      <w:r w:rsidR="009F33E8" w:rsidRPr="00845FBC">
        <w:rPr>
          <w:rFonts w:eastAsia="MS Mincho" w:cs="Arial"/>
        </w:rPr>
        <w:t xml:space="preserve"> of bone</w:t>
      </w:r>
    </w:p>
    <w:p w14:paraId="46AE1331" w14:textId="77777777" w:rsidR="00B336E3" w:rsidRPr="00845FBC" w:rsidRDefault="00B336E3" w:rsidP="00B336E3">
      <w:pPr>
        <w:pStyle w:val="Footer"/>
        <w:tabs>
          <w:tab w:val="clear" w:pos="4320"/>
          <w:tab w:val="clear" w:pos="8640"/>
        </w:tabs>
        <w:rPr>
          <w:rFonts w:eastAsia="MS Mincho" w:cs="Arial"/>
        </w:rPr>
      </w:pPr>
    </w:p>
    <w:p w14:paraId="1F232814" w14:textId="77777777" w:rsidR="00B336E3" w:rsidRPr="00E159A6" w:rsidRDefault="00B336E3" w:rsidP="00B336E3">
      <w:pPr>
        <w:pStyle w:val="Footer"/>
        <w:tabs>
          <w:tab w:val="clear" w:pos="4320"/>
          <w:tab w:val="clear" w:pos="8640"/>
        </w:tabs>
        <w:rPr>
          <w:rFonts w:eastAsia="MS Mincho" w:cs="Arial"/>
          <w:u w:val="single"/>
        </w:rPr>
      </w:pPr>
      <w:r w:rsidRPr="00E159A6">
        <w:rPr>
          <w:rFonts w:eastAsia="MS Mincho" w:cs="Arial"/>
          <w:u w:val="single"/>
        </w:rPr>
        <w:t>Notochordal Tumors</w:t>
      </w:r>
    </w:p>
    <w:p w14:paraId="04992F1F" w14:textId="77777777" w:rsidR="00B336E3" w:rsidRPr="00845FBC" w:rsidRDefault="00B336E3" w:rsidP="00E159A6">
      <w:pPr>
        <w:pStyle w:val="10"/>
        <w:rPr>
          <w:rFonts w:eastAsia="MS Mincho" w:cs="Arial"/>
        </w:rPr>
      </w:pPr>
      <w:r w:rsidRPr="00845FBC">
        <w:rPr>
          <w:rFonts w:eastAsia="MS Mincho" w:cs="Arial"/>
        </w:rPr>
        <w:t>Chordoma</w:t>
      </w:r>
    </w:p>
    <w:p w14:paraId="03B16094" w14:textId="77777777" w:rsidR="00B336E3" w:rsidRPr="00845FBC" w:rsidRDefault="00B336E3" w:rsidP="00B336E3">
      <w:pPr>
        <w:pStyle w:val="Footer"/>
        <w:tabs>
          <w:tab w:val="clear" w:pos="4320"/>
          <w:tab w:val="clear" w:pos="8640"/>
        </w:tabs>
        <w:rPr>
          <w:rFonts w:eastAsia="MS Mincho" w:cs="Arial"/>
        </w:rPr>
      </w:pPr>
    </w:p>
    <w:p w14:paraId="46D2B69A" w14:textId="77777777" w:rsidR="00B336E3" w:rsidRPr="00E159A6" w:rsidRDefault="00B336E3" w:rsidP="00B336E3">
      <w:pPr>
        <w:pStyle w:val="Footer"/>
        <w:keepNext/>
        <w:tabs>
          <w:tab w:val="clear" w:pos="4320"/>
          <w:tab w:val="clear" w:pos="8640"/>
        </w:tabs>
        <w:rPr>
          <w:rFonts w:eastAsia="MS Mincho" w:cs="Arial"/>
          <w:u w:val="single"/>
        </w:rPr>
      </w:pPr>
      <w:r w:rsidRPr="00E159A6">
        <w:rPr>
          <w:rFonts w:eastAsia="MS Mincho" w:cs="Arial"/>
          <w:u w:val="single"/>
        </w:rPr>
        <w:t>Vascular Tumors</w:t>
      </w:r>
    </w:p>
    <w:p w14:paraId="27AC8DEB" w14:textId="213EAC25" w:rsidR="009F33E8" w:rsidRPr="00845FBC" w:rsidRDefault="009F33E8" w:rsidP="00E159A6">
      <w:pPr>
        <w:pStyle w:val="10"/>
        <w:rPr>
          <w:rFonts w:eastAsia="MS Mincho" w:cs="Arial"/>
        </w:rPr>
      </w:pPr>
      <w:r w:rsidRPr="00845FBC">
        <w:rPr>
          <w:rFonts w:eastAsia="MS Mincho" w:cs="Arial"/>
        </w:rPr>
        <w:t>Epithelioid hemangioendothelioma</w:t>
      </w:r>
    </w:p>
    <w:p w14:paraId="21CD46B1" w14:textId="77777777" w:rsidR="00B336E3" w:rsidRPr="00845FBC" w:rsidRDefault="00B336E3" w:rsidP="00E159A6">
      <w:pPr>
        <w:pStyle w:val="10"/>
        <w:rPr>
          <w:rFonts w:eastAsia="MS Mincho" w:cs="Arial"/>
        </w:rPr>
      </w:pPr>
      <w:r w:rsidRPr="00845FBC">
        <w:rPr>
          <w:rFonts w:eastAsia="MS Mincho" w:cs="Arial"/>
        </w:rPr>
        <w:t>Angiosarcoma</w:t>
      </w:r>
    </w:p>
    <w:p w14:paraId="5B1DB15E" w14:textId="77777777" w:rsidR="00B336E3" w:rsidRPr="00845FBC" w:rsidRDefault="00B336E3" w:rsidP="00B336E3">
      <w:pPr>
        <w:pStyle w:val="Footer"/>
        <w:tabs>
          <w:tab w:val="clear" w:pos="4320"/>
          <w:tab w:val="clear" w:pos="8640"/>
        </w:tabs>
        <w:rPr>
          <w:rFonts w:eastAsia="MS Mincho" w:cs="Arial"/>
        </w:rPr>
      </w:pPr>
    </w:p>
    <w:p w14:paraId="1D2A3E6A" w14:textId="77777777" w:rsidR="00B336E3" w:rsidRPr="00E159A6" w:rsidRDefault="009F33E8" w:rsidP="00B336E3">
      <w:pPr>
        <w:pStyle w:val="Footer"/>
        <w:keepNext/>
        <w:tabs>
          <w:tab w:val="clear" w:pos="4320"/>
          <w:tab w:val="clear" w:pos="8640"/>
        </w:tabs>
        <w:rPr>
          <w:rFonts w:eastAsia="MS Mincho" w:cs="Arial"/>
          <w:u w:val="single"/>
        </w:rPr>
      </w:pPr>
      <w:r w:rsidRPr="00E159A6">
        <w:rPr>
          <w:rFonts w:eastAsia="MS Mincho" w:cs="Arial"/>
          <w:u w:val="single"/>
        </w:rPr>
        <w:t>Myogenic</w:t>
      </w:r>
      <w:r w:rsidR="00B336E3" w:rsidRPr="00E159A6">
        <w:rPr>
          <w:rFonts w:eastAsia="MS Mincho" w:cs="Arial"/>
          <w:u w:val="single"/>
        </w:rPr>
        <w:t xml:space="preserve"> Tumors</w:t>
      </w:r>
    </w:p>
    <w:p w14:paraId="78A9251F" w14:textId="77777777" w:rsidR="00B336E3" w:rsidRPr="00845FBC" w:rsidRDefault="00B336E3" w:rsidP="00B336E3">
      <w:pPr>
        <w:pStyle w:val="10"/>
        <w:rPr>
          <w:rFonts w:eastAsia="MS Mincho" w:cs="Arial"/>
        </w:rPr>
      </w:pPr>
      <w:r w:rsidRPr="00845FBC">
        <w:rPr>
          <w:rFonts w:eastAsia="MS Mincho" w:cs="Arial"/>
        </w:rPr>
        <w:t>Leiomyosarcoma</w:t>
      </w:r>
      <w:r w:rsidR="009F33E8" w:rsidRPr="00845FBC">
        <w:rPr>
          <w:rFonts w:eastAsia="MS Mincho" w:cs="Arial"/>
        </w:rPr>
        <w:t xml:space="preserve"> of bone</w:t>
      </w:r>
    </w:p>
    <w:p w14:paraId="0C021472" w14:textId="77777777" w:rsidR="00B336E3" w:rsidRPr="00845FBC" w:rsidRDefault="00B336E3" w:rsidP="00B336E3">
      <w:pPr>
        <w:pStyle w:val="PlainText"/>
        <w:tabs>
          <w:tab w:val="left" w:pos="600"/>
          <w:tab w:val="left" w:pos="3720"/>
        </w:tabs>
        <w:rPr>
          <w:rFonts w:ascii="Arial" w:eastAsia="MS Mincho" w:hAnsi="Arial" w:cs="Arial"/>
        </w:rPr>
      </w:pPr>
    </w:p>
    <w:p w14:paraId="46D70865" w14:textId="77777777" w:rsidR="00B336E3" w:rsidRPr="00E159A6" w:rsidRDefault="00B336E3" w:rsidP="00B336E3">
      <w:pPr>
        <w:pStyle w:val="Footer"/>
        <w:keepNext/>
        <w:tabs>
          <w:tab w:val="clear" w:pos="4320"/>
          <w:tab w:val="clear" w:pos="8640"/>
        </w:tabs>
        <w:rPr>
          <w:rFonts w:eastAsia="MS Mincho" w:cs="Arial"/>
          <w:u w:val="single"/>
        </w:rPr>
      </w:pPr>
      <w:r w:rsidRPr="00E159A6">
        <w:rPr>
          <w:rFonts w:eastAsia="MS Mincho" w:cs="Arial"/>
          <w:u w:val="single"/>
        </w:rPr>
        <w:t>Lipogenic Tumors</w:t>
      </w:r>
    </w:p>
    <w:p w14:paraId="4269E042" w14:textId="77777777" w:rsidR="00B336E3" w:rsidRPr="00845FBC" w:rsidRDefault="00B336E3" w:rsidP="00B336E3">
      <w:pPr>
        <w:pStyle w:val="10"/>
        <w:rPr>
          <w:rFonts w:eastAsia="MS Mincho" w:cs="Arial"/>
        </w:rPr>
      </w:pPr>
      <w:r w:rsidRPr="00845FBC">
        <w:rPr>
          <w:rFonts w:eastAsia="MS Mincho" w:cs="Arial"/>
        </w:rPr>
        <w:t>Liposarcoma</w:t>
      </w:r>
      <w:r w:rsidR="009F33E8" w:rsidRPr="00845FBC">
        <w:rPr>
          <w:rFonts w:eastAsia="MS Mincho" w:cs="Arial"/>
        </w:rPr>
        <w:t xml:space="preserve"> of bone</w:t>
      </w:r>
    </w:p>
    <w:p w14:paraId="72CD2E72" w14:textId="77777777" w:rsidR="009F33E8" w:rsidRPr="00845FBC" w:rsidRDefault="009F33E8" w:rsidP="009F33E8">
      <w:pPr>
        <w:pStyle w:val="10"/>
        <w:ind w:left="0" w:firstLine="0"/>
        <w:rPr>
          <w:rFonts w:eastAsia="MS Mincho" w:cs="Arial"/>
        </w:rPr>
      </w:pPr>
    </w:p>
    <w:p w14:paraId="7F6B23FB" w14:textId="77777777" w:rsidR="00B336E3" w:rsidRPr="00E159A6" w:rsidRDefault="00B336E3" w:rsidP="00B336E3">
      <w:pPr>
        <w:pStyle w:val="Footer"/>
        <w:tabs>
          <w:tab w:val="clear" w:pos="4320"/>
          <w:tab w:val="clear" w:pos="8640"/>
        </w:tabs>
        <w:rPr>
          <w:rFonts w:eastAsia="MS Mincho" w:cs="Arial"/>
          <w:u w:val="single"/>
        </w:rPr>
      </w:pPr>
      <w:r w:rsidRPr="00E159A6">
        <w:rPr>
          <w:rFonts w:eastAsia="MS Mincho" w:cs="Arial"/>
          <w:u w:val="single"/>
        </w:rPr>
        <w:t>Miscellaneous Tumors</w:t>
      </w:r>
    </w:p>
    <w:p w14:paraId="4C504D44" w14:textId="77777777" w:rsidR="009F33E8" w:rsidRPr="00845FBC" w:rsidRDefault="009F33E8" w:rsidP="001E3D94">
      <w:pPr>
        <w:pStyle w:val="Footer"/>
        <w:tabs>
          <w:tab w:val="clear" w:pos="4320"/>
          <w:tab w:val="clear" w:pos="8640"/>
        </w:tabs>
        <w:ind w:left="360"/>
        <w:rPr>
          <w:rFonts w:eastAsia="MS Mincho" w:cs="Arial"/>
        </w:rPr>
      </w:pPr>
      <w:r w:rsidRPr="00845FBC">
        <w:rPr>
          <w:rFonts w:eastAsia="MS Mincho" w:cs="Arial"/>
        </w:rPr>
        <w:t>Ewing sarcoma</w:t>
      </w:r>
    </w:p>
    <w:p w14:paraId="3FB117EC" w14:textId="77777777" w:rsidR="00B336E3" w:rsidRPr="00845FBC" w:rsidRDefault="00B336E3" w:rsidP="00B336E3">
      <w:pPr>
        <w:pStyle w:val="10"/>
        <w:rPr>
          <w:rFonts w:eastAsia="MS Mincho" w:cs="Arial"/>
        </w:rPr>
      </w:pPr>
      <w:r w:rsidRPr="00845FBC">
        <w:rPr>
          <w:rFonts w:eastAsia="MS Mincho" w:cs="Arial"/>
        </w:rPr>
        <w:t>Adamantinoma</w:t>
      </w:r>
    </w:p>
    <w:p w14:paraId="07EF99FF" w14:textId="77777777" w:rsidR="009F33E8" w:rsidRPr="00845FBC" w:rsidRDefault="009F33E8" w:rsidP="00B336E3">
      <w:pPr>
        <w:pStyle w:val="10"/>
        <w:rPr>
          <w:rFonts w:eastAsia="MS Mincho" w:cs="Arial"/>
        </w:rPr>
      </w:pPr>
      <w:r w:rsidRPr="00845FBC">
        <w:rPr>
          <w:rFonts w:eastAsia="MS Mincho" w:cs="Arial"/>
        </w:rPr>
        <w:t>Undifferentiated high-grade pleomorphic sarcoma</w:t>
      </w:r>
    </w:p>
    <w:bookmarkEnd w:id="3"/>
    <w:p w14:paraId="0DF37646" w14:textId="77777777" w:rsidR="00B336E3" w:rsidRDefault="00B336E3" w:rsidP="00B336E3">
      <w:pPr>
        <w:pStyle w:val="Footer"/>
        <w:tabs>
          <w:tab w:val="clear" w:pos="4320"/>
          <w:tab w:val="clear" w:pos="8640"/>
        </w:tabs>
        <w:rPr>
          <w:rFonts w:eastAsia="MS Mincho" w:cs="Arial"/>
        </w:rPr>
      </w:pPr>
    </w:p>
    <w:p w14:paraId="500D1C77" w14:textId="77777777" w:rsidR="002709DA" w:rsidRPr="00DD7C11" w:rsidRDefault="002709DA" w:rsidP="00B336E3">
      <w:pPr>
        <w:pStyle w:val="Footer"/>
        <w:tabs>
          <w:tab w:val="clear" w:pos="4320"/>
          <w:tab w:val="clear" w:pos="8640"/>
        </w:tabs>
        <w:rPr>
          <w:rFonts w:eastAsia="MS Mincho" w:cs="Arial"/>
          <w:i/>
          <w:sz w:val="18"/>
          <w:szCs w:val="18"/>
        </w:rPr>
      </w:pPr>
      <w:r w:rsidRPr="00DD7C11">
        <w:rPr>
          <w:rFonts w:eastAsia="MS Mincho" w:cs="Arial"/>
          <w:i/>
          <w:sz w:val="18"/>
          <w:szCs w:val="18"/>
        </w:rPr>
        <w:t>* Primary malignant lymphomas and plasma cell neoplasms are not staged using the AJCC system for malignant bone tumors.</w:t>
      </w:r>
    </w:p>
    <w:p w14:paraId="2209F48C" w14:textId="77777777" w:rsidR="002709DA" w:rsidRDefault="002709DA" w:rsidP="00B336E3">
      <w:pPr>
        <w:pStyle w:val="Footer"/>
        <w:tabs>
          <w:tab w:val="clear" w:pos="4320"/>
          <w:tab w:val="clear" w:pos="8640"/>
        </w:tabs>
        <w:rPr>
          <w:rFonts w:eastAsia="MS Mincho" w:cs="Arial"/>
        </w:rPr>
      </w:pPr>
    </w:p>
    <w:p w14:paraId="4A654FB9" w14:textId="77777777" w:rsidR="00FF1B19" w:rsidRPr="00010CA3" w:rsidRDefault="00FF1B19" w:rsidP="00FF1B19">
      <w:pPr>
        <w:pStyle w:val="Heading1"/>
        <w:rPr>
          <w:rFonts w:cs="Arial"/>
          <w:b w:val="0"/>
          <w:kern w:val="18"/>
        </w:rPr>
      </w:pPr>
      <w:bookmarkStart w:id="4" w:name="_Hlk22632873"/>
      <w:r w:rsidRPr="00010CA3">
        <w:rPr>
          <w:rFonts w:cs="Arial"/>
          <w:b w:val="0"/>
          <w:kern w:val="18"/>
        </w:rPr>
        <w:lastRenderedPageBreak/>
        <w:t>References</w:t>
      </w:r>
    </w:p>
    <w:bookmarkEnd w:id="4"/>
    <w:p w14:paraId="2BB042C0" w14:textId="77777777" w:rsidR="00FF1B19" w:rsidRDefault="00525675" w:rsidP="009A4BFE">
      <w:pPr>
        <w:pStyle w:val="Footer"/>
        <w:tabs>
          <w:tab w:val="clear" w:pos="4320"/>
          <w:tab w:val="clear" w:pos="8640"/>
        </w:tabs>
        <w:ind w:left="450" w:hanging="450"/>
        <w:rPr>
          <w:rFonts w:eastAsia="MS Mincho" w:cs="Arial"/>
        </w:rPr>
      </w:pPr>
      <w:r>
        <w:rPr>
          <w:rFonts w:eastAsia="MS Mincho" w:cs="Arial"/>
        </w:rPr>
        <w:t>1</w:t>
      </w:r>
      <w:r w:rsidRPr="00525675">
        <w:rPr>
          <w:rFonts w:eastAsia="MS Mincho" w:cs="Arial"/>
        </w:rPr>
        <w:t>.</w:t>
      </w:r>
      <w:r w:rsidRPr="00525675">
        <w:rPr>
          <w:rFonts w:eastAsia="MS Mincho" w:cs="Arial"/>
        </w:rPr>
        <w:tab/>
        <w:t xml:space="preserve">Fletcher CDM, Bridge JA, </w:t>
      </w:r>
      <w:proofErr w:type="spellStart"/>
      <w:r w:rsidRPr="00525675">
        <w:rPr>
          <w:rFonts w:eastAsia="MS Mincho" w:cs="Arial"/>
        </w:rPr>
        <w:t>Hogendoorn</w:t>
      </w:r>
      <w:proofErr w:type="spellEnd"/>
      <w:r w:rsidRPr="00525675">
        <w:rPr>
          <w:rFonts w:eastAsia="MS Mincho" w:cs="Arial"/>
        </w:rPr>
        <w:t xml:space="preserve"> PCW, Mertens F, eds. </w:t>
      </w:r>
      <w:r w:rsidRPr="009A4BFE">
        <w:rPr>
          <w:rFonts w:eastAsia="MS Mincho" w:cs="Arial"/>
          <w:i/>
          <w:iCs/>
        </w:rPr>
        <w:t>WHO Classification of Tumors of Soft Tissue and Bone. 4th ed</w:t>
      </w:r>
      <w:r w:rsidRPr="00525675">
        <w:rPr>
          <w:rFonts w:eastAsia="MS Mincho" w:cs="Arial"/>
        </w:rPr>
        <w:t>. Geneva, Switzerland; WHO Press; 2013.</w:t>
      </w:r>
    </w:p>
    <w:p w14:paraId="23FD91B9" w14:textId="77777777" w:rsidR="00FF1B19" w:rsidRDefault="00FF1B19" w:rsidP="00B336E3">
      <w:pPr>
        <w:pStyle w:val="Footer"/>
        <w:tabs>
          <w:tab w:val="clear" w:pos="4320"/>
          <w:tab w:val="clear" w:pos="8640"/>
        </w:tabs>
        <w:rPr>
          <w:rFonts w:eastAsia="MS Mincho" w:cs="Arial"/>
        </w:rPr>
      </w:pPr>
    </w:p>
    <w:p w14:paraId="51CC351B" w14:textId="77777777" w:rsidR="00F93D3B" w:rsidRPr="009A4BFE" w:rsidRDefault="00EF2323" w:rsidP="00F93D3B">
      <w:pPr>
        <w:rPr>
          <w:rFonts w:cs="Arial"/>
          <w:b/>
          <w:bCs/>
        </w:rPr>
      </w:pPr>
      <w:r>
        <w:rPr>
          <w:rFonts w:cs="Arial"/>
          <w:b/>
          <w:bCs/>
        </w:rPr>
        <w:t>E</w:t>
      </w:r>
      <w:r w:rsidR="00F93D3B" w:rsidRPr="009A4BFE">
        <w:rPr>
          <w:rFonts w:cs="Arial"/>
          <w:b/>
          <w:bCs/>
        </w:rPr>
        <w:t xml:space="preserve">. </w:t>
      </w:r>
      <w:r w:rsidR="00F93D3B">
        <w:rPr>
          <w:rFonts w:cs="Arial"/>
          <w:b/>
          <w:bCs/>
        </w:rPr>
        <w:t xml:space="preserve"> </w:t>
      </w:r>
      <w:r w:rsidR="00F93D3B" w:rsidRPr="009A4BFE">
        <w:rPr>
          <w:rFonts w:cs="Arial"/>
          <w:b/>
          <w:bCs/>
        </w:rPr>
        <w:t>Mitot</w:t>
      </w:r>
      <w:r w:rsidR="00820B30">
        <w:rPr>
          <w:rFonts w:cs="Arial"/>
          <w:b/>
          <w:bCs/>
        </w:rPr>
        <w:t>i</w:t>
      </w:r>
      <w:r w:rsidR="00F93D3B" w:rsidRPr="009A4BFE">
        <w:rPr>
          <w:rFonts w:cs="Arial"/>
          <w:b/>
          <w:bCs/>
        </w:rPr>
        <w:t>c Rate</w:t>
      </w:r>
    </w:p>
    <w:p w14:paraId="221E30EA" w14:textId="77777777" w:rsidR="00F93D3B" w:rsidRDefault="00F93D3B" w:rsidP="00F93D3B">
      <w:pPr>
        <w:rPr>
          <w:rFonts w:cs="Arial"/>
        </w:rPr>
      </w:pPr>
      <w:r w:rsidRPr="00002910">
        <w:rPr>
          <w:rFonts w:cs="Arial"/>
        </w:rPr>
        <w:t xml:space="preserve">Mitotic rate is determined by counting mitotic figures in </w:t>
      </w:r>
      <w:r>
        <w:rPr>
          <w:rFonts w:cs="Arial"/>
        </w:rPr>
        <w:t>10 contiguous high-</w:t>
      </w:r>
      <w:r w:rsidRPr="00002910">
        <w:rPr>
          <w:rFonts w:cs="Arial"/>
        </w:rPr>
        <w:t>power fields</w:t>
      </w:r>
      <w:r>
        <w:rPr>
          <w:rFonts w:cs="Arial"/>
        </w:rPr>
        <w:t xml:space="preserve"> (HPF)</w:t>
      </w:r>
      <w:r w:rsidRPr="00002910">
        <w:rPr>
          <w:rFonts w:cs="Arial"/>
        </w:rPr>
        <w:t xml:space="preserve"> (40x objective), in the most mitotically active area of the tumor, away from areas of necrosis. The area of </w:t>
      </w:r>
      <w:r>
        <w:rPr>
          <w:rFonts w:cs="Arial"/>
        </w:rPr>
        <w:t>1</w:t>
      </w:r>
      <w:r w:rsidRPr="00002910">
        <w:rPr>
          <w:rFonts w:cs="Arial"/>
        </w:rPr>
        <w:t xml:space="preserve"> </w:t>
      </w:r>
      <w:r>
        <w:rPr>
          <w:rFonts w:cs="Arial"/>
        </w:rPr>
        <w:t>HPF</w:t>
      </w:r>
      <w:r w:rsidRPr="00002910">
        <w:rPr>
          <w:rFonts w:cs="Arial"/>
        </w:rPr>
        <w:t xml:space="preserve"> originally used measured 0.1734 mm</w:t>
      </w:r>
      <w:r w:rsidRPr="006A5DEC">
        <w:rPr>
          <w:rFonts w:cs="Arial"/>
          <w:vertAlign w:val="superscript"/>
        </w:rPr>
        <w:t>2</w:t>
      </w:r>
      <w:r w:rsidRPr="00002910">
        <w:rPr>
          <w:rFonts w:cs="Arial"/>
        </w:rPr>
        <w:t xml:space="preserve">. However, the area of </w:t>
      </w:r>
      <w:r>
        <w:rPr>
          <w:rFonts w:cs="Arial"/>
        </w:rPr>
        <w:t>1 HPF</w:t>
      </w:r>
      <w:r w:rsidRPr="00002910">
        <w:rPr>
          <w:rFonts w:cs="Arial"/>
        </w:rPr>
        <w:t xml:space="preserve"> using most modern microscopes with wider 40x lenses will most likely be higher. Pathologists are encouraged to determine the field area of their 40x lenses and divide </w:t>
      </w:r>
      <w:r>
        <w:rPr>
          <w:rFonts w:cs="Arial"/>
        </w:rPr>
        <w:t xml:space="preserve">0.1734 by </w:t>
      </w:r>
      <w:r w:rsidRPr="00002910">
        <w:rPr>
          <w:rFonts w:cs="Arial"/>
        </w:rPr>
        <w:t xml:space="preserve">the obtained </w:t>
      </w:r>
      <w:r>
        <w:rPr>
          <w:rFonts w:cs="Arial"/>
        </w:rPr>
        <w:t xml:space="preserve">field area </w:t>
      </w:r>
      <w:r w:rsidRPr="00002910">
        <w:rPr>
          <w:rFonts w:cs="Arial"/>
        </w:rPr>
        <w:t xml:space="preserve">to obtain a conversion factor.  The number of mitotic figures in 10 </w:t>
      </w:r>
      <w:r>
        <w:rPr>
          <w:rFonts w:cs="Arial"/>
        </w:rPr>
        <w:t>HPF</w:t>
      </w:r>
      <w:r w:rsidRPr="00002910">
        <w:rPr>
          <w:rFonts w:cs="Arial"/>
        </w:rPr>
        <w:t xml:space="preserve"> multiplied by the</w:t>
      </w:r>
      <w:r>
        <w:rPr>
          <w:rFonts w:cs="Arial"/>
        </w:rPr>
        <w:t xml:space="preserve"> obtained </w:t>
      </w:r>
      <w:r w:rsidRPr="00002910">
        <w:rPr>
          <w:rFonts w:cs="Arial"/>
        </w:rPr>
        <w:t xml:space="preserve">conversion factor and rounded to the nearest whole number should be used for </w:t>
      </w:r>
      <w:r>
        <w:rPr>
          <w:rFonts w:cs="Arial"/>
        </w:rPr>
        <w:t>reporting</w:t>
      </w:r>
      <w:r w:rsidRPr="00002910">
        <w:rPr>
          <w:rFonts w:cs="Arial"/>
        </w:rPr>
        <w:t xml:space="preserve"> purposes.</w:t>
      </w:r>
    </w:p>
    <w:p w14:paraId="7B474E41" w14:textId="77777777" w:rsidR="00525675" w:rsidRPr="00845FBC" w:rsidRDefault="00525675" w:rsidP="00B336E3">
      <w:pPr>
        <w:pStyle w:val="Footer"/>
        <w:tabs>
          <w:tab w:val="clear" w:pos="4320"/>
          <w:tab w:val="clear" w:pos="8640"/>
        </w:tabs>
        <w:rPr>
          <w:rFonts w:eastAsia="MS Mincho" w:cs="Arial"/>
        </w:rPr>
      </w:pPr>
    </w:p>
    <w:p w14:paraId="79921E3A" w14:textId="10F6DDC2" w:rsidR="00B336E3" w:rsidRPr="00845FBC" w:rsidRDefault="00EF2323" w:rsidP="00B336E3">
      <w:pPr>
        <w:pStyle w:val="Heading2"/>
        <w:rPr>
          <w:rFonts w:cs="Arial"/>
        </w:rPr>
      </w:pPr>
      <w:r>
        <w:rPr>
          <w:rFonts w:cs="Arial"/>
        </w:rPr>
        <w:t>F</w:t>
      </w:r>
      <w:r w:rsidR="00B336E3" w:rsidRPr="00845FBC">
        <w:rPr>
          <w:rFonts w:cs="Arial"/>
        </w:rPr>
        <w:t>.</w:t>
      </w:r>
      <w:r w:rsidR="00B336E3" w:rsidRPr="00845FBC">
        <w:rPr>
          <w:rFonts w:cs="Arial"/>
        </w:rPr>
        <w:tab/>
        <w:t>Grading</w:t>
      </w:r>
    </w:p>
    <w:p w14:paraId="759E98C5" w14:textId="2464639F" w:rsidR="00CB2F77" w:rsidRPr="00845FBC" w:rsidRDefault="00B336E3" w:rsidP="00B336E3">
      <w:pPr>
        <w:rPr>
          <w:rFonts w:cs="Arial"/>
        </w:rPr>
      </w:pPr>
      <w:r w:rsidRPr="00845FBC">
        <w:rPr>
          <w:rFonts w:cs="Arial"/>
        </w:rPr>
        <w:t xml:space="preserve">The grading of bone tumors is largely driven by the histologic diagnosis, and traditionally grading has been based on the system advocated by </w:t>
      </w:r>
      <w:proofErr w:type="spellStart"/>
      <w:r w:rsidRPr="00845FBC">
        <w:rPr>
          <w:rFonts w:cs="Arial"/>
        </w:rPr>
        <w:t>Broders</w:t>
      </w:r>
      <w:proofErr w:type="spellEnd"/>
      <w:r w:rsidRPr="00845FBC">
        <w:rPr>
          <w:rFonts w:cs="Arial"/>
        </w:rPr>
        <w:t>, which assesses cellularity and nuclear features/degree of anaplasia.</w:t>
      </w:r>
      <w:r w:rsidR="00DC1132">
        <w:rPr>
          <w:rFonts w:cs="Arial"/>
          <w:vertAlign w:val="superscript"/>
        </w:rPr>
        <w:t>1</w:t>
      </w:r>
      <w:r w:rsidRPr="00845FBC">
        <w:rPr>
          <w:rFonts w:cs="Arial"/>
        </w:rPr>
        <w:t xml:space="preserve"> The </w:t>
      </w:r>
      <w:r w:rsidR="00DA1119" w:rsidRPr="00845FBC">
        <w:rPr>
          <w:rFonts w:cs="Arial"/>
        </w:rPr>
        <w:t>eight</w:t>
      </w:r>
      <w:r w:rsidR="003F5BDF">
        <w:rPr>
          <w:rFonts w:cs="Arial"/>
        </w:rPr>
        <w:t>h</w:t>
      </w:r>
      <w:r w:rsidR="00DA1119" w:rsidRPr="00845FBC">
        <w:rPr>
          <w:rFonts w:cs="Arial"/>
        </w:rPr>
        <w:t xml:space="preserve"> </w:t>
      </w:r>
      <w:r w:rsidRPr="00845FBC">
        <w:rPr>
          <w:rFonts w:cs="Arial"/>
        </w:rPr>
        <w:t xml:space="preserve">edition of the </w:t>
      </w:r>
      <w:r w:rsidRPr="00845FBC">
        <w:rPr>
          <w:rFonts w:cs="Arial"/>
          <w:i/>
        </w:rPr>
        <w:t>AJCC Cancer Staging Manual</w:t>
      </w:r>
      <w:r w:rsidRPr="00845FBC">
        <w:rPr>
          <w:rFonts w:cs="Arial"/>
        </w:rPr>
        <w:t xml:space="preserve"> recommends a </w:t>
      </w:r>
      <w:r w:rsidR="00DD7C11">
        <w:rPr>
          <w:rFonts w:cs="Arial"/>
        </w:rPr>
        <w:t>2</w:t>
      </w:r>
      <w:r w:rsidR="00DA1119" w:rsidRPr="00845FBC">
        <w:rPr>
          <w:rFonts w:cs="Arial"/>
        </w:rPr>
        <w:t xml:space="preserve">-tiered </w:t>
      </w:r>
      <w:r w:rsidRPr="00845FBC">
        <w:rPr>
          <w:rFonts w:cs="Arial"/>
        </w:rPr>
        <w:t>system</w:t>
      </w:r>
      <w:r w:rsidR="00CB2F77" w:rsidRPr="00845FBC">
        <w:rPr>
          <w:rFonts w:cs="Arial"/>
        </w:rPr>
        <w:t xml:space="preserve"> (low vs high</w:t>
      </w:r>
      <w:r w:rsidR="00845FBC">
        <w:rPr>
          <w:rFonts w:cs="Arial"/>
        </w:rPr>
        <w:t xml:space="preserve"> </w:t>
      </w:r>
      <w:r w:rsidR="00CB2F77" w:rsidRPr="00845FBC">
        <w:rPr>
          <w:rFonts w:cs="Arial"/>
        </w:rPr>
        <w:t xml:space="preserve">grade) </w:t>
      </w:r>
      <w:r w:rsidR="00DA1119" w:rsidRPr="00845FBC">
        <w:rPr>
          <w:rFonts w:cs="Arial"/>
        </w:rPr>
        <w:t xml:space="preserve">for </w:t>
      </w:r>
      <w:r w:rsidR="00CB2F77" w:rsidRPr="00845FBC">
        <w:rPr>
          <w:rFonts w:cs="Arial"/>
        </w:rPr>
        <w:t xml:space="preserve">recording </w:t>
      </w:r>
      <w:r w:rsidR="00DA1119" w:rsidRPr="00845FBC">
        <w:rPr>
          <w:rFonts w:cs="Arial"/>
        </w:rPr>
        <w:t>grading</w:t>
      </w:r>
      <w:r w:rsidRPr="00845FBC">
        <w:rPr>
          <w:rFonts w:cs="Arial"/>
        </w:rPr>
        <w:t>.</w:t>
      </w:r>
      <w:r w:rsidR="00DC1132">
        <w:rPr>
          <w:rFonts w:cs="Arial"/>
          <w:vertAlign w:val="superscript"/>
        </w:rPr>
        <w:t>2</w:t>
      </w:r>
      <w:r w:rsidRPr="00845FBC">
        <w:rPr>
          <w:rFonts w:cs="Arial"/>
        </w:rPr>
        <w:t xml:space="preserve"> </w:t>
      </w:r>
      <w:r w:rsidR="00CB2F77" w:rsidRPr="00845FBC">
        <w:rPr>
          <w:rFonts w:cs="Arial"/>
        </w:rPr>
        <w:t xml:space="preserve">Histologic grading uses a </w:t>
      </w:r>
      <w:r w:rsidR="00DD7C11">
        <w:rPr>
          <w:rFonts w:cs="Arial"/>
        </w:rPr>
        <w:t>3</w:t>
      </w:r>
      <w:r w:rsidR="00CB2F77" w:rsidRPr="00845FBC">
        <w:rPr>
          <w:rFonts w:cs="Arial"/>
        </w:rPr>
        <w:t xml:space="preserve">-tiered system: </w:t>
      </w:r>
      <w:r w:rsidRPr="00845FBC">
        <w:rPr>
          <w:rFonts w:cs="Arial"/>
        </w:rPr>
        <w:t>G1</w:t>
      </w:r>
      <w:r w:rsidR="00DD7C11">
        <w:rPr>
          <w:rFonts w:cs="Arial"/>
        </w:rPr>
        <w:t xml:space="preserve"> </w:t>
      </w:r>
      <w:r w:rsidR="00CB2F77" w:rsidRPr="00845FBC">
        <w:rPr>
          <w:rFonts w:cs="Arial"/>
        </w:rPr>
        <w:t xml:space="preserve">is considered </w:t>
      </w:r>
      <w:r w:rsidRPr="00845FBC">
        <w:rPr>
          <w:rFonts w:cs="Arial"/>
        </w:rPr>
        <w:t>low grade</w:t>
      </w:r>
      <w:r w:rsidR="00CB2F77" w:rsidRPr="00845FBC">
        <w:rPr>
          <w:rFonts w:cs="Arial"/>
        </w:rPr>
        <w:t>,</w:t>
      </w:r>
      <w:r w:rsidRPr="00845FBC">
        <w:rPr>
          <w:rFonts w:cs="Arial"/>
        </w:rPr>
        <w:t xml:space="preserve"> and </w:t>
      </w:r>
      <w:r w:rsidR="00CB2F77" w:rsidRPr="00845FBC">
        <w:rPr>
          <w:rFonts w:cs="Arial"/>
        </w:rPr>
        <w:t xml:space="preserve">G2 and </w:t>
      </w:r>
      <w:r w:rsidRPr="00845FBC">
        <w:rPr>
          <w:rFonts w:cs="Arial"/>
        </w:rPr>
        <w:t xml:space="preserve">G3 </w:t>
      </w:r>
      <w:r w:rsidR="00CB2F77" w:rsidRPr="00845FBC">
        <w:rPr>
          <w:rFonts w:cs="Arial"/>
        </w:rPr>
        <w:t xml:space="preserve">are grouped together as </w:t>
      </w:r>
      <w:r w:rsidRPr="00845FBC">
        <w:rPr>
          <w:rFonts w:cs="Arial"/>
        </w:rPr>
        <w:t>high grade</w:t>
      </w:r>
      <w:r w:rsidR="00CB2F77" w:rsidRPr="00845FBC">
        <w:rPr>
          <w:rFonts w:cs="Arial"/>
        </w:rPr>
        <w:t xml:space="preserve"> for biological grading</w:t>
      </w:r>
      <w:r w:rsidRPr="00845FBC">
        <w:rPr>
          <w:rFonts w:cs="Arial"/>
        </w:rPr>
        <w:t xml:space="preserve">. However, we advocate a more pragmatic approach to grading aggressive and malignant primary tumors of bone. </w:t>
      </w:r>
    </w:p>
    <w:p w14:paraId="6057A797" w14:textId="77777777" w:rsidR="00CB2F77" w:rsidRPr="00845FBC" w:rsidRDefault="00CB2F77" w:rsidP="00B336E3">
      <w:pPr>
        <w:rPr>
          <w:rFonts w:cs="Arial"/>
        </w:rPr>
      </w:pPr>
    </w:p>
    <w:p w14:paraId="1DC52699" w14:textId="77777777" w:rsidR="00B336E3" w:rsidRPr="00845FBC" w:rsidRDefault="00B336E3" w:rsidP="00B336E3">
      <w:pPr>
        <w:rPr>
          <w:rFonts w:cs="Arial"/>
        </w:rPr>
      </w:pPr>
      <w:r w:rsidRPr="00845FBC">
        <w:rPr>
          <w:rFonts w:cs="Arial"/>
        </w:rPr>
        <w:t xml:space="preserve">Two bone tumors that are locally aggressive and metastasize infrequently, and thus are usually low grade, are low-grade central osteosarcoma and </w:t>
      </w:r>
      <w:proofErr w:type="spellStart"/>
      <w:r w:rsidRPr="00845FBC">
        <w:rPr>
          <w:rFonts w:cs="Arial"/>
        </w:rPr>
        <w:t>parosteal</w:t>
      </w:r>
      <w:proofErr w:type="spellEnd"/>
      <w:r w:rsidRPr="00845FBC">
        <w:rPr>
          <w:rFonts w:cs="Arial"/>
        </w:rPr>
        <w:t xml:space="preserve"> osteosarcoma. Periosteal osteosarcoma is generally regarded as a grade 2 osteosarcoma. Primary bone tumors that are generally high grade include malignant giant cell tumor, Ewing sarcoma, angiosarcoma, dedifferentiated chondrosarcoma, conventional osteosarcoma, </w:t>
      </w:r>
      <w:proofErr w:type="spellStart"/>
      <w:r w:rsidRPr="00845FBC">
        <w:rPr>
          <w:rFonts w:cs="Arial"/>
        </w:rPr>
        <w:t>telangiectactic</w:t>
      </w:r>
      <w:proofErr w:type="spellEnd"/>
      <w:r w:rsidRPr="00845FBC">
        <w:rPr>
          <w:rFonts w:cs="Arial"/>
        </w:rPr>
        <w:t xml:space="preserve"> osteosarcoma, small cell osteosarcoma, secondary osteosarcoma, and high-grade surface osteosarcoma.</w:t>
      </w:r>
    </w:p>
    <w:p w14:paraId="2F666DC9" w14:textId="77777777" w:rsidR="00B336E3" w:rsidRPr="00845FBC" w:rsidRDefault="00B336E3" w:rsidP="00B336E3">
      <w:pPr>
        <w:rPr>
          <w:rFonts w:cs="Arial"/>
        </w:rPr>
      </w:pPr>
    </w:p>
    <w:p w14:paraId="078E8653" w14:textId="77777777" w:rsidR="00CB2F77" w:rsidRPr="00845FBC" w:rsidRDefault="00B336E3" w:rsidP="00B336E3">
      <w:pPr>
        <w:rPr>
          <w:rFonts w:cs="Arial"/>
        </w:rPr>
      </w:pPr>
      <w:r w:rsidRPr="00845FBC">
        <w:rPr>
          <w:rFonts w:cs="Arial"/>
        </w:rPr>
        <w:t>Grading of conventional chondrosarcoma is based on cellularity, cytologic atypia, and mitotic figures. Grade 1 (low-grade) chondrosarcoma is hypocellular and similar histologically to enchondroma. Grade 2 (</w:t>
      </w:r>
      <w:proofErr w:type="gramStart"/>
      <w:r w:rsidRPr="00845FBC">
        <w:rPr>
          <w:rFonts w:cs="Arial"/>
        </w:rPr>
        <w:t>intermediate-grade</w:t>
      </w:r>
      <w:proofErr w:type="gramEnd"/>
      <w:r w:rsidRPr="00845FBC">
        <w:rPr>
          <w:rFonts w:cs="Arial"/>
        </w:rPr>
        <w:t xml:space="preserve">) chondrosarcoma is more cellular than grade 1 chondrosarcoma; has more cytologic atypia, greater </w:t>
      </w:r>
      <w:proofErr w:type="spellStart"/>
      <w:r w:rsidRPr="00845FBC">
        <w:rPr>
          <w:rFonts w:cs="Arial"/>
        </w:rPr>
        <w:t>hyperchromasia</w:t>
      </w:r>
      <w:proofErr w:type="spellEnd"/>
      <w:r w:rsidRPr="00845FBC">
        <w:rPr>
          <w:rFonts w:cs="Arial"/>
        </w:rPr>
        <w:t xml:space="preserve"> and nuclear size; or has extensive myxoid stroma. Grade 3 (high-grade) chondrosarcoma is hypercellular, pleomorphic, and contains prominent mitotic activity. </w:t>
      </w:r>
    </w:p>
    <w:p w14:paraId="01C3CA84" w14:textId="77777777" w:rsidR="00CB2F77" w:rsidRPr="00845FBC" w:rsidRDefault="00CB2F77" w:rsidP="00B336E3">
      <w:pPr>
        <w:rPr>
          <w:rFonts w:cs="Arial"/>
        </w:rPr>
      </w:pPr>
    </w:p>
    <w:p w14:paraId="4F3CCB72" w14:textId="74E846CE" w:rsidR="00B336E3" w:rsidRPr="00845FBC" w:rsidRDefault="00B336E3" w:rsidP="00B336E3">
      <w:pPr>
        <w:rPr>
          <w:rFonts w:cs="Arial"/>
        </w:rPr>
      </w:pPr>
      <w:r w:rsidRPr="00845FBC">
        <w:rPr>
          <w:rFonts w:cs="Arial"/>
        </w:rPr>
        <w:t xml:space="preserve">Mesenchymal chondrosarcoma, fibrosarcoma, leiomyosarcoma, liposarcoma, </w:t>
      </w:r>
      <w:r w:rsidR="004A4D28" w:rsidRPr="00845FBC">
        <w:rPr>
          <w:rFonts w:cs="Arial"/>
        </w:rPr>
        <w:t xml:space="preserve">undifferentiated high-grade </w:t>
      </w:r>
      <w:r w:rsidRPr="00845FBC">
        <w:rPr>
          <w:rFonts w:cs="Arial"/>
        </w:rPr>
        <w:t>pleomorphic sarcoma</w:t>
      </w:r>
      <w:r w:rsidR="004A4D28" w:rsidRPr="00845FBC">
        <w:rPr>
          <w:rFonts w:cs="Arial"/>
        </w:rPr>
        <w:t xml:space="preserve"> of bone</w:t>
      </w:r>
      <w:r w:rsidRPr="00845FBC">
        <w:rPr>
          <w:rFonts w:cs="Arial"/>
        </w:rPr>
        <w:t xml:space="preserve"> and other “soft tissue-type” sarcomas that rarely occur in bone can be graded according to the French Federation of Cancer Centers Sarcoma Group (FNCLCC) grading system</w:t>
      </w:r>
      <w:r w:rsidR="00DC1132">
        <w:rPr>
          <w:rFonts w:cs="Arial"/>
          <w:vertAlign w:val="superscript"/>
        </w:rPr>
        <w:t>3</w:t>
      </w:r>
      <w:r w:rsidRPr="00845FBC">
        <w:rPr>
          <w:rFonts w:cs="Arial"/>
        </w:rPr>
        <w:t xml:space="preserve"> (see College of American Pathologists protocol for soft tissue tumors</w:t>
      </w:r>
      <w:r w:rsidR="00DC1132">
        <w:rPr>
          <w:rFonts w:cs="Arial"/>
          <w:vertAlign w:val="superscript"/>
        </w:rPr>
        <w:t>4</w:t>
      </w:r>
      <w:r w:rsidRPr="00845FBC">
        <w:rPr>
          <w:rFonts w:cs="Arial"/>
        </w:rPr>
        <w:t xml:space="preserve">). </w:t>
      </w:r>
    </w:p>
    <w:p w14:paraId="6A55B5AC" w14:textId="77777777" w:rsidR="00B336E3" w:rsidRPr="00845FBC" w:rsidRDefault="00B336E3" w:rsidP="00B336E3">
      <w:pPr>
        <w:rPr>
          <w:rFonts w:cs="Arial"/>
        </w:rPr>
      </w:pPr>
    </w:p>
    <w:p w14:paraId="75276F7B" w14:textId="77777777" w:rsidR="00B336E3" w:rsidRPr="00845FBC" w:rsidRDefault="00B336E3" w:rsidP="00B336E3">
      <w:pPr>
        <w:rPr>
          <w:rFonts w:cs="Arial"/>
        </w:rPr>
      </w:pPr>
      <w:r w:rsidRPr="00845FBC">
        <w:rPr>
          <w:rFonts w:cs="Arial"/>
        </w:rPr>
        <w:t>Chordomas are locally aggressive lesions with a propensity for metastasis late in their clinical course and are not graded. Adamantinomas tend to have a low-grade clinical course, but this is variable. Fortunately, they are very rare. According to the WHO classification of tumors of bone, adamantinomas are considered low grade.</w:t>
      </w:r>
    </w:p>
    <w:p w14:paraId="04ECC663" w14:textId="77777777" w:rsidR="00B336E3" w:rsidRPr="00845FBC" w:rsidRDefault="00B336E3" w:rsidP="00B336E3">
      <w:pPr>
        <w:rPr>
          <w:rFonts w:cs="Arial"/>
        </w:rPr>
      </w:pPr>
    </w:p>
    <w:p w14:paraId="0A836B75" w14:textId="77777777" w:rsidR="00B336E3" w:rsidRPr="009A4BFE" w:rsidRDefault="00B336E3" w:rsidP="00B336E3">
      <w:pPr>
        <w:pStyle w:val="Heading2"/>
        <w:rPr>
          <w:rFonts w:cs="Arial"/>
          <w:b w:val="0"/>
          <w:bCs/>
          <w:u w:val="single"/>
        </w:rPr>
      </w:pPr>
      <w:r w:rsidRPr="009A4BFE">
        <w:rPr>
          <w:rFonts w:cs="Arial"/>
          <w:b w:val="0"/>
          <w:bCs/>
          <w:u w:val="single"/>
        </w:rPr>
        <w:t>Bone Tumor Grades (Summary)</w:t>
      </w:r>
    </w:p>
    <w:p w14:paraId="6EBE106A" w14:textId="77777777" w:rsidR="00B336E3" w:rsidRPr="00845FBC" w:rsidRDefault="00B336E3" w:rsidP="00B336E3">
      <w:pPr>
        <w:rPr>
          <w:rFonts w:cs="Arial"/>
        </w:rPr>
      </w:pPr>
    </w:p>
    <w:p w14:paraId="0C889318" w14:textId="77777777" w:rsidR="00B336E3" w:rsidRPr="00845FBC" w:rsidRDefault="00B336E3" w:rsidP="00B336E3">
      <w:pPr>
        <w:pStyle w:val="Heading3"/>
        <w:rPr>
          <w:rFonts w:cs="Arial"/>
        </w:rPr>
      </w:pPr>
      <w:r w:rsidRPr="00845FBC">
        <w:rPr>
          <w:rFonts w:cs="Arial"/>
        </w:rPr>
        <w:t>Grade 1 (Low Grade)</w:t>
      </w:r>
    </w:p>
    <w:p w14:paraId="6E7FB870" w14:textId="77777777" w:rsidR="00B336E3" w:rsidRPr="00845FBC" w:rsidRDefault="00B336E3" w:rsidP="00B336E3">
      <w:pPr>
        <w:pStyle w:val="Footer"/>
        <w:tabs>
          <w:tab w:val="clear" w:pos="4320"/>
          <w:tab w:val="clear" w:pos="8640"/>
        </w:tabs>
        <w:rPr>
          <w:rFonts w:cs="Arial"/>
        </w:rPr>
      </w:pPr>
      <w:r w:rsidRPr="00845FBC">
        <w:rPr>
          <w:rFonts w:cs="Arial"/>
        </w:rPr>
        <w:t xml:space="preserve">Low-grade </w:t>
      </w:r>
      <w:r w:rsidR="00B01E4E" w:rsidRPr="00845FBC">
        <w:rPr>
          <w:rFonts w:cs="Arial"/>
        </w:rPr>
        <w:t>intramedullary (</w:t>
      </w:r>
      <w:r w:rsidRPr="00845FBC">
        <w:rPr>
          <w:rFonts w:cs="Arial"/>
        </w:rPr>
        <w:t>central</w:t>
      </w:r>
      <w:r w:rsidR="00B01E4E" w:rsidRPr="00845FBC">
        <w:rPr>
          <w:rFonts w:cs="Arial"/>
        </w:rPr>
        <w:t>)</w:t>
      </w:r>
      <w:r w:rsidRPr="00845FBC">
        <w:rPr>
          <w:rFonts w:cs="Arial"/>
        </w:rPr>
        <w:t xml:space="preserve"> osteosarcoma</w:t>
      </w:r>
    </w:p>
    <w:p w14:paraId="34D38DC9" w14:textId="77777777" w:rsidR="00B336E3" w:rsidRPr="00845FBC" w:rsidRDefault="00B336E3" w:rsidP="00B336E3">
      <w:pPr>
        <w:rPr>
          <w:rFonts w:cs="Arial"/>
        </w:rPr>
      </w:pPr>
      <w:proofErr w:type="spellStart"/>
      <w:r w:rsidRPr="00845FBC">
        <w:rPr>
          <w:rFonts w:cs="Arial"/>
        </w:rPr>
        <w:t>Parosteal</w:t>
      </w:r>
      <w:proofErr w:type="spellEnd"/>
      <w:r w:rsidRPr="00845FBC">
        <w:rPr>
          <w:rFonts w:cs="Arial"/>
        </w:rPr>
        <w:t xml:space="preserve"> osteosarcoma</w:t>
      </w:r>
    </w:p>
    <w:p w14:paraId="32F31D7B" w14:textId="77777777" w:rsidR="00B01E4E" w:rsidRPr="00845FBC" w:rsidRDefault="00B01E4E" w:rsidP="00B01E4E">
      <w:pPr>
        <w:rPr>
          <w:rFonts w:cs="Arial"/>
        </w:rPr>
      </w:pPr>
      <w:r w:rsidRPr="00845FBC">
        <w:rPr>
          <w:rFonts w:cs="Arial"/>
        </w:rPr>
        <w:t>Grade I chondrosarcoma</w:t>
      </w:r>
    </w:p>
    <w:p w14:paraId="33BEB9C5" w14:textId="77777777" w:rsidR="00B01E4E" w:rsidRPr="00845FBC" w:rsidRDefault="00B01E4E" w:rsidP="00B01E4E">
      <w:pPr>
        <w:rPr>
          <w:rFonts w:cs="Arial"/>
        </w:rPr>
      </w:pPr>
      <w:r w:rsidRPr="00845FBC">
        <w:rPr>
          <w:rFonts w:cs="Arial"/>
        </w:rPr>
        <w:t>Clear cell chondrosarcoma</w:t>
      </w:r>
    </w:p>
    <w:p w14:paraId="36E99C59" w14:textId="77777777" w:rsidR="00B01E4E" w:rsidRPr="00845FBC" w:rsidRDefault="00B01E4E" w:rsidP="00B01E4E">
      <w:pPr>
        <w:rPr>
          <w:rFonts w:cs="Arial"/>
        </w:rPr>
      </w:pPr>
    </w:p>
    <w:p w14:paraId="3B1FDDBF" w14:textId="77777777" w:rsidR="00B336E3" w:rsidRPr="00845FBC" w:rsidRDefault="00B01E4E" w:rsidP="00B01E4E">
      <w:pPr>
        <w:pStyle w:val="Heading3"/>
        <w:rPr>
          <w:rFonts w:cs="Arial"/>
        </w:rPr>
      </w:pPr>
      <w:r w:rsidRPr="00845FBC">
        <w:rPr>
          <w:rFonts w:cs="Arial"/>
        </w:rPr>
        <w:t>Grade 2</w:t>
      </w:r>
    </w:p>
    <w:p w14:paraId="508AB2F1" w14:textId="77777777" w:rsidR="00B336E3" w:rsidRPr="00845FBC" w:rsidRDefault="00B336E3" w:rsidP="00B336E3">
      <w:pPr>
        <w:rPr>
          <w:rFonts w:cs="Arial"/>
        </w:rPr>
      </w:pPr>
      <w:r w:rsidRPr="00845FBC">
        <w:rPr>
          <w:rFonts w:cs="Arial"/>
        </w:rPr>
        <w:t>Periosteal osteosarcoma</w:t>
      </w:r>
    </w:p>
    <w:p w14:paraId="73FF971F" w14:textId="77777777" w:rsidR="00B01E4E" w:rsidRPr="00845FBC" w:rsidRDefault="00B01E4E" w:rsidP="00B336E3">
      <w:pPr>
        <w:rPr>
          <w:rFonts w:cs="Arial"/>
        </w:rPr>
      </w:pPr>
      <w:r w:rsidRPr="00845FBC">
        <w:rPr>
          <w:rFonts w:cs="Arial"/>
        </w:rPr>
        <w:t>Grade II chondrosarcoma</w:t>
      </w:r>
    </w:p>
    <w:p w14:paraId="2F557CB8" w14:textId="77777777" w:rsidR="00B01E4E" w:rsidRPr="00845FBC" w:rsidRDefault="00B01E4E" w:rsidP="00B336E3">
      <w:pPr>
        <w:rPr>
          <w:rFonts w:cs="Arial"/>
        </w:rPr>
      </w:pPr>
      <w:r w:rsidRPr="00845FBC">
        <w:rPr>
          <w:rFonts w:cs="Arial"/>
        </w:rPr>
        <w:t>Classic adamantinoma</w:t>
      </w:r>
    </w:p>
    <w:p w14:paraId="7D9E6D71" w14:textId="77777777" w:rsidR="00B01E4E" w:rsidRPr="00845FBC" w:rsidRDefault="00B01E4E" w:rsidP="00B336E3">
      <w:pPr>
        <w:rPr>
          <w:rFonts w:cs="Arial"/>
        </w:rPr>
      </w:pPr>
      <w:r w:rsidRPr="00845FBC">
        <w:rPr>
          <w:rFonts w:cs="Arial"/>
        </w:rPr>
        <w:t>Chordoma</w:t>
      </w:r>
    </w:p>
    <w:p w14:paraId="41D976A5" w14:textId="77777777" w:rsidR="00B336E3" w:rsidRPr="00845FBC" w:rsidRDefault="00B336E3" w:rsidP="00B336E3">
      <w:pPr>
        <w:rPr>
          <w:rFonts w:cs="Arial"/>
        </w:rPr>
      </w:pPr>
    </w:p>
    <w:p w14:paraId="4EA975AD" w14:textId="77777777" w:rsidR="00B336E3" w:rsidRPr="00845FBC" w:rsidRDefault="00B336E3" w:rsidP="00B336E3">
      <w:pPr>
        <w:pStyle w:val="Heading3"/>
        <w:rPr>
          <w:rFonts w:cs="Arial"/>
        </w:rPr>
      </w:pPr>
      <w:r w:rsidRPr="00845FBC">
        <w:rPr>
          <w:rFonts w:cs="Arial"/>
        </w:rPr>
        <w:lastRenderedPageBreak/>
        <w:t>Grade 3 (High Grade)</w:t>
      </w:r>
    </w:p>
    <w:p w14:paraId="5614509A" w14:textId="77777777" w:rsidR="00B336E3" w:rsidRPr="00845FBC" w:rsidRDefault="00B336E3" w:rsidP="00B336E3">
      <w:pPr>
        <w:rPr>
          <w:rFonts w:cs="Arial"/>
        </w:rPr>
      </w:pPr>
      <w:r w:rsidRPr="00845FBC">
        <w:rPr>
          <w:rFonts w:cs="Arial"/>
        </w:rPr>
        <w:t>Ewing sarcoma</w:t>
      </w:r>
    </w:p>
    <w:p w14:paraId="64650D38" w14:textId="77777777" w:rsidR="00B336E3" w:rsidRPr="00845FBC" w:rsidRDefault="00B336E3" w:rsidP="00B336E3">
      <w:pPr>
        <w:rPr>
          <w:rFonts w:cs="Arial"/>
        </w:rPr>
      </w:pPr>
      <w:r w:rsidRPr="00845FBC">
        <w:rPr>
          <w:rFonts w:cs="Arial"/>
        </w:rPr>
        <w:t>Conventional osteosarcoma</w:t>
      </w:r>
    </w:p>
    <w:p w14:paraId="13B8FF0E" w14:textId="77777777" w:rsidR="00B336E3" w:rsidRPr="00845FBC" w:rsidRDefault="00B336E3" w:rsidP="00B336E3">
      <w:pPr>
        <w:rPr>
          <w:rFonts w:cs="Arial"/>
        </w:rPr>
      </w:pPr>
      <w:proofErr w:type="spellStart"/>
      <w:r w:rsidRPr="00845FBC">
        <w:rPr>
          <w:rFonts w:cs="Arial"/>
        </w:rPr>
        <w:t>Telangiectactic</w:t>
      </w:r>
      <w:proofErr w:type="spellEnd"/>
      <w:r w:rsidRPr="00845FBC">
        <w:rPr>
          <w:rFonts w:cs="Arial"/>
        </w:rPr>
        <w:t xml:space="preserve"> osteosarcoma</w:t>
      </w:r>
    </w:p>
    <w:p w14:paraId="3B1D6A2B" w14:textId="77777777" w:rsidR="00B336E3" w:rsidRPr="00845FBC" w:rsidRDefault="00B336E3" w:rsidP="00B336E3">
      <w:pPr>
        <w:rPr>
          <w:rFonts w:cs="Arial"/>
        </w:rPr>
      </w:pPr>
      <w:r w:rsidRPr="00845FBC">
        <w:rPr>
          <w:rFonts w:cs="Arial"/>
        </w:rPr>
        <w:t>Mesenchymal chondrosarcoma</w:t>
      </w:r>
    </w:p>
    <w:p w14:paraId="727EC24B" w14:textId="77777777" w:rsidR="00B336E3" w:rsidRPr="00845FBC" w:rsidRDefault="00B336E3" w:rsidP="00B336E3">
      <w:pPr>
        <w:rPr>
          <w:rFonts w:cs="Arial"/>
        </w:rPr>
      </w:pPr>
      <w:r w:rsidRPr="00845FBC">
        <w:rPr>
          <w:rFonts w:cs="Arial"/>
        </w:rPr>
        <w:t>Small cell osteosarcoma</w:t>
      </w:r>
    </w:p>
    <w:p w14:paraId="03F0ACD0" w14:textId="77777777" w:rsidR="00B336E3" w:rsidRPr="00845FBC" w:rsidRDefault="00B336E3" w:rsidP="00B336E3">
      <w:pPr>
        <w:rPr>
          <w:rFonts w:cs="Arial"/>
        </w:rPr>
      </w:pPr>
      <w:r w:rsidRPr="00845FBC">
        <w:rPr>
          <w:rFonts w:cs="Arial"/>
        </w:rPr>
        <w:t>Secondary osteosarcoma</w:t>
      </w:r>
    </w:p>
    <w:p w14:paraId="43225AE3" w14:textId="77777777" w:rsidR="00B336E3" w:rsidRPr="00845FBC" w:rsidRDefault="00B336E3" w:rsidP="00B336E3">
      <w:pPr>
        <w:rPr>
          <w:rFonts w:cs="Arial"/>
        </w:rPr>
      </w:pPr>
      <w:r w:rsidRPr="00845FBC">
        <w:rPr>
          <w:rFonts w:cs="Arial"/>
        </w:rPr>
        <w:t>High-grade surface osteosarcoma</w:t>
      </w:r>
    </w:p>
    <w:p w14:paraId="1805A091" w14:textId="77777777" w:rsidR="00B336E3" w:rsidRPr="00845FBC" w:rsidRDefault="00B336E3" w:rsidP="00B336E3">
      <w:pPr>
        <w:rPr>
          <w:rFonts w:cs="Arial"/>
        </w:rPr>
      </w:pPr>
      <w:r w:rsidRPr="00845FBC">
        <w:rPr>
          <w:rFonts w:cs="Arial"/>
        </w:rPr>
        <w:t>Dedifferentiated chondrosarcoma</w:t>
      </w:r>
    </w:p>
    <w:p w14:paraId="2AED95F2" w14:textId="77777777" w:rsidR="00B336E3" w:rsidRPr="00845FBC" w:rsidRDefault="00B336E3" w:rsidP="00B336E3">
      <w:pPr>
        <w:rPr>
          <w:rFonts w:cs="Arial"/>
        </w:rPr>
      </w:pPr>
      <w:r w:rsidRPr="00845FBC">
        <w:rPr>
          <w:rFonts w:cs="Arial"/>
        </w:rPr>
        <w:t>Dedifferentiated chordoma</w:t>
      </w:r>
    </w:p>
    <w:p w14:paraId="779E3263" w14:textId="77777777" w:rsidR="00B336E3" w:rsidRPr="00845FBC" w:rsidRDefault="00B01E4E" w:rsidP="00B336E3">
      <w:pPr>
        <w:rPr>
          <w:rFonts w:cs="Arial"/>
          <w:u w:val="single"/>
        </w:rPr>
      </w:pPr>
      <w:r w:rsidRPr="00845FBC">
        <w:rPr>
          <w:rFonts w:cs="Arial"/>
        </w:rPr>
        <w:t>Malignancy in</w:t>
      </w:r>
      <w:r w:rsidR="00B336E3" w:rsidRPr="00845FBC">
        <w:rPr>
          <w:rFonts w:cs="Arial"/>
        </w:rPr>
        <w:t xml:space="preserve"> giant cell tumor</w:t>
      </w:r>
    </w:p>
    <w:p w14:paraId="0AFFF921" w14:textId="77777777" w:rsidR="00B336E3" w:rsidRPr="00845FBC" w:rsidRDefault="00B01E4E" w:rsidP="00B336E3">
      <w:pPr>
        <w:rPr>
          <w:rFonts w:cs="Arial"/>
        </w:rPr>
      </w:pPr>
      <w:r w:rsidRPr="00845FBC">
        <w:rPr>
          <w:rFonts w:cs="Arial"/>
        </w:rPr>
        <w:t>Grade III chondrosarcoma</w:t>
      </w:r>
    </w:p>
    <w:p w14:paraId="19050F87" w14:textId="77777777" w:rsidR="00B336E3" w:rsidRPr="00845FBC" w:rsidRDefault="00B336E3" w:rsidP="00B336E3">
      <w:pPr>
        <w:rPr>
          <w:rFonts w:cs="Arial"/>
        </w:rPr>
      </w:pPr>
      <w:r w:rsidRPr="00845FBC">
        <w:rPr>
          <w:rFonts w:cs="Arial"/>
        </w:rPr>
        <w:t>Soft-tissue type sarcomas (</w:t>
      </w:r>
      <w:proofErr w:type="spellStart"/>
      <w:r w:rsidRPr="00845FBC">
        <w:rPr>
          <w:rFonts w:cs="Arial"/>
        </w:rPr>
        <w:t>eg</w:t>
      </w:r>
      <w:proofErr w:type="spellEnd"/>
      <w:r w:rsidRPr="00845FBC">
        <w:rPr>
          <w:rFonts w:cs="Arial"/>
        </w:rPr>
        <w:t>, leiomyosarcoma)</w:t>
      </w:r>
    </w:p>
    <w:p w14:paraId="72316BC8" w14:textId="77777777" w:rsidR="00B01E4E" w:rsidRPr="00845FBC" w:rsidRDefault="00B01E4E" w:rsidP="00B336E3">
      <w:pPr>
        <w:rPr>
          <w:rFonts w:cs="Arial"/>
        </w:rPr>
      </w:pPr>
      <w:r w:rsidRPr="00845FBC">
        <w:rPr>
          <w:rFonts w:cs="Arial"/>
        </w:rPr>
        <w:t>Undifferentiated high-grade pleomorphic sarcoma</w:t>
      </w:r>
    </w:p>
    <w:p w14:paraId="6D00CB45" w14:textId="77777777" w:rsidR="00B336E3" w:rsidRDefault="00B336E3" w:rsidP="00B336E3">
      <w:pPr>
        <w:rPr>
          <w:rFonts w:cs="Arial"/>
        </w:rPr>
      </w:pPr>
    </w:p>
    <w:p w14:paraId="1E5DFA99" w14:textId="77777777" w:rsidR="00B336E3" w:rsidRPr="009A4BFE" w:rsidRDefault="00B336E3" w:rsidP="00B336E3">
      <w:pPr>
        <w:pStyle w:val="Heading2"/>
        <w:rPr>
          <w:rFonts w:cs="Arial"/>
          <w:b w:val="0"/>
          <w:bCs/>
          <w:u w:val="single"/>
        </w:rPr>
      </w:pPr>
      <w:r w:rsidRPr="009A4BFE">
        <w:rPr>
          <w:rFonts w:cs="Arial"/>
          <w:b w:val="0"/>
          <w:bCs/>
          <w:u w:val="single"/>
        </w:rPr>
        <w:t>TNM Grading</w:t>
      </w:r>
    </w:p>
    <w:p w14:paraId="1663716A" w14:textId="147987C0" w:rsidR="00B336E3" w:rsidRPr="00845FBC" w:rsidRDefault="00B336E3" w:rsidP="00B336E3">
      <w:pPr>
        <w:rPr>
          <w:rFonts w:cs="Arial"/>
          <w:vertAlign w:val="superscript"/>
        </w:rPr>
      </w:pPr>
      <w:r w:rsidRPr="00845FBC">
        <w:rPr>
          <w:rFonts w:cs="Arial"/>
        </w:rPr>
        <w:t xml:space="preserve">The </w:t>
      </w:r>
      <w:r w:rsidR="00845FBC">
        <w:rPr>
          <w:rFonts w:cs="Arial"/>
        </w:rPr>
        <w:t>8th</w:t>
      </w:r>
      <w:r w:rsidR="00CB2F77" w:rsidRPr="00845FBC">
        <w:rPr>
          <w:rFonts w:cs="Arial"/>
        </w:rPr>
        <w:t xml:space="preserve"> </w:t>
      </w:r>
      <w:r w:rsidRPr="00845FBC">
        <w:rPr>
          <w:rFonts w:cs="Arial"/>
        </w:rPr>
        <w:t xml:space="preserve">edition of the American Joint Committee on Cancer (AJCC) and International Union Against Cancer (UICC) staging system for bone tumors includes a </w:t>
      </w:r>
      <w:r w:rsidR="00CB2F77" w:rsidRPr="00845FBC">
        <w:rPr>
          <w:rFonts w:cs="Arial"/>
        </w:rPr>
        <w:t>3</w:t>
      </w:r>
      <w:r w:rsidRPr="00845FBC">
        <w:rPr>
          <w:rFonts w:cs="Arial"/>
        </w:rPr>
        <w:t>-grade system but effectively collapses into high grade and low grade.</w:t>
      </w:r>
      <w:r w:rsidR="001D6B87">
        <w:rPr>
          <w:rFonts w:cs="Arial"/>
          <w:vertAlign w:val="superscript"/>
        </w:rPr>
        <w:t>2</w:t>
      </w:r>
      <w:r w:rsidRPr="00845FBC">
        <w:rPr>
          <w:rFonts w:cs="Arial"/>
          <w:vertAlign w:val="superscript"/>
        </w:rPr>
        <w:t>,</w:t>
      </w:r>
      <w:r w:rsidR="001D6B87">
        <w:rPr>
          <w:rFonts w:cs="Arial"/>
          <w:vertAlign w:val="superscript"/>
        </w:rPr>
        <w:t>5</w:t>
      </w:r>
      <w:r w:rsidRPr="00845FBC">
        <w:rPr>
          <w:rFonts w:cs="Arial"/>
        </w:rPr>
        <w:t xml:space="preserve">  Grading in the TNM grading system is based on differentiation only and does not generally apply to sarcomas.</w:t>
      </w:r>
    </w:p>
    <w:p w14:paraId="00029AF8" w14:textId="77777777" w:rsidR="00B336E3" w:rsidRPr="00845FBC" w:rsidRDefault="00B336E3" w:rsidP="00B336E3">
      <w:pPr>
        <w:rPr>
          <w:rFonts w:eastAsia="MS Mincho" w:cs="Arial"/>
        </w:rPr>
      </w:pPr>
    </w:p>
    <w:p w14:paraId="7EFFDD0E" w14:textId="77777777" w:rsidR="00B336E3" w:rsidRPr="00845FBC" w:rsidRDefault="00B336E3" w:rsidP="00B336E3">
      <w:pPr>
        <w:keepNext/>
        <w:rPr>
          <w:rFonts w:cs="Arial"/>
        </w:rPr>
      </w:pPr>
      <w:r w:rsidRPr="00845FBC">
        <w:rPr>
          <w:rFonts w:cs="Arial"/>
        </w:rPr>
        <w:t>GX</w:t>
      </w:r>
      <w:r w:rsidRPr="00845FBC">
        <w:rPr>
          <w:rFonts w:cs="Arial"/>
        </w:rPr>
        <w:tab/>
        <w:t>Grade cannot be assessed</w:t>
      </w:r>
    </w:p>
    <w:p w14:paraId="38D04E6F" w14:textId="77777777" w:rsidR="00B336E3" w:rsidRPr="00845FBC" w:rsidRDefault="00B336E3" w:rsidP="00B336E3">
      <w:pPr>
        <w:rPr>
          <w:rFonts w:cs="Arial"/>
        </w:rPr>
      </w:pPr>
      <w:r w:rsidRPr="00845FBC">
        <w:rPr>
          <w:rFonts w:cs="Arial"/>
        </w:rPr>
        <w:t>G1</w:t>
      </w:r>
      <w:r w:rsidRPr="00845FBC">
        <w:rPr>
          <w:rFonts w:cs="Arial"/>
        </w:rPr>
        <w:tab/>
        <w:t>Well differentiated</w:t>
      </w:r>
      <w:r w:rsidR="00CB2F77" w:rsidRPr="00845FBC">
        <w:rPr>
          <w:rFonts w:cs="Arial"/>
        </w:rPr>
        <w:t>, low grade</w:t>
      </w:r>
    </w:p>
    <w:p w14:paraId="2A5DD2C4" w14:textId="77777777" w:rsidR="00B336E3" w:rsidRPr="00845FBC" w:rsidRDefault="00B336E3" w:rsidP="00B336E3">
      <w:pPr>
        <w:rPr>
          <w:rFonts w:cs="Arial"/>
        </w:rPr>
      </w:pPr>
      <w:r w:rsidRPr="00845FBC">
        <w:rPr>
          <w:rFonts w:cs="Arial"/>
        </w:rPr>
        <w:t>G2</w:t>
      </w:r>
      <w:r w:rsidRPr="00845FBC">
        <w:rPr>
          <w:rFonts w:cs="Arial"/>
        </w:rPr>
        <w:tab/>
        <w:t>Moderately differentiated</w:t>
      </w:r>
      <w:r w:rsidR="00CB2F77" w:rsidRPr="00845FBC">
        <w:rPr>
          <w:rFonts w:cs="Arial"/>
        </w:rPr>
        <w:t>, high grade</w:t>
      </w:r>
    </w:p>
    <w:p w14:paraId="6C6B65E5" w14:textId="77777777" w:rsidR="00B336E3" w:rsidRPr="00845FBC" w:rsidRDefault="00B336E3" w:rsidP="00B336E3">
      <w:pPr>
        <w:rPr>
          <w:rFonts w:cs="Arial"/>
        </w:rPr>
      </w:pPr>
      <w:r w:rsidRPr="00845FBC">
        <w:rPr>
          <w:rFonts w:cs="Arial"/>
        </w:rPr>
        <w:t>G3</w:t>
      </w:r>
      <w:r w:rsidRPr="00845FBC">
        <w:rPr>
          <w:rFonts w:cs="Arial"/>
        </w:rPr>
        <w:tab/>
        <w:t>Poorly differentiated</w:t>
      </w:r>
      <w:r w:rsidR="00CB2F77" w:rsidRPr="00845FBC">
        <w:rPr>
          <w:rFonts w:cs="Arial"/>
        </w:rPr>
        <w:t>, high grade</w:t>
      </w:r>
      <w:r w:rsidRPr="00845FBC">
        <w:rPr>
          <w:rFonts w:cs="Arial"/>
        </w:rPr>
        <w:t xml:space="preserve"> </w:t>
      </w:r>
    </w:p>
    <w:p w14:paraId="6F30E0F9" w14:textId="77777777" w:rsidR="00B336E3" w:rsidRPr="00845FBC" w:rsidRDefault="00B336E3" w:rsidP="00B336E3">
      <w:pPr>
        <w:rPr>
          <w:rFonts w:cs="Arial"/>
        </w:rPr>
      </w:pPr>
    </w:p>
    <w:p w14:paraId="4133A81E" w14:textId="2788875B" w:rsidR="00B336E3" w:rsidRPr="00845FBC" w:rsidRDefault="00B336E3" w:rsidP="00B336E3">
      <w:pPr>
        <w:rPr>
          <w:rFonts w:cs="Arial"/>
        </w:rPr>
      </w:pPr>
      <w:r w:rsidRPr="00845FBC">
        <w:rPr>
          <w:rFonts w:cs="Arial"/>
        </w:rPr>
        <w:t xml:space="preserve">For purposes of using the AJCC staging system (see note </w:t>
      </w:r>
      <w:r w:rsidR="00CB2F77" w:rsidRPr="00845FBC">
        <w:rPr>
          <w:rFonts w:cs="Arial"/>
        </w:rPr>
        <w:t>J</w:t>
      </w:r>
      <w:r w:rsidRPr="00845FBC">
        <w:rPr>
          <w:rFonts w:cs="Arial"/>
        </w:rPr>
        <w:t>), 3-grade systems can be converted to a 2-grade (TNM) system as follows: grade</w:t>
      </w:r>
      <w:r w:rsidR="001D6B87">
        <w:rPr>
          <w:rFonts w:cs="Arial"/>
        </w:rPr>
        <w:t xml:space="preserve"> </w:t>
      </w:r>
      <w:r w:rsidRPr="00845FBC">
        <w:rPr>
          <w:rFonts w:cs="Arial"/>
        </w:rPr>
        <w:t>1= low-grade; grade 2 and grade 3 = high-grade.</w:t>
      </w:r>
    </w:p>
    <w:p w14:paraId="75C563E2" w14:textId="77777777" w:rsidR="00B336E3" w:rsidRDefault="00B336E3" w:rsidP="00B336E3">
      <w:pPr>
        <w:rPr>
          <w:rFonts w:cs="Arial"/>
        </w:rPr>
      </w:pPr>
    </w:p>
    <w:p w14:paraId="3095BEE7" w14:textId="77777777" w:rsidR="00DC1132" w:rsidRPr="00010CA3" w:rsidRDefault="00DC1132" w:rsidP="00DC1132">
      <w:pPr>
        <w:pStyle w:val="Heading1"/>
        <w:rPr>
          <w:rFonts w:cs="Arial"/>
          <w:b w:val="0"/>
          <w:kern w:val="18"/>
        </w:rPr>
      </w:pPr>
      <w:r w:rsidRPr="00010CA3">
        <w:rPr>
          <w:rFonts w:cs="Arial"/>
          <w:b w:val="0"/>
          <w:kern w:val="18"/>
        </w:rPr>
        <w:t>References</w:t>
      </w:r>
    </w:p>
    <w:p w14:paraId="7BC969AC" w14:textId="77777777" w:rsidR="000263D2" w:rsidRPr="00845FBC" w:rsidRDefault="000263D2" w:rsidP="009A4BFE">
      <w:pPr>
        <w:pStyle w:val="BodyText2"/>
        <w:numPr>
          <w:ilvl w:val="3"/>
          <w:numId w:val="7"/>
        </w:numPr>
        <w:tabs>
          <w:tab w:val="left" w:pos="450"/>
        </w:tabs>
        <w:ind w:left="540" w:hanging="540"/>
        <w:rPr>
          <w:rFonts w:cs="Arial"/>
          <w:b w:val="0"/>
        </w:rPr>
      </w:pPr>
      <w:r w:rsidRPr="00845FBC">
        <w:rPr>
          <w:rFonts w:cs="Arial"/>
          <w:b w:val="0"/>
        </w:rPr>
        <w:t xml:space="preserve">Inwards CY, </w:t>
      </w:r>
      <w:proofErr w:type="spellStart"/>
      <w:r w:rsidRPr="00845FBC">
        <w:rPr>
          <w:rFonts w:cs="Arial"/>
          <w:b w:val="0"/>
        </w:rPr>
        <w:t>Unni</w:t>
      </w:r>
      <w:proofErr w:type="spellEnd"/>
      <w:r w:rsidRPr="00845FBC">
        <w:rPr>
          <w:rFonts w:cs="Arial"/>
          <w:b w:val="0"/>
        </w:rPr>
        <w:t xml:space="preserve"> KK. Classification and grading of bone sarcomas. </w:t>
      </w:r>
      <w:proofErr w:type="spellStart"/>
      <w:r w:rsidRPr="00DD7C11">
        <w:rPr>
          <w:rFonts w:cs="Arial"/>
          <w:b w:val="0"/>
          <w:i/>
        </w:rPr>
        <w:t>Hematol</w:t>
      </w:r>
      <w:proofErr w:type="spellEnd"/>
      <w:r w:rsidRPr="00DD7C11">
        <w:rPr>
          <w:rFonts w:cs="Arial"/>
          <w:b w:val="0"/>
          <w:i/>
        </w:rPr>
        <w:t xml:space="preserve"> Oncol Clin North Am</w:t>
      </w:r>
      <w:r w:rsidRPr="00845FBC">
        <w:rPr>
          <w:rFonts w:cs="Arial"/>
          <w:b w:val="0"/>
        </w:rPr>
        <w:t>. 1995;9(3):545-569.</w:t>
      </w:r>
    </w:p>
    <w:p w14:paraId="78E7EFCE" w14:textId="77777777" w:rsidR="00DC1132" w:rsidRDefault="00DC1132" w:rsidP="009A4BFE">
      <w:pPr>
        <w:ind w:left="450" w:hanging="450"/>
        <w:rPr>
          <w:rFonts w:cs="Arial"/>
        </w:rPr>
      </w:pPr>
      <w:bookmarkStart w:id="5" w:name="_Hlk22634068"/>
      <w:r>
        <w:rPr>
          <w:rFonts w:cs="Arial"/>
        </w:rPr>
        <w:t>2</w:t>
      </w:r>
      <w:r w:rsidRPr="00DC1132">
        <w:rPr>
          <w:rFonts w:cs="Arial"/>
        </w:rPr>
        <w:t>.</w:t>
      </w:r>
      <w:r w:rsidRPr="00DC1132">
        <w:rPr>
          <w:rFonts w:cs="Arial"/>
        </w:rPr>
        <w:tab/>
        <w:t xml:space="preserve">Amin MB, Edge SB, Greene FL, et al, eds. </w:t>
      </w:r>
      <w:r w:rsidRPr="009A4BFE">
        <w:rPr>
          <w:rFonts w:cs="Arial"/>
          <w:i/>
          <w:iCs/>
        </w:rPr>
        <w:t>AJCC Cancer Staging Manual. 8th ed</w:t>
      </w:r>
      <w:r w:rsidRPr="00DC1132">
        <w:rPr>
          <w:rFonts w:cs="Arial"/>
        </w:rPr>
        <w:t>. New York, NY: Springer; 2017.</w:t>
      </w:r>
    </w:p>
    <w:p w14:paraId="74E7A9A5" w14:textId="77777777" w:rsidR="000263D2" w:rsidRPr="004143E1" w:rsidRDefault="000263D2" w:rsidP="009A4BFE">
      <w:pPr>
        <w:ind w:left="450" w:hanging="450"/>
        <w:rPr>
          <w:rFonts w:cs="Arial"/>
        </w:rPr>
      </w:pPr>
      <w:r w:rsidRPr="004143E1">
        <w:rPr>
          <w:rFonts w:cs="Arial"/>
          <w:bCs/>
        </w:rPr>
        <w:t>3.</w:t>
      </w:r>
      <w:r w:rsidRPr="000263D2">
        <w:rPr>
          <w:rFonts w:cs="Arial"/>
          <w:bCs/>
        </w:rPr>
        <w:tab/>
      </w:r>
      <w:proofErr w:type="spellStart"/>
      <w:r w:rsidRPr="000263D2">
        <w:rPr>
          <w:rFonts w:cs="Arial"/>
          <w:bCs/>
        </w:rPr>
        <w:t>Guillou</w:t>
      </w:r>
      <w:proofErr w:type="spellEnd"/>
      <w:r w:rsidRPr="000263D2">
        <w:rPr>
          <w:rFonts w:cs="Arial"/>
          <w:bCs/>
        </w:rPr>
        <w:t xml:space="preserve"> L, </w:t>
      </w:r>
      <w:proofErr w:type="spellStart"/>
      <w:r w:rsidRPr="000263D2">
        <w:rPr>
          <w:rFonts w:cs="Arial"/>
          <w:bCs/>
        </w:rPr>
        <w:t>Coindre</w:t>
      </w:r>
      <w:proofErr w:type="spellEnd"/>
      <w:r w:rsidRPr="000263D2">
        <w:rPr>
          <w:rFonts w:cs="Arial"/>
          <w:bCs/>
        </w:rPr>
        <w:t xml:space="preserve"> JM, </w:t>
      </w:r>
      <w:proofErr w:type="spellStart"/>
      <w:r w:rsidRPr="000263D2">
        <w:rPr>
          <w:rFonts w:cs="Arial"/>
          <w:bCs/>
        </w:rPr>
        <w:t>Bonichon</w:t>
      </w:r>
      <w:proofErr w:type="spellEnd"/>
      <w:r w:rsidRPr="000263D2">
        <w:rPr>
          <w:rFonts w:cs="Arial"/>
          <w:bCs/>
        </w:rPr>
        <w:t xml:space="preserve"> F, et al. Comparative study of the National Cancer Institute and French Federation of Cancer Centers Sarcoma Group grading systems in a population of 410 adult patients with soft tissue sarcoma. </w:t>
      </w:r>
      <w:r w:rsidRPr="009A4BFE">
        <w:rPr>
          <w:rFonts w:cs="Arial"/>
          <w:bCs/>
        </w:rPr>
        <w:t>J Clin Oncol</w:t>
      </w:r>
      <w:r w:rsidRPr="004143E1">
        <w:rPr>
          <w:rFonts w:cs="Arial"/>
          <w:bCs/>
        </w:rPr>
        <w:t>. 1997;15(1):350-362.</w:t>
      </w:r>
    </w:p>
    <w:p w14:paraId="766409DC" w14:textId="77777777" w:rsidR="000263D2" w:rsidRPr="000263D2" w:rsidRDefault="000263D2" w:rsidP="009A4BFE">
      <w:pPr>
        <w:ind w:left="450" w:hanging="450"/>
        <w:rPr>
          <w:rFonts w:cs="Arial"/>
        </w:rPr>
      </w:pPr>
      <w:r w:rsidRPr="003D1CA0">
        <w:rPr>
          <w:rFonts w:cs="Arial"/>
          <w:bCs/>
        </w:rPr>
        <w:t>4.</w:t>
      </w:r>
      <w:r>
        <w:rPr>
          <w:rFonts w:cs="Arial"/>
          <w:bCs/>
        </w:rPr>
        <w:tab/>
      </w:r>
      <w:r w:rsidRPr="004143E1">
        <w:rPr>
          <w:rFonts w:cs="Arial"/>
          <w:bCs/>
        </w:rPr>
        <w:t xml:space="preserve">Laurini JA, Cooper K, Fletcher CDM, et al. Protocol for the Examination of Specimens </w:t>
      </w:r>
      <w:proofErr w:type="gramStart"/>
      <w:r w:rsidRPr="004143E1">
        <w:rPr>
          <w:rFonts w:cs="Arial"/>
          <w:bCs/>
        </w:rPr>
        <w:t>From</w:t>
      </w:r>
      <w:proofErr w:type="gramEnd"/>
      <w:r w:rsidRPr="004143E1">
        <w:rPr>
          <w:rFonts w:cs="Arial"/>
          <w:bCs/>
        </w:rPr>
        <w:t xml:space="preserve"> </w:t>
      </w:r>
      <w:r w:rsidRPr="003D1CA0">
        <w:rPr>
          <w:rFonts w:cs="Arial"/>
          <w:bCs/>
        </w:rPr>
        <w:t>Patients With Soft T</w:t>
      </w:r>
      <w:r w:rsidRPr="001A01BA">
        <w:rPr>
          <w:rFonts w:cs="Arial"/>
          <w:bCs/>
        </w:rPr>
        <w:t>issue</w:t>
      </w:r>
      <w:r w:rsidRPr="000263D2">
        <w:rPr>
          <w:rFonts w:cs="Arial"/>
          <w:bCs/>
        </w:rPr>
        <w:t xml:space="preserve"> Tumors. 2017. Available at www.cap.org/cancerprotocols.</w:t>
      </w:r>
    </w:p>
    <w:p w14:paraId="76DB44EA" w14:textId="77777777" w:rsidR="005E69B5" w:rsidRPr="004143E1" w:rsidRDefault="00DC1132" w:rsidP="009A4BFE">
      <w:pPr>
        <w:kinsoku w:val="0"/>
        <w:overflowPunct w:val="0"/>
        <w:spacing w:line="204" w:lineRule="exact"/>
        <w:ind w:left="450" w:hanging="450"/>
        <w:rPr>
          <w:rFonts w:cs="Arial"/>
          <w:bCs/>
        </w:rPr>
      </w:pPr>
      <w:r>
        <w:rPr>
          <w:rFonts w:cs="Arial"/>
        </w:rPr>
        <w:t>5</w:t>
      </w:r>
      <w:r w:rsidRPr="00DC1132">
        <w:rPr>
          <w:rFonts w:cs="Arial"/>
        </w:rPr>
        <w:t>.</w:t>
      </w:r>
      <w:r w:rsidRPr="00DC1132">
        <w:rPr>
          <w:rFonts w:cs="Arial"/>
        </w:rPr>
        <w:tab/>
      </w:r>
      <w:r w:rsidR="005E69B5" w:rsidRPr="009A4BFE">
        <w:rPr>
          <w:rFonts w:cs="Arial"/>
          <w:bCs/>
        </w:rPr>
        <w:t>B</w:t>
      </w:r>
      <w:r w:rsidR="005E69B5" w:rsidRPr="004143E1">
        <w:rPr>
          <w:rFonts w:cs="Arial"/>
          <w:bCs/>
        </w:rPr>
        <w:t>r</w:t>
      </w:r>
      <w:r w:rsidR="005E69B5" w:rsidRPr="009A4BFE">
        <w:rPr>
          <w:rFonts w:cs="Arial"/>
          <w:bCs/>
        </w:rPr>
        <w:t>ie</w:t>
      </w:r>
      <w:r w:rsidR="005E69B5" w:rsidRPr="004143E1">
        <w:rPr>
          <w:rFonts w:cs="Arial"/>
          <w:bCs/>
        </w:rPr>
        <w:t>r</w:t>
      </w:r>
      <w:r w:rsidR="005E69B5" w:rsidRPr="009A4BFE">
        <w:rPr>
          <w:rFonts w:cs="Arial"/>
          <w:bCs/>
        </w:rPr>
        <w:t>le</w:t>
      </w:r>
      <w:r w:rsidR="005E69B5" w:rsidRPr="004143E1">
        <w:rPr>
          <w:rFonts w:cs="Arial"/>
          <w:bCs/>
        </w:rPr>
        <w:t>y</w:t>
      </w:r>
      <w:r w:rsidR="005E69B5" w:rsidRPr="009A4BFE">
        <w:rPr>
          <w:rFonts w:cs="Arial"/>
          <w:bCs/>
        </w:rPr>
        <w:t xml:space="preserve"> J</w:t>
      </w:r>
      <w:r w:rsidR="005E69B5" w:rsidRPr="004143E1">
        <w:rPr>
          <w:rFonts w:cs="Arial"/>
          <w:bCs/>
        </w:rPr>
        <w:t>D,</w:t>
      </w:r>
      <w:r w:rsidR="005E69B5" w:rsidRPr="009A4BFE">
        <w:rPr>
          <w:rFonts w:cs="Arial"/>
          <w:bCs/>
        </w:rPr>
        <w:t xml:space="preserve"> </w:t>
      </w:r>
      <w:proofErr w:type="spellStart"/>
      <w:r w:rsidR="005E69B5" w:rsidRPr="009A4BFE">
        <w:rPr>
          <w:rFonts w:cs="Arial"/>
          <w:bCs/>
        </w:rPr>
        <w:t>Gospoda</w:t>
      </w:r>
      <w:r w:rsidR="005E69B5" w:rsidRPr="004143E1">
        <w:rPr>
          <w:rFonts w:cs="Arial"/>
          <w:bCs/>
        </w:rPr>
        <w:t>r</w:t>
      </w:r>
      <w:r w:rsidR="005E69B5" w:rsidRPr="009A4BFE">
        <w:rPr>
          <w:rFonts w:cs="Arial"/>
          <w:bCs/>
        </w:rPr>
        <w:t>o</w:t>
      </w:r>
      <w:r w:rsidR="005E69B5" w:rsidRPr="004143E1">
        <w:rPr>
          <w:rFonts w:cs="Arial"/>
          <w:bCs/>
        </w:rPr>
        <w:t>w</w:t>
      </w:r>
      <w:r w:rsidR="005E69B5" w:rsidRPr="009A4BFE">
        <w:rPr>
          <w:rFonts w:cs="Arial"/>
          <w:bCs/>
        </w:rPr>
        <w:t>ic</w:t>
      </w:r>
      <w:r w:rsidR="005E69B5" w:rsidRPr="004143E1">
        <w:rPr>
          <w:rFonts w:cs="Arial"/>
          <w:bCs/>
        </w:rPr>
        <w:t>z</w:t>
      </w:r>
      <w:proofErr w:type="spellEnd"/>
      <w:r w:rsidR="005E69B5" w:rsidRPr="009A4BFE">
        <w:rPr>
          <w:rFonts w:cs="Arial"/>
          <w:bCs/>
        </w:rPr>
        <w:t xml:space="preserve"> MK</w:t>
      </w:r>
      <w:r w:rsidR="005E69B5" w:rsidRPr="004143E1">
        <w:rPr>
          <w:rFonts w:cs="Arial"/>
          <w:bCs/>
        </w:rPr>
        <w:t>,</w:t>
      </w:r>
      <w:r w:rsidR="005E69B5" w:rsidRPr="009A4BFE">
        <w:rPr>
          <w:rFonts w:cs="Arial"/>
          <w:bCs/>
        </w:rPr>
        <w:t xml:space="preserve"> Wittekin</w:t>
      </w:r>
      <w:r w:rsidR="005E69B5" w:rsidRPr="004143E1">
        <w:rPr>
          <w:rFonts w:cs="Arial"/>
          <w:bCs/>
        </w:rPr>
        <w:t>d</w:t>
      </w:r>
      <w:r w:rsidR="005E69B5" w:rsidRPr="009A4BFE">
        <w:rPr>
          <w:rFonts w:cs="Arial"/>
          <w:bCs/>
        </w:rPr>
        <w:t xml:space="preserve"> </w:t>
      </w:r>
      <w:r w:rsidR="005E69B5" w:rsidRPr="004143E1">
        <w:rPr>
          <w:rFonts w:cs="Arial"/>
          <w:bCs/>
        </w:rPr>
        <w:t>C,</w:t>
      </w:r>
      <w:r w:rsidR="005E69B5" w:rsidRPr="009A4BFE">
        <w:rPr>
          <w:rFonts w:cs="Arial"/>
          <w:bCs/>
        </w:rPr>
        <w:t xml:space="preserve"> e</w:t>
      </w:r>
      <w:r w:rsidR="005E69B5" w:rsidRPr="004143E1">
        <w:rPr>
          <w:rFonts w:cs="Arial"/>
          <w:bCs/>
        </w:rPr>
        <w:t>t</w:t>
      </w:r>
      <w:r w:rsidR="005E69B5" w:rsidRPr="009A4BFE">
        <w:rPr>
          <w:rFonts w:cs="Arial"/>
          <w:bCs/>
        </w:rPr>
        <w:t xml:space="preserve"> al</w:t>
      </w:r>
      <w:r w:rsidR="005E69B5" w:rsidRPr="004143E1">
        <w:rPr>
          <w:rFonts w:cs="Arial"/>
          <w:bCs/>
        </w:rPr>
        <w:t>,</w:t>
      </w:r>
      <w:r w:rsidR="005E69B5" w:rsidRPr="009A4BFE">
        <w:rPr>
          <w:rFonts w:cs="Arial"/>
          <w:bCs/>
        </w:rPr>
        <w:t xml:space="preserve"> eds</w:t>
      </w:r>
      <w:r w:rsidR="005E69B5" w:rsidRPr="009A4BFE">
        <w:rPr>
          <w:rFonts w:cs="Arial"/>
          <w:bCs/>
          <w:i/>
          <w:iCs/>
        </w:rPr>
        <w:t xml:space="preserve">. </w:t>
      </w:r>
      <w:r w:rsidR="005E69B5" w:rsidRPr="004143E1">
        <w:rPr>
          <w:rFonts w:cs="Arial"/>
          <w:bCs/>
          <w:i/>
          <w:iCs/>
        </w:rPr>
        <w:t>TNM</w:t>
      </w:r>
      <w:r w:rsidR="005E69B5" w:rsidRPr="009A4BFE">
        <w:rPr>
          <w:rFonts w:cs="Arial"/>
          <w:bCs/>
          <w:i/>
          <w:iCs/>
        </w:rPr>
        <w:t xml:space="preserve"> </w:t>
      </w:r>
      <w:r w:rsidR="005E69B5" w:rsidRPr="004143E1">
        <w:rPr>
          <w:rFonts w:cs="Arial"/>
          <w:bCs/>
          <w:i/>
          <w:iCs/>
        </w:rPr>
        <w:t>C</w:t>
      </w:r>
      <w:r w:rsidR="005E69B5" w:rsidRPr="009A4BFE">
        <w:rPr>
          <w:rFonts w:cs="Arial"/>
          <w:bCs/>
          <w:i/>
          <w:iCs/>
        </w:rPr>
        <w:t>lassificatio</w:t>
      </w:r>
      <w:r w:rsidR="005E69B5" w:rsidRPr="004143E1">
        <w:rPr>
          <w:rFonts w:cs="Arial"/>
          <w:bCs/>
          <w:i/>
          <w:iCs/>
        </w:rPr>
        <w:t>n</w:t>
      </w:r>
      <w:r w:rsidR="005E69B5" w:rsidRPr="009A4BFE">
        <w:rPr>
          <w:rFonts w:cs="Arial"/>
          <w:bCs/>
          <w:i/>
          <w:iCs/>
        </w:rPr>
        <w:t xml:space="preserve"> o</w:t>
      </w:r>
      <w:r w:rsidR="005E69B5" w:rsidRPr="004143E1">
        <w:rPr>
          <w:rFonts w:cs="Arial"/>
          <w:bCs/>
          <w:i/>
          <w:iCs/>
        </w:rPr>
        <w:t>f</w:t>
      </w:r>
      <w:r w:rsidR="005E69B5" w:rsidRPr="009A4BFE">
        <w:rPr>
          <w:rFonts w:cs="Arial"/>
          <w:bCs/>
          <w:i/>
          <w:iCs/>
        </w:rPr>
        <w:t xml:space="preserve"> Malignan</w:t>
      </w:r>
      <w:r w:rsidR="005E69B5" w:rsidRPr="004143E1">
        <w:rPr>
          <w:rFonts w:cs="Arial"/>
          <w:bCs/>
          <w:i/>
          <w:iCs/>
        </w:rPr>
        <w:t>t</w:t>
      </w:r>
      <w:r w:rsidR="005E69B5" w:rsidRPr="009A4BFE">
        <w:rPr>
          <w:rFonts w:cs="Arial"/>
          <w:bCs/>
          <w:i/>
          <w:iCs/>
        </w:rPr>
        <w:t xml:space="preserve"> </w:t>
      </w:r>
      <w:proofErr w:type="spellStart"/>
      <w:r w:rsidR="005E69B5" w:rsidRPr="004143E1">
        <w:rPr>
          <w:rFonts w:cs="Arial"/>
          <w:bCs/>
          <w:i/>
          <w:iCs/>
        </w:rPr>
        <w:t>T</w:t>
      </w:r>
      <w:r w:rsidR="005E69B5" w:rsidRPr="009A4BFE">
        <w:rPr>
          <w:rFonts w:cs="Arial"/>
          <w:bCs/>
          <w:i/>
          <w:iCs/>
        </w:rPr>
        <w:t>umou</w:t>
      </w:r>
      <w:r w:rsidR="005E69B5" w:rsidRPr="004143E1">
        <w:rPr>
          <w:rFonts w:cs="Arial"/>
          <w:bCs/>
          <w:i/>
          <w:iCs/>
        </w:rPr>
        <w:t>r</w:t>
      </w:r>
      <w:r w:rsidR="005E69B5" w:rsidRPr="009A4BFE">
        <w:rPr>
          <w:rFonts w:cs="Arial"/>
          <w:bCs/>
          <w:i/>
          <w:iCs/>
        </w:rPr>
        <w:t>s</w:t>
      </w:r>
      <w:proofErr w:type="spellEnd"/>
      <w:r w:rsidR="005E69B5" w:rsidRPr="009A4BFE">
        <w:rPr>
          <w:rFonts w:cs="Arial"/>
          <w:bCs/>
          <w:i/>
          <w:iCs/>
        </w:rPr>
        <w:t>. 8th ed</w:t>
      </w:r>
      <w:r w:rsidR="005E69B5" w:rsidRPr="009A4BFE">
        <w:rPr>
          <w:rFonts w:cs="Arial"/>
          <w:bCs/>
        </w:rPr>
        <w:t>.</w:t>
      </w:r>
      <w:r w:rsidR="005E69B5">
        <w:rPr>
          <w:rFonts w:cs="Arial"/>
          <w:bCs/>
        </w:rPr>
        <w:t xml:space="preserve"> </w:t>
      </w:r>
      <w:r w:rsidR="005E69B5" w:rsidRPr="009A4BFE">
        <w:rPr>
          <w:rFonts w:cs="Arial"/>
          <w:bCs/>
        </w:rPr>
        <w:t>Oxfo</w:t>
      </w:r>
      <w:r w:rsidR="005E69B5" w:rsidRPr="004143E1">
        <w:rPr>
          <w:rFonts w:cs="Arial"/>
          <w:bCs/>
        </w:rPr>
        <w:t>r</w:t>
      </w:r>
      <w:r w:rsidR="005E69B5" w:rsidRPr="009A4BFE">
        <w:rPr>
          <w:rFonts w:cs="Arial"/>
          <w:bCs/>
        </w:rPr>
        <w:t>d</w:t>
      </w:r>
      <w:r w:rsidR="005E69B5" w:rsidRPr="004143E1">
        <w:rPr>
          <w:rFonts w:cs="Arial"/>
          <w:bCs/>
        </w:rPr>
        <w:t>,</w:t>
      </w:r>
      <w:r w:rsidR="005E69B5" w:rsidRPr="009A4BFE">
        <w:rPr>
          <w:rFonts w:cs="Arial"/>
          <w:bCs/>
        </w:rPr>
        <w:t xml:space="preserve"> </w:t>
      </w:r>
      <w:r w:rsidR="005E69B5" w:rsidRPr="004143E1">
        <w:rPr>
          <w:rFonts w:cs="Arial"/>
          <w:bCs/>
        </w:rPr>
        <w:t>U</w:t>
      </w:r>
      <w:r w:rsidR="005E69B5" w:rsidRPr="009A4BFE">
        <w:rPr>
          <w:rFonts w:cs="Arial"/>
          <w:bCs/>
        </w:rPr>
        <w:t>K</w:t>
      </w:r>
      <w:r w:rsidR="005E69B5" w:rsidRPr="004143E1">
        <w:rPr>
          <w:rFonts w:cs="Arial"/>
          <w:bCs/>
        </w:rPr>
        <w:t>:</w:t>
      </w:r>
      <w:r w:rsidR="005E69B5" w:rsidRPr="009A4BFE">
        <w:rPr>
          <w:rFonts w:cs="Arial"/>
          <w:bCs/>
        </w:rPr>
        <w:t xml:space="preserve"> Wiley</w:t>
      </w:r>
      <w:r w:rsidR="005E69B5" w:rsidRPr="004143E1">
        <w:rPr>
          <w:rFonts w:cs="Arial"/>
          <w:bCs/>
        </w:rPr>
        <w:t>;</w:t>
      </w:r>
      <w:r w:rsidR="005E69B5" w:rsidRPr="009A4BFE">
        <w:rPr>
          <w:rFonts w:cs="Arial"/>
          <w:bCs/>
        </w:rPr>
        <w:t xml:space="preserve"> 2016.</w:t>
      </w:r>
    </w:p>
    <w:bookmarkEnd w:id="5"/>
    <w:p w14:paraId="54EFB8EC" w14:textId="77777777" w:rsidR="00A16DE0" w:rsidRDefault="00A16DE0" w:rsidP="00DC1132">
      <w:pPr>
        <w:rPr>
          <w:rFonts w:cs="Arial"/>
          <w:bCs/>
        </w:rPr>
      </w:pPr>
    </w:p>
    <w:p w14:paraId="0B960F94" w14:textId="77777777" w:rsidR="00FA5AA6" w:rsidRPr="00845FBC" w:rsidRDefault="00FA5AA6" w:rsidP="00FA5AA6">
      <w:pPr>
        <w:pStyle w:val="Heading2"/>
        <w:rPr>
          <w:rFonts w:cs="Arial"/>
        </w:rPr>
      </w:pPr>
      <w:r>
        <w:rPr>
          <w:rFonts w:cs="Arial"/>
        </w:rPr>
        <w:t>G</w:t>
      </w:r>
      <w:r w:rsidRPr="00845FBC">
        <w:rPr>
          <w:rFonts w:cs="Arial"/>
        </w:rPr>
        <w:t>.  Margins</w:t>
      </w:r>
    </w:p>
    <w:p w14:paraId="16E04C14" w14:textId="77777777" w:rsidR="00FA5AA6" w:rsidRPr="00845FBC" w:rsidRDefault="00FA5AA6" w:rsidP="00FA5AA6">
      <w:pPr>
        <w:rPr>
          <w:rFonts w:cs="Arial"/>
        </w:rPr>
      </w:pPr>
      <w:r w:rsidRPr="00845FBC">
        <w:rPr>
          <w:rFonts w:cs="Arial"/>
        </w:rPr>
        <w:t>It has been recommended that for all margins &lt;2 cm, the distance of the tumor from the margin be reported in centimeters.</w:t>
      </w:r>
      <w:r w:rsidRPr="00845FBC">
        <w:rPr>
          <w:rFonts w:cs="Arial"/>
          <w:vertAlign w:val="superscript"/>
        </w:rPr>
        <w:t>10</w:t>
      </w:r>
      <w:r w:rsidRPr="00845FBC">
        <w:rPr>
          <w:rFonts w:cs="Arial"/>
        </w:rPr>
        <w:t xml:space="preserve"> However, there is a lack of agreement on this issue. We recommend specifying the location of all margins &lt;2 cm. Margins from bone tumors should be taken as </w:t>
      </w:r>
      <w:r w:rsidRPr="00845FBC">
        <w:rPr>
          <w:rFonts w:cs="Arial"/>
          <w:i/>
        </w:rPr>
        <w:t>perpendicular</w:t>
      </w:r>
      <w:r w:rsidRPr="00845FBC">
        <w:rPr>
          <w:rFonts w:cs="Arial"/>
        </w:rPr>
        <w:t xml:space="preserve"> margins, if possible. If the tumor is &gt;2 cm from the margin, the marrow can be scooped out and submitted as a margin. </w:t>
      </w:r>
    </w:p>
    <w:p w14:paraId="35D34E4B" w14:textId="77777777" w:rsidR="00DC1132" w:rsidRPr="00845FBC" w:rsidRDefault="00DC1132" w:rsidP="00DC1132">
      <w:pPr>
        <w:rPr>
          <w:rFonts w:cs="Arial"/>
        </w:rPr>
      </w:pPr>
    </w:p>
    <w:p w14:paraId="066F617A" w14:textId="1DCD2409" w:rsidR="00B336E3" w:rsidRPr="00845FBC" w:rsidRDefault="00FA5AA6" w:rsidP="00B336E3">
      <w:pPr>
        <w:pStyle w:val="Heading2"/>
        <w:rPr>
          <w:rFonts w:cs="Arial"/>
        </w:rPr>
      </w:pPr>
      <w:r>
        <w:rPr>
          <w:rFonts w:cs="Arial"/>
        </w:rPr>
        <w:t>H</w:t>
      </w:r>
      <w:r w:rsidR="00776309" w:rsidRPr="00845FBC">
        <w:rPr>
          <w:rFonts w:cs="Arial"/>
        </w:rPr>
        <w:t xml:space="preserve">.  </w:t>
      </w:r>
      <w:r w:rsidR="00EF4373">
        <w:rPr>
          <w:rFonts w:cs="Arial"/>
        </w:rPr>
        <w:t>Lymphov</w:t>
      </w:r>
      <w:r w:rsidR="00B336E3" w:rsidRPr="00845FBC">
        <w:rPr>
          <w:rFonts w:cs="Arial"/>
        </w:rPr>
        <w:t>ascular Invasion</w:t>
      </w:r>
    </w:p>
    <w:p w14:paraId="79FB2AB5" w14:textId="77777777" w:rsidR="00B336E3" w:rsidRPr="00845FBC" w:rsidRDefault="00EF4373" w:rsidP="00B336E3">
      <w:pPr>
        <w:pStyle w:val="Heading2"/>
        <w:rPr>
          <w:rFonts w:cs="Arial"/>
          <w:b w:val="0"/>
          <w:szCs w:val="22"/>
        </w:rPr>
      </w:pPr>
      <w:r>
        <w:rPr>
          <w:rFonts w:cs="Arial"/>
          <w:b w:val="0"/>
          <w:szCs w:val="22"/>
        </w:rPr>
        <w:t>Lympho</w:t>
      </w:r>
      <w:r w:rsidR="00B336E3" w:rsidRPr="00845FBC">
        <w:rPr>
          <w:rFonts w:cs="Arial"/>
          <w:b w:val="0"/>
          <w:szCs w:val="22"/>
        </w:rPr>
        <w:t>vascular invasion (LVI) indicates whet</w:t>
      </w:r>
      <w:r w:rsidR="00F1500A">
        <w:rPr>
          <w:rFonts w:cs="Arial"/>
          <w:b w:val="0"/>
          <w:szCs w:val="22"/>
        </w:rPr>
        <w:t xml:space="preserve">her microscopic </w:t>
      </w:r>
      <w:proofErr w:type="spellStart"/>
      <w:r w:rsidR="00F1500A">
        <w:rPr>
          <w:rFonts w:cs="Arial"/>
          <w:b w:val="0"/>
          <w:szCs w:val="22"/>
        </w:rPr>
        <w:t>lympho</w:t>
      </w:r>
      <w:r w:rsidR="00B336E3" w:rsidRPr="00845FBC">
        <w:rPr>
          <w:rFonts w:cs="Arial"/>
          <w:b w:val="0"/>
          <w:szCs w:val="22"/>
        </w:rPr>
        <w:t>vascular</w:t>
      </w:r>
      <w:proofErr w:type="spellEnd"/>
      <w:r w:rsidR="00B336E3" w:rsidRPr="00845FBC">
        <w:rPr>
          <w:rFonts w:cs="Arial"/>
          <w:b w:val="0"/>
          <w:szCs w:val="22"/>
        </w:rPr>
        <w:t xml:space="preserve"> invasion is identified. LVI includes lymphatic invasi</w:t>
      </w:r>
      <w:r w:rsidR="00F1500A">
        <w:rPr>
          <w:rFonts w:cs="Arial"/>
          <w:b w:val="0"/>
          <w:szCs w:val="22"/>
        </w:rPr>
        <w:t xml:space="preserve">on, vascular invasion, or </w:t>
      </w:r>
      <w:proofErr w:type="spellStart"/>
      <w:r w:rsidR="00F1500A">
        <w:rPr>
          <w:rFonts w:cs="Arial"/>
          <w:b w:val="0"/>
          <w:szCs w:val="22"/>
        </w:rPr>
        <w:t>lympho</w:t>
      </w:r>
      <w:r w:rsidR="00B336E3" w:rsidRPr="00845FBC">
        <w:rPr>
          <w:rFonts w:cs="Arial"/>
          <w:b w:val="0"/>
          <w:szCs w:val="22"/>
        </w:rPr>
        <w:t>vascular</w:t>
      </w:r>
      <w:proofErr w:type="spellEnd"/>
      <w:r w:rsidR="00B336E3" w:rsidRPr="00845FBC">
        <w:rPr>
          <w:rFonts w:cs="Arial"/>
          <w:b w:val="0"/>
          <w:szCs w:val="22"/>
        </w:rPr>
        <w:t xml:space="preserve"> invasion. By AJCC/UICC convention, LVI does not affect the T category indicating local extent of tumor unless specifically included in the definition of a T category.</w:t>
      </w:r>
    </w:p>
    <w:p w14:paraId="33A25418" w14:textId="77777777" w:rsidR="00B336E3" w:rsidRPr="00845FBC" w:rsidRDefault="00B336E3" w:rsidP="00B336E3">
      <w:pPr>
        <w:rPr>
          <w:rFonts w:cs="Arial"/>
        </w:rPr>
      </w:pPr>
    </w:p>
    <w:p w14:paraId="7580FDBF" w14:textId="77777777" w:rsidR="00FA5AA6" w:rsidRPr="00845FBC" w:rsidRDefault="00FA5AA6" w:rsidP="00FA5AA6">
      <w:pPr>
        <w:pStyle w:val="Heading2"/>
        <w:rPr>
          <w:rFonts w:cs="Arial"/>
        </w:rPr>
      </w:pPr>
      <w:r>
        <w:rPr>
          <w:rFonts w:cs="Arial"/>
        </w:rPr>
        <w:lastRenderedPageBreak/>
        <w:t>I</w:t>
      </w:r>
      <w:r w:rsidRPr="00845FBC">
        <w:rPr>
          <w:rFonts w:cs="Arial"/>
        </w:rPr>
        <w:t xml:space="preserve">.  </w:t>
      </w:r>
      <w:r>
        <w:rPr>
          <w:rFonts w:cs="Arial"/>
        </w:rPr>
        <w:t xml:space="preserve">Regional </w:t>
      </w:r>
      <w:r w:rsidRPr="00845FBC">
        <w:rPr>
          <w:rFonts w:cs="Arial"/>
        </w:rPr>
        <w:t>Lymph Nodes</w:t>
      </w:r>
    </w:p>
    <w:p w14:paraId="70939134" w14:textId="77777777" w:rsidR="00FA5AA6" w:rsidRPr="00845FBC" w:rsidRDefault="00FA5AA6" w:rsidP="00FA5AA6">
      <w:pPr>
        <w:rPr>
          <w:rFonts w:cs="Arial"/>
        </w:rPr>
      </w:pPr>
      <w:r w:rsidRPr="00845FBC">
        <w:rPr>
          <w:rFonts w:cs="Arial"/>
        </w:rPr>
        <w:t>Regional lymph node metastasis is extremely rare in adult bone sarcomas. Nodes are not sampled routinely, and it is not necessary to exhaustively search for nodes. When present, regional lymph node metastasis has prognostic importance and should be reported.</w:t>
      </w:r>
    </w:p>
    <w:p w14:paraId="68366BCD" w14:textId="77777777" w:rsidR="00FA5AA6" w:rsidRDefault="00FA5AA6" w:rsidP="00B336E3">
      <w:pPr>
        <w:pStyle w:val="Heading2"/>
        <w:rPr>
          <w:rFonts w:cs="Arial"/>
        </w:rPr>
      </w:pPr>
    </w:p>
    <w:p w14:paraId="5CC73295" w14:textId="0892F4D2" w:rsidR="00B336E3" w:rsidRPr="00845FBC" w:rsidRDefault="00FA5AA6" w:rsidP="00B336E3">
      <w:pPr>
        <w:pStyle w:val="Heading2"/>
        <w:rPr>
          <w:rFonts w:cs="Arial"/>
        </w:rPr>
      </w:pPr>
      <w:r>
        <w:rPr>
          <w:rFonts w:cs="Arial"/>
        </w:rPr>
        <w:t>J</w:t>
      </w:r>
      <w:r w:rsidR="00776309" w:rsidRPr="00845FBC">
        <w:rPr>
          <w:rFonts w:cs="Arial"/>
        </w:rPr>
        <w:t xml:space="preserve">.  </w:t>
      </w:r>
      <w:r w:rsidR="00176D28">
        <w:rPr>
          <w:rFonts w:cs="Arial"/>
        </w:rPr>
        <w:t xml:space="preserve">Pathologic Stage Classification </w:t>
      </w:r>
      <w:r w:rsidR="0020309B">
        <w:rPr>
          <w:rFonts w:cs="Arial"/>
        </w:rPr>
        <w:t>(</w:t>
      </w:r>
      <w:r w:rsidR="00B336E3" w:rsidRPr="00845FBC">
        <w:rPr>
          <w:rFonts w:cs="Arial"/>
        </w:rPr>
        <w:t>TNM and Stage Groupings</w:t>
      </w:r>
      <w:r w:rsidR="0020309B">
        <w:rPr>
          <w:rFonts w:cs="Arial"/>
        </w:rPr>
        <w:t>)</w:t>
      </w:r>
    </w:p>
    <w:p w14:paraId="60EC6D3F" w14:textId="08C6DE9B" w:rsidR="00B336E3" w:rsidRPr="00845FBC" w:rsidRDefault="00B336E3" w:rsidP="00B336E3">
      <w:pPr>
        <w:rPr>
          <w:rFonts w:cs="Arial"/>
          <w:vertAlign w:val="superscript"/>
        </w:rPr>
      </w:pPr>
      <w:r w:rsidRPr="00845FBC">
        <w:rPr>
          <w:rFonts w:cs="Arial"/>
        </w:rPr>
        <w:t xml:space="preserve">The </w:t>
      </w:r>
      <w:r w:rsidR="00845FBC">
        <w:rPr>
          <w:rFonts w:cs="Arial"/>
        </w:rPr>
        <w:t>8th</w:t>
      </w:r>
      <w:r w:rsidR="006B5312" w:rsidRPr="00845FBC">
        <w:rPr>
          <w:rFonts w:cs="Arial"/>
        </w:rPr>
        <w:t xml:space="preserve"> </w:t>
      </w:r>
      <w:r w:rsidRPr="00845FBC">
        <w:rPr>
          <w:rFonts w:cs="Arial"/>
        </w:rPr>
        <w:t>edition TNM staging system for bone tumors of the AJCC and the UICC is recommended.</w:t>
      </w:r>
      <w:r w:rsidR="00DD7C11">
        <w:rPr>
          <w:rFonts w:cs="Arial"/>
          <w:vertAlign w:val="superscript"/>
        </w:rPr>
        <w:t>1</w:t>
      </w:r>
      <w:r w:rsidRPr="00845FBC">
        <w:rPr>
          <w:rFonts w:cs="Arial"/>
          <w:vertAlign w:val="superscript"/>
        </w:rPr>
        <w:t>,</w:t>
      </w:r>
      <w:r w:rsidR="00B31115">
        <w:rPr>
          <w:rFonts w:cs="Arial"/>
          <w:vertAlign w:val="superscript"/>
        </w:rPr>
        <w:t>2</w:t>
      </w:r>
    </w:p>
    <w:p w14:paraId="6927F209" w14:textId="77777777" w:rsidR="00B336E3" w:rsidRPr="00845FBC" w:rsidRDefault="00B336E3" w:rsidP="00B336E3">
      <w:pPr>
        <w:rPr>
          <w:rFonts w:cs="Arial"/>
        </w:rPr>
      </w:pPr>
    </w:p>
    <w:p w14:paraId="3C7D2F8B" w14:textId="77777777" w:rsidR="00B336E3" w:rsidRPr="00845FBC" w:rsidRDefault="00B336E3" w:rsidP="00B336E3">
      <w:pPr>
        <w:rPr>
          <w:rFonts w:eastAsia="MS Mincho" w:cs="Arial"/>
        </w:rPr>
      </w:pPr>
      <w:r w:rsidRPr="00845FBC">
        <w:rPr>
          <w:rFonts w:cs="Arial"/>
        </w:rPr>
        <w:t>The classification is to be applied to all primary tumors of bone. Anatomic site is known to influence outcome; therefore, outcome data should be reported specifying site. Site groups for bone sarcoma</w:t>
      </w:r>
      <w:r w:rsidR="003F5BDF">
        <w:rPr>
          <w:rFonts w:cs="Arial"/>
        </w:rPr>
        <w:t>s</w:t>
      </w:r>
      <w:r w:rsidRPr="00845FBC">
        <w:rPr>
          <w:rFonts w:cs="Arial"/>
        </w:rPr>
        <w:t xml:space="preserve"> are the following: </w:t>
      </w:r>
      <w:r w:rsidR="00110386">
        <w:rPr>
          <w:rFonts w:cs="Arial"/>
        </w:rPr>
        <w:t>appendicular skeleton, including trunk, skull and facial bones</w:t>
      </w:r>
      <w:r w:rsidRPr="00845FBC">
        <w:rPr>
          <w:rFonts w:cs="Arial"/>
        </w:rPr>
        <w:t xml:space="preserve">, pelvis, </w:t>
      </w:r>
      <w:r w:rsidR="006B5312" w:rsidRPr="00845FBC">
        <w:rPr>
          <w:rFonts w:cs="Arial"/>
        </w:rPr>
        <w:t xml:space="preserve">and </w:t>
      </w:r>
      <w:r w:rsidRPr="00845FBC">
        <w:rPr>
          <w:rFonts w:cs="Arial"/>
        </w:rPr>
        <w:t xml:space="preserve">spine. Pathologic staging includes pathologic data obtained from examination of a resected specimen </w:t>
      </w:r>
      <w:proofErr w:type="gramStart"/>
      <w:r w:rsidRPr="00845FBC">
        <w:rPr>
          <w:rFonts w:cs="Arial"/>
        </w:rPr>
        <w:t>sufficient</w:t>
      </w:r>
      <w:proofErr w:type="gramEnd"/>
      <w:r w:rsidRPr="00845FBC">
        <w:rPr>
          <w:rFonts w:cs="Arial"/>
        </w:rPr>
        <w:t xml:space="preserve"> to evaluate the highest T category, histopathologic type and grade, regional lymph nodes as </w:t>
      </w:r>
      <w:r w:rsidR="00624679" w:rsidRPr="00845FBC">
        <w:rPr>
          <w:rFonts w:cs="Arial"/>
        </w:rPr>
        <w:t>appropriate</w:t>
      </w:r>
      <w:r w:rsidR="00DD7C11">
        <w:rPr>
          <w:rFonts w:cs="Arial"/>
        </w:rPr>
        <w:t>,</w:t>
      </w:r>
      <w:r w:rsidRPr="00845FBC">
        <w:rPr>
          <w:rFonts w:cs="Arial"/>
        </w:rPr>
        <w:t xml:space="preserve"> or distant metastasis. Because regional lymph node involvement from bone tumors is rare, the pathologic stage grouping includes any of the following combinations: </w:t>
      </w:r>
      <w:proofErr w:type="spellStart"/>
      <w:r w:rsidRPr="00845FBC">
        <w:rPr>
          <w:rFonts w:cs="Arial"/>
        </w:rPr>
        <w:t>pT</w:t>
      </w:r>
      <w:proofErr w:type="spellEnd"/>
      <w:r w:rsidRPr="00845FBC">
        <w:rPr>
          <w:rFonts w:cs="Arial"/>
        </w:rPr>
        <w:t xml:space="preserve"> </w:t>
      </w:r>
      <w:proofErr w:type="spellStart"/>
      <w:r w:rsidRPr="00845FBC">
        <w:rPr>
          <w:rFonts w:cs="Arial"/>
        </w:rPr>
        <w:t>pG</w:t>
      </w:r>
      <w:proofErr w:type="spellEnd"/>
      <w:r w:rsidRPr="00845FBC">
        <w:rPr>
          <w:rFonts w:cs="Arial"/>
        </w:rPr>
        <w:t xml:space="preserve"> </w:t>
      </w:r>
      <w:proofErr w:type="spellStart"/>
      <w:r w:rsidRPr="00845FBC">
        <w:rPr>
          <w:rFonts w:cs="Arial"/>
        </w:rPr>
        <w:t>pN</w:t>
      </w:r>
      <w:proofErr w:type="spellEnd"/>
      <w:r w:rsidRPr="00845FBC">
        <w:rPr>
          <w:rFonts w:cs="Arial"/>
        </w:rPr>
        <w:t xml:space="preserve"> </w:t>
      </w:r>
      <w:proofErr w:type="spellStart"/>
      <w:r w:rsidRPr="00845FBC">
        <w:rPr>
          <w:rFonts w:cs="Arial"/>
        </w:rPr>
        <w:t>pM</w:t>
      </w:r>
      <w:proofErr w:type="spellEnd"/>
      <w:r w:rsidRPr="00845FBC">
        <w:rPr>
          <w:rFonts w:cs="Arial"/>
        </w:rPr>
        <w:t xml:space="preserve">, or </w:t>
      </w:r>
      <w:proofErr w:type="spellStart"/>
      <w:r w:rsidRPr="00845FBC">
        <w:rPr>
          <w:rFonts w:cs="Arial"/>
        </w:rPr>
        <w:t>pT</w:t>
      </w:r>
      <w:proofErr w:type="spellEnd"/>
      <w:r w:rsidRPr="00845FBC">
        <w:rPr>
          <w:rFonts w:cs="Arial"/>
        </w:rPr>
        <w:t xml:space="preserve"> </w:t>
      </w:r>
      <w:proofErr w:type="spellStart"/>
      <w:r w:rsidRPr="00845FBC">
        <w:rPr>
          <w:rFonts w:cs="Arial"/>
        </w:rPr>
        <w:t>pG</w:t>
      </w:r>
      <w:proofErr w:type="spellEnd"/>
      <w:r w:rsidRPr="00845FBC">
        <w:rPr>
          <w:rFonts w:cs="Arial"/>
        </w:rPr>
        <w:t xml:space="preserve"> </w:t>
      </w:r>
      <w:proofErr w:type="spellStart"/>
      <w:r w:rsidRPr="00845FBC">
        <w:rPr>
          <w:rFonts w:cs="Arial"/>
        </w:rPr>
        <w:t>cN</w:t>
      </w:r>
      <w:proofErr w:type="spellEnd"/>
      <w:r w:rsidRPr="00845FBC">
        <w:rPr>
          <w:rFonts w:cs="Arial"/>
        </w:rPr>
        <w:t xml:space="preserve"> </w:t>
      </w:r>
      <w:proofErr w:type="spellStart"/>
      <w:r w:rsidRPr="00845FBC">
        <w:rPr>
          <w:rFonts w:cs="Arial"/>
        </w:rPr>
        <w:t>cM</w:t>
      </w:r>
      <w:proofErr w:type="spellEnd"/>
      <w:r w:rsidRPr="00845FBC">
        <w:rPr>
          <w:rFonts w:cs="Arial"/>
        </w:rPr>
        <w:t xml:space="preserve">, or </w:t>
      </w:r>
      <w:proofErr w:type="spellStart"/>
      <w:r w:rsidRPr="00845FBC">
        <w:rPr>
          <w:rFonts w:cs="Arial"/>
        </w:rPr>
        <w:t>cT</w:t>
      </w:r>
      <w:proofErr w:type="spellEnd"/>
      <w:r w:rsidRPr="00845FBC">
        <w:rPr>
          <w:rFonts w:cs="Arial"/>
        </w:rPr>
        <w:t xml:space="preserve"> </w:t>
      </w:r>
      <w:proofErr w:type="spellStart"/>
      <w:r w:rsidRPr="00845FBC">
        <w:rPr>
          <w:rFonts w:cs="Arial"/>
        </w:rPr>
        <w:t>cN</w:t>
      </w:r>
      <w:proofErr w:type="spellEnd"/>
      <w:r w:rsidRPr="00845FBC">
        <w:rPr>
          <w:rFonts w:cs="Arial"/>
        </w:rPr>
        <w:t xml:space="preserve"> </w:t>
      </w:r>
      <w:proofErr w:type="spellStart"/>
      <w:r w:rsidRPr="00845FBC">
        <w:rPr>
          <w:rFonts w:cs="Arial"/>
        </w:rPr>
        <w:t>pM</w:t>
      </w:r>
      <w:proofErr w:type="spellEnd"/>
    </w:p>
    <w:p w14:paraId="2995AD08" w14:textId="77777777" w:rsidR="001D6B87" w:rsidRPr="00845FBC" w:rsidRDefault="001D6B87" w:rsidP="00B336E3">
      <w:pPr>
        <w:rPr>
          <w:rFonts w:eastAsia="MS Mincho" w:cs="Arial"/>
        </w:rPr>
      </w:pPr>
    </w:p>
    <w:p w14:paraId="6E1BD4F5" w14:textId="77777777" w:rsidR="00B336E3" w:rsidRPr="009A4BFE" w:rsidRDefault="00B336E3" w:rsidP="00B336E3">
      <w:pPr>
        <w:pStyle w:val="Heading2"/>
        <w:rPr>
          <w:rFonts w:cs="Arial"/>
          <w:b w:val="0"/>
          <w:bCs/>
          <w:u w:val="single"/>
        </w:rPr>
      </w:pPr>
      <w:r w:rsidRPr="009A4BFE">
        <w:rPr>
          <w:rFonts w:cs="Arial"/>
          <w:b w:val="0"/>
          <w:bCs/>
          <w:u w:val="single"/>
        </w:rPr>
        <w:t>TNM Descriptors</w:t>
      </w:r>
    </w:p>
    <w:p w14:paraId="3CC5BF07" w14:textId="77777777" w:rsidR="00B336E3" w:rsidRPr="00845FBC" w:rsidRDefault="00B336E3" w:rsidP="00B336E3">
      <w:pPr>
        <w:rPr>
          <w:rFonts w:cs="Arial"/>
        </w:rPr>
      </w:pPr>
      <w:r w:rsidRPr="00845FBC">
        <w:rPr>
          <w:rFonts w:cs="Arial"/>
        </w:rPr>
        <w:t xml:space="preserve">For identification of special cases of TNM or </w:t>
      </w:r>
      <w:proofErr w:type="spellStart"/>
      <w:r w:rsidRPr="00845FBC">
        <w:rPr>
          <w:rFonts w:cs="Arial"/>
        </w:rPr>
        <w:t>pTNM</w:t>
      </w:r>
      <w:proofErr w:type="spellEnd"/>
      <w:r w:rsidRPr="00845FBC">
        <w:rPr>
          <w:rFonts w:cs="Arial"/>
        </w:rPr>
        <w:t xml:space="preserve"> classifications, the “m” suffix and the “y” and “r” prefixes are used. Although they do not affect the stage grouping, they indicate cases needing separate analysis.</w:t>
      </w:r>
    </w:p>
    <w:p w14:paraId="093E4B7C" w14:textId="77777777" w:rsidR="00B336E3" w:rsidRPr="00845FBC" w:rsidRDefault="00B336E3" w:rsidP="00B336E3">
      <w:pPr>
        <w:rPr>
          <w:rFonts w:cs="Arial"/>
        </w:rPr>
      </w:pPr>
    </w:p>
    <w:p w14:paraId="35E282A7" w14:textId="77777777" w:rsidR="00B336E3" w:rsidRPr="00845FBC" w:rsidRDefault="00B336E3" w:rsidP="00B336E3">
      <w:pPr>
        <w:rPr>
          <w:rFonts w:cs="Arial"/>
        </w:rPr>
      </w:pPr>
      <w:r w:rsidRPr="00845FBC">
        <w:rPr>
          <w:rFonts w:cs="Arial"/>
          <w:u w:val="single"/>
        </w:rPr>
        <w:t>The “m” suffix</w:t>
      </w:r>
      <w:r w:rsidRPr="00845FBC">
        <w:rPr>
          <w:rFonts w:cs="Arial"/>
        </w:rPr>
        <w:t xml:space="preserve"> indicates the presence of multiple primary tumors in a single site and is recorded in parentheses: pT(m)NM.</w:t>
      </w:r>
    </w:p>
    <w:p w14:paraId="4DBB19C2" w14:textId="77777777" w:rsidR="00B336E3" w:rsidRPr="00845FBC" w:rsidRDefault="00B336E3" w:rsidP="00B336E3">
      <w:pPr>
        <w:rPr>
          <w:rFonts w:cs="Arial"/>
        </w:rPr>
      </w:pPr>
    </w:p>
    <w:p w14:paraId="1DD80032" w14:textId="77777777" w:rsidR="00B336E3" w:rsidRPr="00845FBC" w:rsidRDefault="00B336E3" w:rsidP="00B336E3">
      <w:pPr>
        <w:rPr>
          <w:rFonts w:cs="Arial"/>
        </w:rPr>
      </w:pPr>
      <w:r w:rsidRPr="00845FBC">
        <w:rPr>
          <w:rFonts w:cs="Arial"/>
          <w:u w:val="single"/>
        </w:rPr>
        <w:t>The “y” prefix</w:t>
      </w:r>
      <w:r w:rsidRPr="00845FBC">
        <w:rPr>
          <w:rFonts w:cs="Arial"/>
        </w:rPr>
        <w:t xml:space="preserve"> indicates those cases in which classification is performed during or following initial multimodality therapy (</w:t>
      </w:r>
      <w:proofErr w:type="spellStart"/>
      <w:r w:rsidRPr="00845FBC">
        <w:rPr>
          <w:rFonts w:cs="Arial"/>
        </w:rPr>
        <w:t>ie</w:t>
      </w:r>
      <w:proofErr w:type="spellEnd"/>
      <w:r w:rsidRPr="00845FBC">
        <w:rPr>
          <w:rFonts w:cs="Arial"/>
        </w:rPr>
        <w:t xml:space="preserve">, neoadjuvant chemotherapy, radiation therapy, or both chemotherapy and radiation therapy). The </w:t>
      </w:r>
      <w:proofErr w:type="spellStart"/>
      <w:r w:rsidRPr="00845FBC">
        <w:rPr>
          <w:rFonts w:cs="Arial"/>
        </w:rPr>
        <w:t>cTNM</w:t>
      </w:r>
      <w:proofErr w:type="spellEnd"/>
      <w:r w:rsidRPr="00845FBC">
        <w:rPr>
          <w:rFonts w:cs="Arial"/>
        </w:rPr>
        <w:t xml:space="preserve"> or </w:t>
      </w:r>
      <w:proofErr w:type="spellStart"/>
      <w:r w:rsidRPr="00845FBC">
        <w:rPr>
          <w:rFonts w:cs="Arial"/>
        </w:rPr>
        <w:t>pTNM</w:t>
      </w:r>
      <w:proofErr w:type="spellEnd"/>
      <w:r w:rsidRPr="00845FBC">
        <w:rPr>
          <w:rFonts w:cs="Arial"/>
        </w:rPr>
        <w:t xml:space="preserve"> category is identified by a “y” prefix. The </w:t>
      </w:r>
      <w:proofErr w:type="spellStart"/>
      <w:r w:rsidRPr="00845FBC">
        <w:rPr>
          <w:rFonts w:cs="Arial"/>
        </w:rPr>
        <w:t>ycTNM</w:t>
      </w:r>
      <w:proofErr w:type="spellEnd"/>
      <w:r w:rsidRPr="00845FBC">
        <w:rPr>
          <w:rFonts w:cs="Arial"/>
        </w:rPr>
        <w:t xml:space="preserve"> or </w:t>
      </w:r>
      <w:proofErr w:type="spellStart"/>
      <w:r w:rsidRPr="00845FBC">
        <w:rPr>
          <w:rFonts w:cs="Arial"/>
        </w:rPr>
        <w:t>ypTNM</w:t>
      </w:r>
      <w:proofErr w:type="spellEnd"/>
      <w:r w:rsidRPr="00845FBC">
        <w:rPr>
          <w:rFonts w:cs="Arial"/>
        </w:rPr>
        <w:t xml:space="preserve"> categorizes the extent of tumor </w:t>
      </w:r>
      <w:proofErr w:type="gramStart"/>
      <w:r w:rsidRPr="00845FBC">
        <w:rPr>
          <w:rFonts w:cs="Arial"/>
        </w:rPr>
        <w:t>actually present</w:t>
      </w:r>
      <w:proofErr w:type="gramEnd"/>
      <w:r w:rsidRPr="00845FBC">
        <w:rPr>
          <w:rFonts w:cs="Arial"/>
        </w:rPr>
        <w:t xml:space="preserve"> at the time of that examination. The “y” categorization is not an estimate of tumor prior to multimodality therapy (</w:t>
      </w:r>
      <w:proofErr w:type="spellStart"/>
      <w:r w:rsidRPr="00845FBC">
        <w:rPr>
          <w:rFonts w:cs="Arial"/>
        </w:rPr>
        <w:t>ie</w:t>
      </w:r>
      <w:proofErr w:type="spellEnd"/>
      <w:r w:rsidRPr="00845FBC">
        <w:rPr>
          <w:rFonts w:cs="Arial"/>
        </w:rPr>
        <w:t>, before initiation of neoadjuvant therapy).</w:t>
      </w:r>
    </w:p>
    <w:p w14:paraId="028C340B" w14:textId="77777777" w:rsidR="00B336E3" w:rsidRPr="00845FBC" w:rsidRDefault="00B336E3" w:rsidP="00B336E3">
      <w:pPr>
        <w:rPr>
          <w:rFonts w:cs="Arial"/>
        </w:rPr>
      </w:pPr>
    </w:p>
    <w:p w14:paraId="57B52E1C" w14:textId="77777777" w:rsidR="00B336E3" w:rsidRPr="00845FBC" w:rsidRDefault="00B336E3" w:rsidP="00B336E3">
      <w:pPr>
        <w:rPr>
          <w:rFonts w:cs="Arial"/>
        </w:rPr>
      </w:pPr>
      <w:r w:rsidRPr="00845FBC">
        <w:rPr>
          <w:rFonts w:cs="Arial"/>
          <w:u w:val="single"/>
        </w:rPr>
        <w:t>The “r” prefix</w:t>
      </w:r>
      <w:r w:rsidRPr="00845FBC">
        <w:rPr>
          <w:rFonts w:cs="Arial"/>
        </w:rPr>
        <w:t xml:space="preserve"> indicates a recurrent tumor when staged after a documented disease-free </w:t>
      </w:r>
      <w:proofErr w:type="gramStart"/>
      <w:r w:rsidRPr="00845FBC">
        <w:rPr>
          <w:rFonts w:cs="Arial"/>
        </w:rPr>
        <w:t>interval, and</w:t>
      </w:r>
      <w:proofErr w:type="gramEnd"/>
      <w:r w:rsidRPr="00845FBC">
        <w:rPr>
          <w:rFonts w:cs="Arial"/>
        </w:rPr>
        <w:t xml:space="preserve"> is identified by the “r” prefix: </w:t>
      </w:r>
      <w:proofErr w:type="spellStart"/>
      <w:r w:rsidRPr="00845FBC">
        <w:rPr>
          <w:rFonts w:cs="Arial"/>
        </w:rPr>
        <w:t>rTNM</w:t>
      </w:r>
      <w:proofErr w:type="spellEnd"/>
      <w:r w:rsidRPr="00845FBC">
        <w:rPr>
          <w:rFonts w:cs="Arial"/>
        </w:rPr>
        <w:t>.</w:t>
      </w:r>
    </w:p>
    <w:p w14:paraId="5CB6D724" w14:textId="77777777" w:rsidR="003923B1" w:rsidRPr="00845FBC" w:rsidRDefault="003923B1" w:rsidP="00B336E3">
      <w:pPr>
        <w:rPr>
          <w:rFonts w:cs="Arial"/>
        </w:rPr>
      </w:pPr>
    </w:p>
    <w:p w14:paraId="6D68714B" w14:textId="77777777" w:rsidR="003923B1" w:rsidRPr="009A4BFE" w:rsidRDefault="003923B1" w:rsidP="00B336E3">
      <w:pPr>
        <w:rPr>
          <w:rFonts w:eastAsia="MS Mincho" w:cs="Arial"/>
          <w:bCs/>
          <w:u w:val="single"/>
        </w:rPr>
      </w:pPr>
      <w:r w:rsidRPr="009A4BFE">
        <w:rPr>
          <w:rFonts w:eastAsia="MS Mincho" w:cs="Arial"/>
          <w:bCs/>
          <w:u w:val="single"/>
        </w:rPr>
        <w:t>T Category Considerations</w:t>
      </w:r>
      <w:r w:rsidR="00DD7C11" w:rsidRPr="009A4BFE">
        <w:rPr>
          <w:rFonts w:eastAsia="MS Mincho" w:cs="Arial"/>
          <w:bCs/>
          <w:u w:val="single"/>
        </w:rPr>
        <w:t xml:space="preserve"> (Figures 2 and 3)</w:t>
      </w:r>
    </w:p>
    <w:p w14:paraId="5A4BB36C" w14:textId="77777777" w:rsidR="003923B1" w:rsidRPr="00845FBC" w:rsidRDefault="003923B1" w:rsidP="00B336E3">
      <w:pPr>
        <w:rPr>
          <w:rFonts w:cs="Arial"/>
        </w:rPr>
      </w:pPr>
      <w:r w:rsidRPr="00845FBC">
        <w:rPr>
          <w:rFonts w:cs="Arial"/>
        </w:rPr>
        <w:t>Spine segments for staging:</w:t>
      </w:r>
    </w:p>
    <w:p w14:paraId="252F1432" w14:textId="77777777" w:rsidR="003923B1" w:rsidRPr="00845FBC" w:rsidRDefault="003923B1" w:rsidP="00B336E3">
      <w:pPr>
        <w:rPr>
          <w:rFonts w:cs="Arial"/>
        </w:rPr>
      </w:pPr>
    </w:p>
    <w:p w14:paraId="1A269377" w14:textId="77777777" w:rsidR="003923B1" w:rsidRPr="00845FBC" w:rsidRDefault="00E8564A" w:rsidP="00B336E3">
      <w:pPr>
        <w:rPr>
          <w:rFonts w:cs="Arial"/>
          <w:noProof/>
        </w:rPr>
      </w:pPr>
      <w:r>
        <w:rPr>
          <w:rFonts w:cs="Arial"/>
          <w:noProof/>
        </w:rPr>
        <w:drawing>
          <wp:inline distT="0" distB="0" distL="0" distR="0" wp14:anchorId="47F9BFF3" wp14:editId="5345B607">
            <wp:extent cx="5939790" cy="2289810"/>
            <wp:effectExtent l="0" t="0" r="0" b="0"/>
            <wp:docPr id="5" name="Picture 4" descr="BONE_Fig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BONE_Fig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2289810"/>
                    </a:xfrm>
                    <a:prstGeom prst="rect">
                      <a:avLst/>
                    </a:prstGeom>
                    <a:noFill/>
                    <a:ln>
                      <a:noFill/>
                    </a:ln>
                  </pic:spPr>
                </pic:pic>
              </a:graphicData>
            </a:graphic>
          </wp:inline>
        </w:drawing>
      </w:r>
    </w:p>
    <w:p w14:paraId="54F3F2C7" w14:textId="77777777" w:rsidR="003923B1" w:rsidRPr="00845FBC" w:rsidRDefault="00E51FE6" w:rsidP="00B336E3">
      <w:pPr>
        <w:rPr>
          <w:rFonts w:cs="Arial"/>
          <w:noProof/>
          <w:sz w:val="18"/>
          <w:szCs w:val="18"/>
        </w:rPr>
      </w:pPr>
      <w:r w:rsidRPr="00845FBC">
        <w:rPr>
          <w:rFonts w:cs="Arial"/>
          <w:b/>
          <w:noProof/>
          <w:sz w:val="18"/>
          <w:szCs w:val="18"/>
        </w:rPr>
        <w:t>Figure 2</w:t>
      </w:r>
      <w:r w:rsidR="00845FBC" w:rsidRPr="00845FBC">
        <w:rPr>
          <w:rFonts w:cs="Arial"/>
          <w:b/>
          <w:noProof/>
          <w:sz w:val="18"/>
          <w:szCs w:val="18"/>
        </w:rPr>
        <w:t>.</w:t>
      </w:r>
      <w:r w:rsidRPr="00845FBC">
        <w:rPr>
          <w:rFonts w:cs="Arial"/>
          <w:noProof/>
          <w:sz w:val="18"/>
          <w:szCs w:val="18"/>
        </w:rPr>
        <w:t xml:space="preserve"> Spine segments for staging. Used with permission of the American Joint Committee on Cancer (AJCC), Chicago, Illinois. The original source for this material is the AJCC Cancer Staging Manual (2017) published by Springer Science and Business Media LLC, www.springerlink.com</w:t>
      </w:r>
      <w:r w:rsidR="00845FBC">
        <w:rPr>
          <w:rFonts w:cs="Arial"/>
          <w:noProof/>
          <w:sz w:val="18"/>
          <w:szCs w:val="18"/>
        </w:rPr>
        <w:t>.</w:t>
      </w:r>
    </w:p>
    <w:p w14:paraId="2DB59F20" w14:textId="77777777" w:rsidR="00E51FE6" w:rsidRPr="00845FBC" w:rsidRDefault="00E51FE6" w:rsidP="00B336E3">
      <w:pPr>
        <w:rPr>
          <w:rFonts w:cs="Arial"/>
          <w:noProof/>
        </w:rPr>
      </w:pPr>
    </w:p>
    <w:p w14:paraId="2BA65882" w14:textId="77777777" w:rsidR="003923B1" w:rsidRPr="00845FBC" w:rsidRDefault="003923B1" w:rsidP="00845FBC">
      <w:pPr>
        <w:keepNext/>
        <w:rPr>
          <w:rFonts w:cs="Arial"/>
        </w:rPr>
      </w:pPr>
      <w:r w:rsidRPr="00845FBC">
        <w:rPr>
          <w:rFonts w:cs="Arial"/>
        </w:rPr>
        <w:lastRenderedPageBreak/>
        <w:t>Pelvic segments for staging:</w:t>
      </w:r>
    </w:p>
    <w:p w14:paraId="279E2A73" w14:textId="77777777" w:rsidR="003923B1" w:rsidRPr="00845FBC" w:rsidRDefault="00E8564A" w:rsidP="00B336E3">
      <w:pPr>
        <w:rPr>
          <w:rFonts w:cs="Arial"/>
        </w:rPr>
      </w:pPr>
      <w:r>
        <w:rPr>
          <w:rFonts w:cs="Arial"/>
          <w:noProof/>
        </w:rPr>
        <w:drawing>
          <wp:inline distT="0" distB="0" distL="0" distR="0" wp14:anchorId="346501D6" wp14:editId="220439AC">
            <wp:extent cx="4802505" cy="3657600"/>
            <wp:effectExtent l="0" t="0" r="0" b="0"/>
            <wp:docPr id="4" name="Picture 5" descr="BONE_Fig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ONE_Fig2"/>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2505" cy="3657600"/>
                    </a:xfrm>
                    <a:prstGeom prst="rect">
                      <a:avLst/>
                    </a:prstGeom>
                    <a:noFill/>
                    <a:ln>
                      <a:noFill/>
                    </a:ln>
                  </pic:spPr>
                </pic:pic>
              </a:graphicData>
            </a:graphic>
          </wp:inline>
        </w:drawing>
      </w:r>
    </w:p>
    <w:p w14:paraId="79CF5298" w14:textId="77777777" w:rsidR="00E51FE6" w:rsidRPr="00845FBC" w:rsidRDefault="00E51FE6" w:rsidP="00E51FE6">
      <w:pPr>
        <w:rPr>
          <w:rFonts w:cs="Arial"/>
          <w:noProof/>
          <w:sz w:val="18"/>
          <w:szCs w:val="18"/>
        </w:rPr>
      </w:pPr>
      <w:r w:rsidRPr="00845FBC">
        <w:rPr>
          <w:rFonts w:cs="Arial"/>
          <w:b/>
          <w:noProof/>
          <w:sz w:val="18"/>
          <w:szCs w:val="18"/>
        </w:rPr>
        <w:t>Figure 3</w:t>
      </w:r>
      <w:r w:rsidR="00845FBC" w:rsidRPr="00845FBC">
        <w:rPr>
          <w:rFonts w:cs="Arial"/>
          <w:b/>
          <w:noProof/>
          <w:sz w:val="18"/>
          <w:szCs w:val="18"/>
        </w:rPr>
        <w:t>.</w:t>
      </w:r>
      <w:r w:rsidRPr="00845FBC">
        <w:rPr>
          <w:rFonts w:cs="Arial"/>
          <w:noProof/>
          <w:sz w:val="18"/>
          <w:szCs w:val="18"/>
        </w:rPr>
        <w:t xml:space="preserve"> Pelvic segments for staging. Used with permission of the American Joint Committee on Cancer (AJCC), Chicago, Illinois. The original source for this material is the AJCC Cancer Staging Manual (2017) published by Springer Science and Business Media LLC, www.springerlink.com</w:t>
      </w:r>
    </w:p>
    <w:p w14:paraId="21A082BD" w14:textId="77777777" w:rsidR="003923B1" w:rsidRPr="00845FBC" w:rsidRDefault="003923B1" w:rsidP="00B336E3">
      <w:pPr>
        <w:rPr>
          <w:rFonts w:cs="Arial"/>
        </w:rPr>
      </w:pPr>
    </w:p>
    <w:p w14:paraId="25C44755" w14:textId="77777777" w:rsidR="00B336E3" w:rsidRPr="009A4BFE" w:rsidRDefault="00B336E3" w:rsidP="00B336E3">
      <w:pPr>
        <w:rPr>
          <w:rFonts w:eastAsia="MS Mincho" w:cs="Arial"/>
          <w:bCs/>
          <w:u w:val="single"/>
        </w:rPr>
      </w:pPr>
      <w:r w:rsidRPr="009A4BFE">
        <w:rPr>
          <w:rFonts w:eastAsia="MS Mincho" w:cs="Arial"/>
          <w:bCs/>
          <w:u w:val="single"/>
        </w:rPr>
        <w:t>N Category Considerations</w:t>
      </w:r>
    </w:p>
    <w:p w14:paraId="75F143F8" w14:textId="77777777" w:rsidR="00B336E3" w:rsidRPr="00845FBC" w:rsidRDefault="00B336E3" w:rsidP="00B336E3">
      <w:pPr>
        <w:rPr>
          <w:rFonts w:eastAsia="MS Mincho" w:cs="Arial"/>
        </w:rPr>
      </w:pPr>
      <w:r w:rsidRPr="00845FBC">
        <w:rPr>
          <w:rFonts w:eastAsia="MS Mincho" w:cs="Arial"/>
        </w:rPr>
        <w:t>Because of the rarity of lymph node involvement in sarcomas, the designation NX may not be appropriate and could be considered N0 if no clinical involvement is evident.</w:t>
      </w:r>
    </w:p>
    <w:p w14:paraId="43C974DC" w14:textId="77777777" w:rsidR="00FF5052" w:rsidRDefault="00FF5052" w:rsidP="00FF5052">
      <w:pPr>
        <w:ind w:left="450" w:hanging="450"/>
        <w:rPr>
          <w:rFonts w:eastAsia="MS Mincho" w:cs="Arial"/>
        </w:rPr>
      </w:pPr>
    </w:p>
    <w:p w14:paraId="2294E7D4" w14:textId="77777777" w:rsidR="00B31115" w:rsidRPr="00845FBC" w:rsidRDefault="00B31115" w:rsidP="00B31115">
      <w:pPr>
        <w:rPr>
          <w:rFonts w:eastAsia="MS Mincho" w:cs="Arial"/>
        </w:rPr>
      </w:pPr>
      <w:r w:rsidRPr="00FF5052">
        <w:rPr>
          <w:rFonts w:eastAsia="MS Mincho" w:cs="Arial"/>
        </w:rPr>
        <w:t>References</w:t>
      </w:r>
    </w:p>
    <w:p w14:paraId="458E6391" w14:textId="77777777" w:rsidR="00B31115" w:rsidRDefault="00B31115" w:rsidP="00B31115">
      <w:pPr>
        <w:ind w:left="450" w:hanging="450"/>
        <w:rPr>
          <w:rFonts w:cs="Arial"/>
        </w:rPr>
      </w:pPr>
      <w:r>
        <w:rPr>
          <w:rFonts w:cs="Arial"/>
        </w:rPr>
        <w:t>1</w:t>
      </w:r>
      <w:r w:rsidRPr="00DC1132">
        <w:rPr>
          <w:rFonts w:cs="Arial"/>
        </w:rPr>
        <w:t>.</w:t>
      </w:r>
      <w:r w:rsidRPr="00DC1132">
        <w:rPr>
          <w:rFonts w:cs="Arial"/>
        </w:rPr>
        <w:tab/>
        <w:t xml:space="preserve">Amin MB, Edge SB, Greene FL, et al, eds. </w:t>
      </w:r>
      <w:r w:rsidRPr="00CF5A52">
        <w:rPr>
          <w:rFonts w:cs="Arial"/>
          <w:i/>
          <w:iCs/>
        </w:rPr>
        <w:t>AJCC Cancer Staging Manual. 8th ed</w:t>
      </w:r>
      <w:r w:rsidRPr="00DC1132">
        <w:rPr>
          <w:rFonts w:cs="Arial"/>
        </w:rPr>
        <w:t>. New York, NY: Springer; 2017.</w:t>
      </w:r>
    </w:p>
    <w:p w14:paraId="028E8A52" w14:textId="77777777" w:rsidR="00B31115" w:rsidRPr="00215F36" w:rsidRDefault="00B31115" w:rsidP="00B31115">
      <w:pPr>
        <w:pStyle w:val="Default"/>
        <w:ind w:left="450" w:hanging="450"/>
        <w:rPr>
          <w:color w:val="auto"/>
          <w:sz w:val="20"/>
          <w:szCs w:val="20"/>
        </w:rPr>
      </w:pPr>
      <w:r w:rsidRPr="00C32B64">
        <w:rPr>
          <w:sz w:val="20"/>
          <w:szCs w:val="20"/>
        </w:rPr>
        <w:t>2.</w:t>
      </w:r>
      <w:r>
        <w:rPr>
          <w:sz w:val="20"/>
          <w:szCs w:val="20"/>
        </w:rPr>
        <w:tab/>
      </w:r>
      <w:r w:rsidRPr="00215F36">
        <w:rPr>
          <w:color w:val="auto"/>
          <w:sz w:val="20"/>
          <w:szCs w:val="20"/>
        </w:rPr>
        <w:t xml:space="preserve">Brierley JD, </w:t>
      </w:r>
      <w:proofErr w:type="spellStart"/>
      <w:r w:rsidRPr="00215F36">
        <w:rPr>
          <w:color w:val="auto"/>
          <w:sz w:val="20"/>
          <w:szCs w:val="20"/>
        </w:rPr>
        <w:t>Gospodarowicz</w:t>
      </w:r>
      <w:proofErr w:type="spellEnd"/>
      <w:r w:rsidRPr="00215F36">
        <w:rPr>
          <w:color w:val="auto"/>
          <w:sz w:val="20"/>
          <w:szCs w:val="20"/>
        </w:rPr>
        <w:t xml:space="preserve"> MK, Wittekind C, et al, eds. </w:t>
      </w:r>
      <w:r w:rsidRPr="00215F36">
        <w:rPr>
          <w:i/>
          <w:iCs/>
          <w:color w:val="auto"/>
          <w:sz w:val="20"/>
          <w:szCs w:val="20"/>
        </w:rPr>
        <w:t xml:space="preserve">TNM Classification of Malignant </w:t>
      </w:r>
      <w:proofErr w:type="spellStart"/>
      <w:r w:rsidRPr="00215F36">
        <w:rPr>
          <w:i/>
          <w:iCs/>
          <w:color w:val="auto"/>
          <w:sz w:val="20"/>
          <w:szCs w:val="20"/>
        </w:rPr>
        <w:t>Tumours</w:t>
      </w:r>
      <w:proofErr w:type="spellEnd"/>
      <w:r w:rsidRPr="00215F36">
        <w:rPr>
          <w:color w:val="auto"/>
          <w:sz w:val="20"/>
          <w:szCs w:val="20"/>
        </w:rPr>
        <w:t xml:space="preserve">. 8th ed. Oxford, UK: Wiley; 2016. </w:t>
      </w:r>
    </w:p>
    <w:p w14:paraId="315D1AB2" w14:textId="77777777" w:rsidR="00B31115" w:rsidRDefault="00B31115" w:rsidP="00B31115">
      <w:pPr>
        <w:pStyle w:val="Heading2"/>
        <w:rPr>
          <w:rFonts w:cs="Arial"/>
        </w:rPr>
      </w:pPr>
    </w:p>
    <w:p w14:paraId="79FC9C56" w14:textId="1E002E95" w:rsidR="00B336E3" w:rsidRPr="00845FBC" w:rsidRDefault="00B31115">
      <w:pPr>
        <w:pStyle w:val="Heading2"/>
        <w:rPr>
          <w:rFonts w:cs="Arial"/>
        </w:rPr>
      </w:pPr>
      <w:r>
        <w:rPr>
          <w:rFonts w:cs="Arial"/>
        </w:rPr>
        <w:t>K</w:t>
      </w:r>
      <w:r w:rsidRPr="00845FBC">
        <w:rPr>
          <w:rFonts w:cs="Arial"/>
        </w:rPr>
        <w:t xml:space="preserve">.  </w:t>
      </w:r>
      <w:r w:rsidR="00B336E3" w:rsidRPr="00845FBC">
        <w:rPr>
          <w:rFonts w:cs="Arial"/>
        </w:rPr>
        <w:t>Response to Chemotherapy/Radiation Therapy Effect</w:t>
      </w:r>
    </w:p>
    <w:p w14:paraId="6B067E6F" w14:textId="76547ED9" w:rsidR="00B336E3" w:rsidRDefault="00B336E3" w:rsidP="00B336E3">
      <w:pPr>
        <w:rPr>
          <w:rFonts w:cs="Arial"/>
          <w:vertAlign w:val="superscript"/>
        </w:rPr>
      </w:pPr>
      <w:r w:rsidRPr="00845FBC">
        <w:rPr>
          <w:rFonts w:cs="Arial"/>
        </w:rPr>
        <w:t>It is essential to estimate neoadjuvant treatment effect in primary Ewing sarcoma and osteosarcoma of bone, as these have been shown to have prognostic significance.</w:t>
      </w:r>
      <w:r w:rsidRPr="00845FBC">
        <w:rPr>
          <w:rFonts w:cs="Arial"/>
          <w:vertAlign w:val="superscript"/>
        </w:rPr>
        <w:t>1-</w:t>
      </w:r>
      <w:r w:rsidR="00B31115">
        <w:rPr>
          <w:rFonts w:cs="Arial"/>
          <w:vertAlign w:val="superscript"/>
        </w:rPr>
        <w:t>5</w:t>
      </w:r>
      <w:r w:rsidRPr="00845FBC">
        <w:rPr>
          <w:rFonts w:cs="Arial"/>
        </w:rPr>
        <w:t xml:space="preserve"> An entire representative slice of the tumor taken through the long axis should be mapped using a grid pattern diagram, photocopy, or radiologic film to indicate the site for each tumor block. In addition, </w:t>
      </w:r>
      <w:r w:rsidR="00864FB8" w:rsidRPr="00845FBC">
        <w:rPr>
          <w:rFonts w:cs="Arial"/>
        </w:rPr>
        <w:t xml:space="preserve">the remainder of the neoplasm </w:t>
      </w:r>
      <w:r w:rsidRPr="00845FBC">
        <w:rPr>
          <w:rFonts w:cs="Arial"/>
        </w:rPr>
        <w:t xml:space="preserve">should be sampled at the rate of 1 section per centimeter. Areas of soft tissue extension and the interface of tumor with normal tissue should also be sampled. </w:t>
      </w:r>
      <w:r w:rsidR="0000684C" w:rsidRPr="00845FBC">
        <w:rPr>
          <w:rFonts w:cs="Arial"/>
        </w:rPr>
        <w:t>The sum of all viable areas measured microscopically is divided by the total cross</w:t>
      </w:r>
      <w:r w:rsidR="00845FBC">
        <w:rPr>
          <w:rFonts w:cs="Arial"/>
        </w:rPr>
        <w:t>-</w:t>
      </w:r>
      <w:r w:rsidR="0000684C" w:rsidRPr="00845FBC">
        <w:rPr>
          <w:rFonts w:cs="Arial"/>
        </w:rPr>
        <w:t xml:space="preserve">sectional area occupied by tumor to arrive at a percentage. </w:t>
      </w:r>
      <w:r w:rsidRPr="00845FBC">
        <w:rPr>
          <w:rFonts w:cs="Arial"/>
        </w:rPr>
        <w:t>Prognostically significant therapy response in osteosarcoma, according to most series, is defined at 90%, with those tumors showing 90% therapy response associated with a favorable prognosis.</w:t>
      </w:r>
      <w:r w:rsidR="00E3450D">
        <w:rPr>
          <w:rFonts w:cs="Arial"/>
          <w:vertAlign w:val="superscript"/>
        </w:rPr>
        <w:t>2</w:t>
      </w:r>
      <w:r w:rsidRPr="00845FBC">
        <w:rPr>
          <w:rFonts w:cs="Arial"/>
          <w:vertAlign w:val="superscript"/>
        </w:rPr>
        <w:t>,</w:t>
      </w:r>
      <w:r w:rsidR="00E3450D">
        <w:rPr>
          <w:rFonts w:cs="Arial"/>
          <w:vertAlign w:val="superscript"/>
        </w:rPr>
        <w:t>3</w:t>
      </w:r>
      <w:r w:rsidRPr="00845FBC">
        <w:rPr>
          <w:rFonts w:cs="Arial"/>
          <w:sz w:val="32"/>
        </w:rPr>
        <w:t xml:space="preserve"> </w:t>
      </w:r>
      <w:r w:rsidRPr="00845FBC">
        <w:rPr>
          <w:rFonts w:cs="Arial"/>
        </w:rPr>
        <w:t xml:space="preserve">There are </w:t>
      </w:r>
      <w:r w:rsidR="00DD7C11">
        <w:rPr>
          <w:rFonts w:cs="Arial"/>
        </w:rPr>
        <w:t>2</w:t>
      </w:r>
      <w:r w:rsidRPr="00845FBC">
        <w:rPr>
          <w:rFonts w:cs="Arial"/>
        </w:rPr>
        <w:t xml:space="preserve"> protocols to assess response to therapy in Ewing sarcoma. Response can be assessed in the same manner as osteosarcoma or by the system of </w:t>
      </w:r>
      <w:proofErr w:type="spellStart"/>
      <w:r w:rsidRPr="00845FBC">
        <w:rPr>
          <w:rFonts w:cs="Arial"/>
        </w:rPr>
        <w:t>Picci</w:t>
      </w:r>
      <w:proofErr w:type="spellEnd"/>
      <w:r w:rsidR="00DD7C11">
        <w:rPr>
          <w:rFonts w:cs="Arial"/>
        </w:rPr>
        <w:t>,</w:t>
      </w:r>
      <w:r w:rsidRPr="00845FBC">
        <w:rPr>
          <w:rFonts w:cs="Arial"/>
        </w:rPr>
        <w:t xml:space="preserve"> which is expressed as grade I (macroscopic viable tumor), grade II (microscopic viable tumor), or grade III (no viable tumor).</w:t>
      </w:r>
      <w:r w:rsidR="00E3450D">
        <w:rPr>
          <w:rFonts w:cs="Arial"/>
          <w:vertAlign w:val="superscript"/>
        </w:rPr>
        <w:t>4</w:t>
      </w:r>
      <w:r w:rsidRPr="00845FBC">
        <w:rPr>
          <w:rFonts w:cs="Arial"/>
          <w:vertAlign w:val="superscript"/>
        </w:rPr>
        <w:t>,</w:t>
      </w:r>
      <w:r w:rsidR="00E3450D">
        <w:rPr>
          <w:rFonts w:cs="Arial"/>
          <w:vertAlign w:val="superscript"/>
        </w:rPr>
        <w:t>5</w:t>
      </w:r>
      <w:r w:rsidRPr="00845FBC">
        <w:rPr>
          <w:rFonts w:cs="Arial"/>
          <w:vertAlign w:val="superscript"/>
        </w:rPr>
        <w:t xml:space="preserve"> </w:t>
      </w:r>
    </w:p>
    <w:p w14:paraId="732D5771" w14:textId="77777777" w:rsidR="00B31115" w:rsidRDefault="00B31115" w:rsidP="00B336E3">
      <w:pPr>
        <w:rPr>
          <w:rFonts w:cs="Arial"/>
          <w:vertAlign w:val="superscript"/>
        </w:rPr>
      </w:pPr>
    </w:p>
    <w:p w14:paraId="2D807247" w14:textId="77777777" w:rsidR="00B31115" w:rsidRPr="00845FBC" w:rsidRDefault="00B31115" w:rsidP="00B31115">
      <w:pPr>
        <w:rPr>
          <w:rFonts w:eastAsia="MS Mincho" w:cs="Arial"/>
        </w:rPr>
      </w:pPr>
      <w:r w:rsidRPr="00FF5052">
        <w:rPr>
          <w:rFonts w:eastAsia="MS Mincho" w:cs="Arial"/>
        </w:rPr>
        <w:t>References</w:t>
      </w:r>
    </w:p>
    <w:p w14:paraId="33ACDABF" w14:textId="77777777" w:rsidR="00B31115" w:rsidRPr="00C32B64" w:rsidRDefault="00B31115" w:rsidP="00B31115">
      <w:pPr>
        <w:ind w:left="450" w:hanging="450"/>
        <w:rPr>
          <w:rFonts w:cs="Arial"/>
        </w:rPr>
      </w:pPr>
      <w:r w:rsidRPr="00391E51">
        <w:rPr>
          <w:rFonts w:cs="Arial"/>
        </w:rPr>
        <w:t>1.</w:t>
      </w:r>
      <w:r w:rsidRPr="00391E51">
        <w:rPr>
          <w:rFonts w:cs="Arial"/>
        </w:rPr>
        <w:tab/>
        <w:t xml:space="preserve">Amin MB, Edge SB, Greene FL, et al, eds. </w:t>
      </w:r>
      <w:r w:rsidRPr="00C32B64">
        <w:rPr>
          <w:rFonts w:cs="Arial"/>
          <w:i/>
          <w:iCs/>
        </w:rPr>
        <w:t>AJCC Cancer Staging Manual. 8th ed</w:t>
      </w:r>
      <w:r w:rsidRPr="00C32B64">
        <w:rPr>
          <w:rFonts w:cs="Arial"/>
        </w:rPr>
        <w:t>. New York, NY: Springer; 2017.</w:t>
      </w:r>
    </w:p>
    <w:p w14:paraId="095099C5" w14:textId="77777777" w:rsidR="00B31115" w:rsidRPr="00391E51" w:rsidRDefault="00B31115" w:rsidP="00B31115">
      <w:pPr>
        <w:numPr>
          <w:ilvl w:val="0"/>
          <w:numId w:val="10"/>
        </w:numPr>
        <w:ind w:left="450" w:hanging="450"/>
        <w:rPr>
          <w:rFonts w:cs="Arial"/>
        </w:rPr>
      </w:pPr>
      <w:proofErr w:type="spellStart"/>
      <w:r w:rsidRPr="00C32B64">
        <w:rPr>
          <w:rFonts w:cs="Arial"/>
        </w:rPr>
        <w:lastRenderedPageBreak/>
        <w:t>Picci</w:t>
      </w:r>
      <w:proofErr w:type="spellEnd"/>
      <w:r w:rsidRPr="00C32B64">
        <w:rPr>
          <w:rFonts w:cs="Arial"/>
        </w:rPr>
        <w:t xml:space="preserve"> P, </w:t>
      </w:r>
      <w:proofErr w:type="spellStart"/>
      <w:r w:rsidRPr="00C32B64">
        <w:rPr>
          <w:rFonts w:cs="Arial"/>
        </w:rPr>
        <w:t>Sangiorgi</w:t>
      </w:r>
      <w:proofErr w:type="spellEnd"/>
      <w:r w:rsidRPr="00C32B64">
        <w:rPr>
          <w:rFonts w:cs="Arial"/>
        </w:rPr>
        <w:t xml:space="preserve"> L, </w:t>
      </w:r>
      <w:proofErr w:type="spellStart"/>
      <w:r w:rsidRPr="00C32B64">
        <w:rPr>
          <w:rFonts w:cs="Arial"/>
        </w:rPr>
        <w:t>Rougraff</w:t>
      </w:r>
      <w:proofErr w:type="spellEnd"/>
      <w:r w:rsidRPr="00C32B64">
        <w:rPr>
          <w:rFonts w:cs="Arial"/>
        </w:rPr>
        <w:t xml:space="preserve"> BT, Neff JR, </w:t>
      </w:r>
      <w:proofErr w:type="spellStart"/>
      <w:r w:rsidRPr="00C32B64">
        <w:rPr>
          <w:rFonts w:cs="Arial"/>
        </w:rPr>
        <w:t>Casadei</w:t>
      </w:r>
      <w:proofErr w:type="spellEnd"/>
      <w:r w:rsidRPr="00C32B64">
        <w:rPr>
          <w:rFonts w:cs="Arial"/>
        </w:rPr>
        <w:t xml:space="preserve"> R, </w:t>
      </w:r>
      <w:proofErr w:type="spellStart"/>
      <w:r w:rsidRPr="00C32B64">
        <w:rPr>
          <w:rFonts w:cs="Arial"/>
        </w:rPr>
        <w:t>Campanacci</w:t>
      </w:r>
      <w:proofErr w:type="spellEnd"/>
      <w:r w:rsidRPr="00C32B64">
        <w:rPr>
          <w:rFonts w:cs="Arial"/>
        </w:rPr>
        <w:t xml:space="preserve"> M. Relationship of chemotherapy-induced necrosis and surgical margins to local recurrence in osteosarcoma. J Clin Oncol</w:t>
      </w:r>
      <w:r w:rsidRPr="00391E51">
        <w:rPr>
          <w:rFonts w:cs="Arial"/>
        </w:rPr>
        <w:t>. 1994;12(12):2699-2705.</w:t>
      </w:r>
    </w:p>
    <w:p w14:paraId="7427DFDF" w14:textId="77777777" w:rsidR="00B31115" w:rsidRPr="00391E51" w:rsidRDefault="00B31115" w:rsidP="00B31115">
      <w:pPr>
        <w:numPr>
          <w:ilvl w:val="0"/>
          <w:numId w:val="10"/>
        </w:numPr>
        <w:ind w:left="450" w:hanging="450"/>
        <w:rPr>
          <w:rFonts w:cs="Arial"/>
        </w:rPr>
      </w:pPr>
      <w:r w:rsidRPr="00C32B64">
        <w:rPr>
          <w:rFonts w:cs="Arial"/>
        </w:rPr>
        <w:t xml:space="preserve">Raymond AK, Chawla SP, Carrasco CH, et al. Osteosarcoma chemotherapy effect: a prognostic factor. </w:t>
      </w:r>
      <w:proofErr w:type="spellStart"/>
      <w:r w:rsidRPr="00C32B64">
        <w:rPr>
          <w:rFonts w:cs="Arial"/>
        </w:rPr>
        <w:t>Semin</w:t>
      </w:r>
      <w:proofErr w:type="spellEnd"/>
      <w:r w:rsidRPr="00C32B64">
        <w:rPr>
          <w:rFonts w:cs="Arial"/>
        </w:rPr>
        <w:t xml:space="preserve"> Diagn </w:t>
      </w:r>
      <w:proofErr w:type="spellStart"/>
      <w:r w:rsidRPr="00C32B64">
        <w:rPr>
          <w:rFonts w:cs="Arial"/>
        </w:rPr>
        <w:t>Pathol</w:t>
      </w:r>
      <w:proofErr w:type="spellEnd"/>
      <w:r w:rsidRPr="00391E51">
        <w:rPr>
          <w:rFonts w:cs="Arial"/>
        </w:rPr>
        <w:t>. 1987;4(3):212-236.</w:t>
      </w:r>
    </w:p>
    <w:p w14:paraId="38C46EE4" w14:textId="77777777" w:rsidR="00B31115" w:rsidRPr="00391E51" w:rsidRDefault="00B31115" w:rsidP="00B31115">
      <w:pPr>
        <w:numPr>
          <w:ilvl w:val="0"/>
          <w:numId w:val="10"/>
        </w:numPr>
        <w:ind w:left="450" w:hanging="450"/>
        <w:rPr>
          <w:rFonts w:cs="Arial"/>
        </w:rPr>
      </w:pPr>
      <w:proofErr w:type="spellStart"/>
      <w:r w:rsidRPr="00C32B64">
        <w:rPr>
          <w:rFonts w:cs="Arial"/>
        </w:rPr>
        <w:t>Bacci</w:t>
      </w:r>
      <w:proofErr w:type="spellEnd"/>
      <w:r w:rsidRPr="00C32B64">
        <w:rPr>
          <w:rFonts w:cs="Arial"/>
        </w:rPr>
        <w:t xml:space="preserve"> G, Ferrari S, </w:t>
      </w:r>
      <w:proofErr w:type="spellStart"/>
      <w:r w:rsidRPr="00C32B64">
        <w:rPr>
          <w:rFonts w:cs="Arial"/>
        </w:rPr>
        <w:t>Bertoni</w:t>
      </w:r>
      <w:proofErr w:type="spellEnd"/>
      <w:r w:rsidRPr="00C32B64">
        <w:rPr>
          <w:rFonts w:cs="Arial"/>
        </w:rPr>
        <w:t xml:space="preserve"> F, et al. Prognostic factors in nonmetastatic Ewing's sarcoma of bone treated with adjuvant chemotherapy: analysis of 359 patients at the </w:t>
      </w:r>
      <w:proofErr w:type="spellStart"/>
      <w:r w:rsidRPr="00C32B64">
        <w:rPr>
          <w:rFonts w:cs="Arial"/>
        </w:rPr>
        <w:t>Istituto</w:t>
      </w:r>
      <w:proofErr w:type="spellEnd"/>
      <w:r w:rsidRPr="00C32B64">
        <w:rPr>
          <w:rFonts w:cs="Arial"/>
        </w:rPr>
        <w:t xml:space="preserve"> </w:t>
      </w:r>
      <w:proofErr w:type="spellStart"/>
      <w:r w:rsidRPr="00C32B64">
        <w:rPr>
          <w:rFonts w:cs="Arial"/>
        </w:rPr>
        <w:t>Ortopedico</w:t>
      </w:r>
      <w:proofErr w:type="spellEnd"/>
      <w:r w:rsidRPr="00C32B64">
        <w:rPr>
          <w:rFonts w:cs="Arial"/>
        </w:rPr>
        <w:t xml:space="preserve"> Rizzoli. J Clin Oncol</w:t>
      </w:r>
      <w:r w:rsidRPr="00391E51">
        <w:rPr>
          <w:rFonts w:cs="Arial"/>
        </w:rPr>
        <w:t>. 2000;18(1):4-11.</w:t>
      </w:r>
    </w:p>
    <w:p w14:paraId="62DEE47D" w14:textId="77777777" w:rsidR="00B31115" w:rsidRPr="00391E51" w:rsidRDefault="00B31115" w:rsidP="00B31115">
      <w:pPr>
        <w:numPr>
          <w:ilvl w:val="0"/>
          <w:numId w:val="10"/>
        </w:numPr>
        <w:ind w:left="450" w:hanging="450"/>
        <w:rPr>
          <w:rFonts w:cs="Arial"/>
        </w:rPr>
      </w:pPr>
      <w:proofErr w:type="spellStart"/>
      <w:r w:rsidRPr="00C32B64">
        <w:rPr>
          <w:rFonts w:cs="Arial"/>
        </w:rPr>
        <w:t>Picci</w:t>
      </w:r>
      <w:proofErr w:type="spellEnd"/>
      <w:r w:rsidRPr="00C32B64">
        <w:rPr>
          <w:rFonts w:cs="Arial"/>
        </w:rPr>
        <w:t xml:space="preserve"> P, </w:t>
      </w:r>
      <w:proofErr w:type="spellStart"/>
      <w:r w:rsidRPr="00C32B64">
        <w:rPr>
          <w:rFonts w:cs="Arial"/>
        </w:rPr>
        <w:t>Bohling</w:t>
      </w:r>
      <w:proofErr w:type="spellEnd"/>
      <w:r w:rsidRPr="00C32B64">
        <w:rPr>
          <w:rFonts w:cs="Arial"/>
        </w:rPr>
        <w:t xml:space="preserve"> T, </w:t>
      </w:r>
      <w:proofErr w:type="spellStart"/>
      <w:r w:rsidRPr="00C32B64">
        <w:rPr>
          <w:rFonts w:cs="Arial"/>
        </w:rPr>
        <w:t>Bacci</w:t>
      </w:r>
      <w:proofErr w:type="spellEnd"/>
      <w:r w:rsidRPr="00C32B64">
        <w:rPr>
          <w:rFonts w:cs="Arial"/>
        </w:rPr>
        <w:t xml:space="preserve"> G, et al. Chemotherapy-induced tumor necrosis as a prognostic factor in localized Ewing's sarcoma of the extremities. J Clin Oncol</w:t>
      </w:r>
      <w:r w:rsidRPr="00391E51">
        <w:rPr>
          <w:rFonts w:cs="Arial"/>
        </w:rPr>
        <w:t>. 1997;15(4):1553-1559.</w:t>
      </w:r>
    </w:p>
    <w:p w14:paraId="1BF06A13" w14:textId="77777777" w:rsidR="00B31115" w:rsidRPr="00845FBC" w:rsidRDefault="00B31115" w:rsidP="00B336E3">
      <w:pPr>
        <w:rPr>
          <w:rFonts w:cs="Arial"/>
        </w:rPr>
      </w:pPr>
    </w:p>
    <w:p w14:paraId="71222C7F" w14:textId="77777777" w:rsidR="00FF5052" w:rsidRPr="003D1CA0" w:rsidRDefault="00FF5052" w:rsidP="009A4BFE"/>
    <w:p w14:paraId="2BAED586" w14:textId="77777777" w:rsidR="00312D9E" w:rsidRPr="00845FBC" w:rsidRDefault="00312D9E" w:rsidP="003D1CA0">
      <w:pPr>
        <w:rPr>
          <w:rFonts w:cs="Arial"/>
        </w:rPr>
      </w:pPr>
    </w:p>
    <w:sectPr w:rsidR="00312D9E" w:rsidRPr="00845FBC" w:rsidSect="0072709F">
      <w:headerReference w:type="even" r:id="rId20"/>
      <w:headerReference w:type="default" r:id="rId21"/>
      <w:footerReference w:type="even" r:id="rId22"/>
      <w:footerReference w:type="default" r:id="rId23"/>
      <w:endnotePr>
        <w:numFmt w:val="decimal"/>
      </w:endnotePr>
      <w:pgSz w:w="12240" w:h="15840"/>
      <w:pgMar w:top="1440" w:right="1080" w:bottom="1440" w:left="108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0B0EE" w14:textId="77777777" w:rsidR="00E159A6" w:rsidRDefault="00E159A6">
      <w:r>
        <w:separator/>
      </w:r>
    </w:p>
  </w:endnote>
  <w:endnote w:type="continuationSeparator" w:id="0">
    <w:p w14:paraId="30994AD3" w14:textId="77777777" w:rsidR="00E159A6" w:rsidRDefault="00E15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CD031" w14:textId="77777777" w:rsidR="00E159A6" w:rsidRDefault="00E159A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64BBF04" w14:textId="77777777" w:rsidR="00E159A6" w:rsidRDefault="00E159A6">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13078" w14:textId="77777777" w:rsidR="00E159A6" w:rsidRDefault="00E159A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BAD2CB6" w14:textId="77777777" w:rsidR="00E159A6" w:rsidRDefault="00E159A6">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281A3" w14:textId="2CAB86CC" w:rsidR="00E159A6" w:rsidRPr="00CA00DE" w:rsidRDefault="00E159A6" w:rsidP="00CA00DE">
    <w:pPr>
      <w:widowControl w:val="0"/>
      <w:autoSpaceDE w:val="0"/>
      <w:autoSpaceDN w:val="0"/>
      <w:adjustRightInd w:val="0"/>
      <w:rPr>
        <w:color w:val="1F497D"/>
        <w:kern w:val="24"/>
        <w:sz w:val="16"/>
        <w:szCs w:val="16"/>
      </w:rPr>
    </w:pPr>
    <w:r w:rsidRPr="00CA00DE">
      <w:rPr>
        <w:rFonts w:cs="Arial"/>
        <w:b/>
        <w:kern w:val="24"/>
        <w:sz w:val="16"/>
        <w:szCs w:val="16"/>
      </w:rPr>
      <w:t>© 20</w:t>
    </w:r>
    <w:r>
      <w:rPr>
        <w:rFonts w:cs="Arial"/>
        <w:b/>
        <w:kern w:val="24"/>
        <w:sz w:val="16"/>
        <w:szCs w:val="16"/>
      </w:rPr>
      <w:t>20</w:t>
    </w:r>
    <w:r w:rsidRPr="00CA00DE">
      <w:rPr>
        <w:rFonts w:cs="Arial"/>
        <w:b/>
        <w:kern w:val="24"/>
        <w:sz w:val="16"/>
        <w:szCs w:val="16"/>
      </w:rPr>
      <w:t xml:space="preserve"> College of American Pathologists (CAP). All rights reserved.</w:t>
    </w:r>
    <w:r w:rsidRPr="00CA00DE">
      <w:rPr>
        <w:color w:val="1F497D"/>
        <w:kern w:val="24"/>
        <w:sz w:val="16"/>
        <w:szCs w:val="16"/>
      </w:rPr>
      <w:t xml:space="preserve"> </w:t>
    </w:r>
  </w:p>
  <w:p w14:paraId="76144D1D" w14:textId="77777777" w:rsidR="00E159A6" w:rsidRDefault="00E159A6" w:rsidP="00176D28">
    <w:pPr>
      <w:widowControl w:val="0"/>
      <w:autoSpaceDE w:val="0"/>
      <w:autoSpaceDN w:val="0"/>
      <w:adjustRightInd w:val="0"/>
    </w:pPr>
    <w:r w:rsidRPr="00CA00DE">
      <w:rPr>
        <w:color w:val="000000"/>
        <w:kern w:val="24"/>
        <w:sz w:val="16"/>
        <w:szCs w:val="16"/>
      </w:rPr>
      <w:t xml:space="preserve">For Terms of Use please visit </w:t>
    </w:r>
    <w:hyperlink r:id="rId1" w:history="1">
      <w:r w:rsidRPr="00CA00DE">
        <w:rPr>
          <w:color w:val="000000"/>
          <w:kern w:val="24"/>
          <w:sz w:val="16"/>
          <w:szCs w:val="16"/>
          <w:u w:val="single"/>
        </w:rPr>
        <w:t>www.cap.org/cancerprotocols</w:t>
      </w:r>
    </w:hyperlink>
    <w:r w:rsidRPr="00CA00DE">
      <w:rPr>
        <w:color w:val="000000"/>
        <w:kern w:val="24"/>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E5C88" w14:textId="77777777" w:rsidR="00E159A6" w:rsidRDefault="00E159A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76C0A179" w14:textId="77777777" w:rsidR="00E159A6" w:rsidRDefault="00E159A6">
    <w:pPr>
      <w:pStyle w:val="Footer"/>
      <w:tabs>
        <w:tab w:val="clear" w:pos="4320"/>
      </w:tabs>
      <w:ind w:left="720" w:right="360"/>
      <w:rPr>
        <w:sz w:val="18"/>
      </w:rPr>
    </w:pPr>
    <w:r>
      <w:rPr>
        <w:sz w:val="18"/>
      </w:rPr>
      <w:tab/>
      <w:t xml:space="preserve">* Data elements </w:t>
    </w:r>
    <w:r>
      <w:rPr>
        <w:b/>
        <w:i/>
        <w:sz w:val="18"/>
      </w:rPr>
      <w:t>with asterisks</w:t>
    </w:r>
    <w:r>
      <w:rPr>
        <w:sz w:val="18"/>
      </w:rPr>
      <w:t xml:space="preserve"> are </w:t>
    </w:r>
    <w:r>
      <w:rPr>
        <w:b/>
        <w:i/>
        <w:sz w:val="18"/>
      </w:rPr>
      <w:t>not required</w:t>
    </w:r>
    <w:r>
      <w:rPr>
        <w:sz w:val="18"/>
      </w:rPr>
      <w:t xml:space="preserve"> for accreditation purposes for</w:t>
    </w:r>
    <w:r>
      <w:rPr>
        <w:sz w:val="18"/>
      </w:rPr>
      <w:br/>
    </w:r>
    <w:r>
      <w:rPr>
        <w:sz w:val="18"/>
      </w:rPr>
      <w:tab/>
      <w:t>the Commission on Cancer. These elements may be clinically important,</w:t>
    </w:r>
    <w:r>
      <w:rPr>
        <w:sz w:val="18"/>
      </w:rPr>
      <w:br/>
    </w:r>
    <w:r>
      <w:rPr>
        <w:sz w:val="18"/>
      </w:rPr>
      <w:tab/>
      <w:t>but are not yet validated or regularly used in patient management.</w:t>
    </w:r>
    <w:r>
      <w:rPr>
        <w:sz w:val="18"/>
      </w:rPr>
      <w:br/>
    </w:r>
    <w:r>
      <w:rPr>
        <w:sz w:val="18"/>
      </w:rPr>
      <w:tab/>
      <w:t>Alternatively, the necessary data may not be available to the pathologist</w:t>
    </w:r>
    <w:r>
      <w:rPr>
        <w:sz w:val="18"/>
      </w:rPr>
      <w:br/>
    </w:r>
    <w:r>
      <w:rPr>
        <w:sz w:val="18"/>
      </w:rPr>
      <w:tab/>
      <w:t>at the time of pathologic assessment of this specimen.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486D6" w14:textId="77777777" w:rsidR="00E159A6" w:rsidRDefault="00E159A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79957816" w14:textId="77777777" w:rsidR="00E159A6" w:rsidRPr="0072709F" w:rsidRDefault="00E159A6" w:rsidP="00B50ACD">
    <w:pPr>
      <w:tabs>
        <w:tab w:val="center" w:pos="4320"/>
        <w:tab w:val="right" w:pos="8640"/>
      </w:tabs>
      <w:ind w:left="270" w:right="360" w:hanging="270"/>
      <w:rPr>
        <w:bCs/>
        <w:sz w:val="16"/>
        <w:szCs w:val="16"/>
      </w:rPr>
    </w:pPr>
    <w:r w:rsidRPr="0091676C">
      <w:rPr>
        <w:kern w:val="22"/>
        <w:sz w:val="16"/>
        <w:szCs w:val="16"/>
      </w:rPr>
      <w:t xml:space="preserve">+ </w:t>
    </w:r>
    <w:r w:rsidRPr="0091676C">
      <w:rPr>
        <w:kern w:val="22"/>
        <w:sz w:val="16"/>
        <w:szCs w:val="16"/>
      </w:rPr>
      <w:tab/>
      <w:t xml:space="preserve">Data elements preceded by this symbol are not required for accreditation purposes. These optional elements may be </w:t>
    </w:r>
    <w:r w:rsidRPr="0091676C">
      <w:rPr>
        <w:kern w:val="22"/>
        <w:sz w:val="16"/>
        <w:szCs w:val="16"/>
      </w:rPr>
      <w:br/>
      <w:t>clinically important but are not yet validated or regularly used in patient management.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2EB46" w14:textId="77777777" w:rsidR="00E159A6" w:rsidRDefault="00E159A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36</w:t>
    </w:r>
    <w:r>
      <w:rPr>
        <w:rStyle w:val="PageNumber"/>
      </w:rPr>
      <w:fldChar w:fldCharType="end"/>
    </w:r>
  </w:p>
  <w:p w14:paraId="47C8D690" w14:textId="77777777" w:rsidR="00E159A6" w:rsidRDefault="00E159A6">
    <w:pPr>
      <w:pStyle w:val="Footer"/>
      <w:tabs>
        <w:tab w:val="clear" w:pos="4320"/>
      </w:tabs>
      <w:ind w:left="720" w:right="360"/>
      <w:rPr>
        <w:sz w:val="18"/>
      </w:rPr>
    </w:pPr>
    <w:r>
      <w:rPr>
        <w:sz w:val="18"/>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3E0EC" w14:textId="77777777" w:rsidR="00E159A6" w:rsidRDefault="00E159A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0FD8BA58" w14:textId="77777777" w:rsidR="00E159A6" w:rsidRDefault="00E159A6">
    <w:pPr>
      <w:pStyle w:val="Footer"/>
      <w:ind w:left="180" w:right="360" w:hanging="180"/>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3B62A" w14:textId="77777777" w:rsidR="00E159A6" w:rsidRDefault="00E159A6">
      <w:r>
        <w:separator/>
      </w:r>
    </w:p>
  </w:footnote>
  <w:footnote w:type="continuationSeparator" w:id="0">
    <w:p w14:paraId="63689090" w14:textId="77777777" w:rsidR="00E159A6" w:rsidRDefault="00E159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119C0" w14:textId="77777777" w:rsidR="00E159A6" w:rsidRDefault="00E159A6">
    <w:pPr>
      <w:pStyle w:val="Header"/>
      <w:tabs>
        <w:tab w:val="clear" w:pos="4320"/>
      </w:tabs>
      <w:rPr>
        <w:b/>
      </w:rPr>
    </w:pPr>
    <w:r>
      <w:rPr>
        <w:b/>
      </w:rPr>
      <w:t>Soft Tissue and Bone • Other</w:t>
    </w:r>
    <w:r>
      <w:rPr>
        <w:b/>
      </w:rPr>
      <w:tab/>
      <w:t>CAP Approved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6403A" w14:textId="209B4440" w:rsidR="00E159A6" w:rsidRDefault="00E159A6" w:rsidP="0072709F">
    <w:pPr>
      <w:pStyle w:val="Header"/>
      <w:tabs>
        <w:tab w:val="clear" w:pos="4320"/>
        <w:tab w:val="clear" w:pos="8640"/>
        <w:tab w:val="right" w:pos="10080"/>
      </w:tabs>
      <w:rPr>
        <w:b/>
      </w:rPr>
    </w:pPr>
    <w:r>
      <w:rPr>
        <w:b/>
      </w:rPr>
      <w:tab/>
      <w:t>Bone/Soft Tissue • Bone Resection 4.0.1.0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F841C" w14:textId="77777777" w:rsidR="00E159A6" w:rsidRDefault="00E159A6">
    <w:pPr>
      <w:pStyle w:val="Header"/>
    </w:pPr>
    <w:r>
      <w:rPr>
        <w:noProof/>
      </w:rPr>
      <w:drawing>
        <wp:inline distT="0" distB="0" distL="0" distR="0" wp14:anchorId="284D678E" wp14:editId="3C8A8DED">
          <wp:extent cx="2950210" cy="508635"/>
          <wp:effectExtent l="0" t="0" r="0" b="0"/>
          <wp:docPr id="7" name="Picture 1" descr="CAP_logo_cmy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AP_logo_cmyk"/>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0210" cy="508635"/>
                  </a:xfrm>
                  <a:prstGeom prst="rect">
                    <a:avLst/>
                  </a:prstGeom>
                  <a:noFill/>
                  <a:ln>
                    <a:noFill/>
                  </a:ln>
                </pic:spPr>
              </pic:pic>
            </a:graphicData>
          </a:graphic>
        </wp:inline>
      </w:drawing>
    </w:r>
  </w:p>
  <w:p w14:paraId="1CEBEBDC" w14:textId="77777777" w:rsidR="00E159A6" w:rsidRPr="001F32D9" w:rsidRDefault="00E159A6">
    <w:pPr>
      <w:pStyle w:val="Header"/>
      <w:rPr>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2BDE6" w14:textId="41A8F235" w:rsidR="00E159A6" w:rsidRDefault="00E159A6" w:rsidP="00D410D4">
    <w:pPr>
      <w:pStyle w:val="Header"/>
      <w:tabs>
        <w:tab w:val="clear" w:pos="4320"/>
        <w:tab w:val="clear" w:pos="8640"/>
        <w:tab w:val="right" w:pos="10080"/>
      </w:tabs>
      <w:rPr>
        <w:b/>
      </w:rPr>
    </w:pPr>
    <w:r>
      <w:rPr>
        <w:b/>
      </w:rPr>
      <w:t>CAP Approved</w:t>
    </w:r>
    <w:r>
      <w:rPr>
        <w:b/>
      </w:rPr>
      <w:tab/>
    </w:r>
    <w:bookmarkStart w:id="1" w:name="_Hlk22640097"/>
    <w:r>
      <w:rPr>
        <w:b/>
      </w:rPr>
      <w:t xml:space="preserve">Bone/Soft Tissue </w:t>
    </w:r>
    <w:bookmarkStart w:id="2" w:name="_Hlk22632742"/>
    <w:r>
      <w:rPr>
        <w:b/>
      </w:rPr>
      <w:t>•</w:t>
    </w:r>
    <w:bookmarkEnd w:id="2"/>
    <w:r>
      <w:rPr>
        <w:b/>
      </w:rPr>
      <w:t xml:space="preserve"> Bone • Resection • 4.0.1.0</w:t>
    </w:r>
  </w:p>
  <w:bookmarkEnd w:id="1"/>
  <w:p w14:paraId="1BE7206F" w14:textId="68D77BD4" w:rsidR="00E159A6" w:rsidRPr="0072709F" w:rsidRDefault="00E159A6" w:rsidP="00D410D4">
    <w:pPr>
      <w:pStyle w:val="Header"/>
      <w:tabs>
        <w:tab w:val="clear" w:pos="4320"/>
        <w:tab w:val="clear" w:pos="8640"/>
        <w:tab w:val="right" w:pos="10080"/>
      </w:tabs>
      <w:rPr>
        <w:b/>
        <w:sz w:val="18"/>
        <w:szCs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53ED0" w14:textId="77777777" w:rsidR="00E159A6" w:rsidRDefault="00E159A6">
    <w:pPr>
      <w:pStyle w:val="Header"/>
      <w:tabs>
        <w:tab w:val="clear" w:pos="4320"/>
      </w:tabs>
      <w:rPr>
        <w:b/>
      </w:rPr>
    </w:pPr>
    <w:r>
      <w:rPr>
        <w:b/>
      </w:rPr>
      <w:t>Soft Tissue and Bone • Other</w:t>
    </w:r>
    <w:r>
      <w:rPr>
        <w:b/>
      </w:rPr>
      <w:tab/>
    </w:r>
    <w:proofErr w:type="gramStart"/>
    <w:r>
      <w:rPr>
        <w:b/>
      </w:rPr>
      <w:t>For</w:t>
    </w:r>
    <w:proofErr w:type="gramEnd"/>
    <w:r>
      <w:rPr>
        <w:b/>
      </w:rPr>
      <w:t xml:space="preserve"> Information Only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E76DD" w14:textId="6EF0484D" w:rsidR="00E159A6" w:rsidRPr="0072709F" w:rsidRDefault="00E159A6" w:rsidP="009A4BFE">
    <w:pPr>
      <w:pStyle w:val="Header"/>
      <w:tabs>
        <w:tab w:val="clear" w:pos="4320"/>
        <w:tab w:val="clear" w:pos="8640"/>
        <w:tab w:val="right" w:pos="10080"/>
      </w:tabs>
      <w:rPr>
        <w:b/>
        <w:sz w:val="18"/>
        <w:szCs w:val="18"/>
      </w:rPr>
    </w:pPr>
    <w:r>
      <w:rPr>
        <w:b/>
      </w:rPr>
      <w:t>Background Documentation</w:t>
    </w:r>
    <w:r>
      <w:rPr>
        <w:b/>
      </w:rPr>
      <w:tab/>
      <w:t>Bone/Soft Tissue • Bone • Resection • 4.0.1.0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DF6BF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426B3F"/>
    <w:multiLevelType w:val="hybridMultilevel"/>
    <w:tmpl w:val="571425FE"/>
    <w:lvl w:ilvl="0" w:tplc="3FB0974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47512"/>
    <w:multiLevelType w:val="hybridMultilevel"/>
    <w:tmpl w:val="B4968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5E6EC8"/>
    <w:multiLevelType w:val="hybridMultilevel"/>
    <w:tmpl w:val="96F0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4631DB"/>
    <w:multiLevelType w:val="hybridMultilevel"/>
    <w:tmpl w:val="B4968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CD6884"/>
    <w:multiLevelType w:val="hybridMultilevel"/>
    <w:tmpl w:val="706425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0455108"/>
    <w:multiLevelType w:val="hybridMultilevel"/>
    <w:tmpl w:val="B874EA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584214E"/>
    <w:multiLevelType w:val="hybridMultilevel"/>
    <w:tmpl w:val="E40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9337E9"/>
    <w:multiLevelType w:val="hybridMultilevel"/>
    <w:tmpl w:val="489E586E"/>
    <w:lvl w:ilvl="0" w:tplc="7D72087E">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1" w15:restartNumberingAfterBreak="0">
    <w:nsid w:val="6BBC5AFB"/>
    <w:multiLevelType w:val="hybridMultilevel"/>
    <w:tmpl w:val="B4968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BA372C"/>
    <w:multiLevelType w:val="hybridMultilevel"/>
    <w:tmpl w:val="C952F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5"/>
  </w:num>
  <w:num w:numId="4">
    <w:abstractNumId w:val="11"/>
  </w:num>
  <w:num w:numId="5">
    <w:abstractNumId w:val="0"/>
  </w:num>
  <w:num w:numId="6">
    <w:abstractNumId w:val="3"/>
  </w:num>
  <w:num w:numId="7">
    <w:abstractNumId w:val="6"/>
  </w:num>
  <w:num w:numId="8">
    <w:abstractNumId w:val="4"/>
  </w:num>
  <w:num w:numId="9">
    <w:abstractNumId w:val="12"/>
  </w:num>
  <w:num w:numId="10">
    <w:abstractNumId w:val="1"/>
  </w:num>
  <w:num w:numId="11">
    <w:abstractNumId w:val="10"/>
  </w:num>
  <w:num w:numId="12">
    <w:abstractNumId w:val="9"/>
  </w:num>
  <w:num w:numId="1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4577"/>
  </w:hdrShapeDefaults>
  <w:footnotePr>
    <w:footnote w:id="-1"/>
    <w:footnote w:id="0"/>
  </w:footnotePr>
  <w:endnotePr>
    <w:numFmt w:val="decimal"/>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ibraries" w:val="&lt;ENLibraries&gt;&lt;Libraries&gt;&lt;item&gt;capsarc.enl&lt;/item&gt;&lt;/Libraries&gt;&lt;/ENLibraries&gt;"/>
    <w:docVar w:name="REFMGR.InstantFormat" w:val="&lt;InstantFormat&gt;&lt;Enabled&gt;1&lt;/Enabled&gt;&lt;ScanUnformatted&gt;1&lt;/ScanUnformatted&gt;&lt;ScanChanges&gt;1&lt;/ScanChanges&gt;&lt;/InstantFormat&gt;"/>
    <w:docVar w:name="REFMGR.Layout" w:val="&lt;Layout&gt;&lt;StartingRefnum&gt;Archives of Pathology and Laboratory Medicine&lt;/StartingRefnum&gt;&lt;FontName&gt;Times New Roman&lt;/FontName&gt;&lt;FontSize&gt;12&lt;/FontSize&gt;&lt;ReflistTitle&gt;Reference List&lt;/ReflistTitle&gt;&lt;SpaceAfter&gt;1&lt;/SpaceAfter&gt;&lt;ReflistOrder&gt;0&lt;/ReflistOrder&gt;&lt;CitationOrder&gt;0&lt;/CitationOrder&gt;&lt;NumberReferences&gt;1&lt;/NumberReferences&gt;&lt;FirstLineIndent&gt;0&lt;/FirstLineIndent&gt;&lt;HangingIndent&gt;0&lt;/HangingIndent&gt;&lt;LineSpacing&gt;0&lt;/LineSpacing&gt;&lt;ShowReprint&gt;1&lt;/ShowReprint&gt;&lt;ShowNotes&gt;0&lt;/ShowNotes&gt;&lt;ShowKeywords&gt;0&lt;/ShowKeywords&gt;&lt;ShortFormFields&gt;0&lt;/ShortFormFields&gt;&lt;ShowRecordID&gt;0&lt;/ShowRecordID&gt;&lt;ShowAbstract&gt;0&lt;/ShowAbstract&gt;&lt;/Layout&gt;"/>
    <w:docVar w:name="REFMGR.Libraries" w:val="&lt;Databases&gt;&lt;Libraries&gt;&lt;item&gt;CAP protocol db&lt;/item&gt;&lt;/Libraries&gt;&lt;/Databases&gt;"/>
  </w:docVars>
  <w:rsids>
    <w:rsidRoot w:val="005C7D21"/>
    <w:rsid w:val="00002910"/>
    <w:rsid w:val="000054A2"/>
    <w:rsid w:val="0000684C"/>
    <w:rsid w:val="00011153"/>
    <w:rsid w:val="00023ADB"/>
    <w:rsid w:val="000263D2"/>
    <w:rsid w:val="00026B4D"/>
    <w:rsid w:val="000276E5"/>
    <w:rsid w:val="000333A6"/>
    <w:rsid w:val="0003730B"/>
    <w:rsid w:val="00042E2B"/>
    <w:rsid w:val="00051266"/>
    <w:rsid w:val="000557B1"/>
    <w:rsid w:val="00056CF2"/>
    <w:rsid w:val="00092611"/>
    <w:rsid w:val="000A6041"/>
    <w:rsid w:val="000A62D5"/>
    <w:rsid w:val="000D003B"/>
    <w:rsid w:val="000D6761"/>
    <w:rsid w:val="000E4615"/>
    <w:rsid w:val="000F41D7"/>
    <w:rsid w:val="000F76B6"/>
    <w:rsid w:val="0010230D"/>
    <w:rsid w:val="00106BBA"/>
    <w:rsid w:val="00110386"/>
    <w:rsid w:val="001133CF"/>
    <w:rsid w:val="001258C6"/>
    <w:rsid w:val="001318C0"/>
    <w:rsid w:val="00132658"/>
    <w:rsid w:val="00142F46"/>
    <w:rsid w:val="00146F2E"/>
    <w:rsid w:val="00147487"/>
    <w:rsid w:val="00154726"/>
    <w:rsid w:val="00165537"/>
    <w:rsid w:val="001718B6"/>
    <w:rsid w:val="00176D28"/>
    <w:rsid w:val="00177213"/>
    <w:rsid w:val="00177D85"/>
    <w:rsid w:val="00181179"/>
    <w:rsid w:val="001823B4"/>
    <w:rsid w:val="00185C08"/>
    <w:rsid w:val="00193AFC"/>
    <w:rsid w:val="001A01BA"/>
    <w:rsid w:val="001A1580"/>
    <w:rsid w:val="001A3D83"/>
    <w:rsid w:val="001A7ABA"/>
    <w:rsid w:val="001B4AE3"/>
    <w:rsid w:val="001B70AD"/>
    <w:rsid w:val="001C6C05"/>
    <w:rsid w:val="001C7001"/>
    <w:rsid w:val="001D106B"/>
    <w:rsid w:val="001D6B87"/>
    <w:rsid w:val="001E1955"/>
    <w:rsid w:val="001E3D94"/>
    <w:rsid w:val="001E70D4"/>
    <w:rsid w:val="001E7277"/>
    <w:rsid w:val="001F32D9"/>
    <w:rsid w:val="0020309B"/>
    <w:rsid w:val="0020380C"/>
    <w:rsid w:val="00210111"/>
    <w:rsid w:val="0021253C"/>
    <w:rsid w:val="002134CF"/>
    <w:rsid w:val="00214405"/>
    <w:rsid w:val="00215F36"/>
    <w:rsid w:val="002250DB"/>
    <w:rsid w:val="00226350"/>
    <w:rsid w:val="00230C49"/>
    <w:rsid w:val="0023350A"/>
    <w:rsid w:val="0023689B"/>
    <w:rsid w:val="00240D75"/>
    <w:rsid w:val="00241BC6"/>
    <w:rsid w:val="002426A4"/>
    <w:rsid w:val="00253887"/>
    <w:rsid w:val="00255345"/>
    <w:rsid w:val="00265372"/>
    <w:rsid w:val="002709DA"/>
    <w:rsid w:val="00276336"/>
    <w:rsid w:val="00280F68"/>
    <w:rsid w:val="00282C80"/>
    <w:rsid w:val="0029554A"/>
    <w:rsid w:val="002B62AC"/>
    <w:rsid w:val="002C1308"/>
    <w:rsid w:val="002C624A"/>
    <w:rsid w:val="002D51A1"/>
    <w:rsid w:val="002E1289"/>
    <w:rsid w:val="002E32BC"/>
    <w:rsid w:val="002F1124"/>
    <w:rsid w:val="002F11D9"/>
    <w:rsid w:val="003015FC"/>
    <w:rsid w:val="00312D9E"/>
    <w:rsid w:val="00325E40"/>
    <w:rsid w:val="0033713A"/>
    <w:rsid w:val="003434C5"/>
    <w:rsid w:val="00365C41"/>
    <w:rsid w:val="00370DE4"/>
    <w:rsid w:val="00374CA0"/>
    <w:rsid w:val="00375C82"/>
    <w:rsid w:val="00380477"/>
    <w:rsid w:val="003923B1"/>
    <w:rsid w:val="003B0981"/>
    <w:rsid w:val="003C4F8C"/>
    <w:rsid w:val="003D1CA0"/>
    <w:rsid w:val="003E0728"/>
    <w:rsid w:val="003E0909"/>
    <w:rsid w:val="003E6F38"/>
    <w:rsid w:val="003F2CA9"/>
    <w:rsid w:val="003F54B5"/>
    <w:rsid w:val="003F5BDF"/>
    <w:rsid w:val="00401F43"/>
    <w:rsid w:val="004102BC"/>
    <w:rsid w:val="004143E1"/>
    <w:rsid w:val="004176AF"/>
    <w:rsid w:val="004226DE"/>
    <w:rsid w:val="00427EE5"/>
    <w:rsid w:val="00432102"/>
    <w:rsid w:val="00443A19"/>
    <w:rsid w:val="0045579D"/>
    <w:rsid w:val="00456DF6"/>
    <w:rsid w:val="004720D0"/>
    <w:rsid w:val="00480731"/>
    <w:rsid w:val="0048565C"/>
    <w:rsid w:val="0049140F"/>
    <w:rsid w:val="004A17AC"/>
    <w:rsid w:val="004A4D28"/>
    <w:rsid w:val="004D388B"/>
    <w:rsid w:val="004D4D9A"/>
    <w:rsid w:val="004D5EF6"/>
    <w:rsid w:val="004D6EB1"/>
    <w:rsid w:val="004E144A"/>
    <w:rsid w:val="004E6CB4"/>
    <w:rsid w:val="004F3738"/>
    <w:rsid w:val="00511E57"/>
    <w:rsid w:val="00525675"/>
    <w:rsid w:val="00530A01"/>
    <w:rsid w:val="00534F28"/>
    <w:rsid w:val="00541824"/>
    <w:rsid w:val="00557303"/>
    <w:rsid w:val="005617F0"/>
    <w:rsid w:val="00563FCB"/>
    <w:rsid w:val="00564332"/>
    <w:rsid w:val="00564382"/>
    <w:rsid w:val="0056485D"/>
    <w:rsid w:val="005729A6"/>
    <w:rsid w:val="00582E60"/>
    <w:rsid w:val="005914B1"/>
    <w:rsid w:val="00596D85"/>
    <w:rsid w:val="005A12C6"/>
    <w:rsid w:val="005A6179"/>
    <w:rsid w:val="005A754B"/>
    <w:rsid w:val="005B64AE"/>
    <w:rsid w:val="005C63BC"/>
    <w:rsid w:val="005C7D21"/>
    <w:rsid w:val="005E69B5"/>
    <w:rsid w:val="005E6EDC"/>
    <w:rsid w:val="005F2DE4"/>
    <w:rsid w:val="005F58BA"/>
    <w:rsid w:val="00606A42"/>
    <w:rsid w:val="00611A0D"/>
    <w:rsid w:val="006156A1"/>
    <w:rsid w:val="00623068"/>
    <w:rsid w:val="00624679"/>
    <w:rsid w:val="00632B63"/>
    <w:rsid w:val="006444D3"/>
    <w:rsid w:val="0067213E"/>
    <w:rsid w:val="00672515"/>
    <w:rsid w:val="00684734"/>
    <w:rsid w:val="00695ABC"/>
    <w:rsid w:val="00696089"/>
    <w:rsid w:val="006A5DEC"/>
    <w:rsid w:val="006A6C3A"/>
    <w:rsid w:val="006B4AAC"/>
    <w:rsid w:val="006B5312"/>
    <w:rsid w:val="006C5DAB"/>
    <w:rsid w:val="006C6EDA"/>
    <w:rsid w:val="006C6F99"/>
    <w:rsid w:val="006D2329"/>
    <w:rsid w:val="006D78D0"/>
    <w:rsid w:val="00702DD0"/>
    <w:rsid w:val="007039B8"/>
    <w:rsid w:val="007166AE"/>
    <w:rsid w:val="0072709F"/>
    <w:rsid w:val="00742A5F"/>
    <w:rsid w:val="00743467"/>
    <w:rsid w:val="007526E1"/>
    <w:rsid w:val="00762E19"/>
    <w:rsid w:val="00770CC1"/>
    <w:rsid w:val="00776309"/>
    <w:rsid w:val="00783537"/>
    <w:rsid w:val="007866FF"/>
    <w:rsid w:val="00790AFD"/>
    <w:rsid w:val="007968D6"/>
    <w:rsid w:val="007968DE"/>
    <w:rsid w:val="007A305F"/>
    <w:rsid w:val="007B192F"/>
    <w:rsid w:val="007B48BD"/>
    <w:rsid w:val="007E5718"/>
    <w:rsid w:val="0080155C"/>
    <w:rsid w:val="008019BD"/>
    <w:rsid w:val="00802467"/>
    <w:rsid w:val="00804193"/>
    <w:rsid w:val="008057A7"/>
    <w:rsid w:val="00807352"/>
    <w:rsid w:val="00815700"/>
    <w:rsid w:val="00820B30"/>
    <w:rsid w:val="008217D0"/>
    <w:rsid w:val="008250BA"/>
    <w:rsid w:val="008308F9"/>
    <w:rsid w:val="0083194A"/>
    <w:rsid w:val="0084036B"/>
    <w:rsid w:val="00840A69"/>
    <w:rsid w:val="00845FBC"/>
    <w:rsid w:val="008518CB"/>
    <w:rsid w:val="00853946"/>
    <w:rsid w:val="00864FB8"/>
    <w:rsid w:val="008672FE"/>
    <w:rsid w:val="00872A3A"/>
    <w:rsid w:val="00872BCF"/>
    <w:rsid w:val="008841A8"/>
    <w:rsid w:val="00886342"/>
    <w:rsid w:val="008931C1"/>
    <w:rsid w:val="008B58C3"/>
    <w:rsid w:val="008C59E4"/>
    <w:rsid w:val="008D20B6"/>
    <w:rsid w:val="008D62ED"/>
    <w:rsid w:val="008E1A44"/>
    <w:rsid w:val="008E64A8"/>
    <w:rsid w:val="008E6CF4"/>
    <w:rsid w:val="008F4A77"/>
    <w:rsid w:val="008F4F69"/>
    <w:rsid w:val="00901EAC"/>
    <w:rsid w:val="00916353"/>
    <w:rsid w:val="0091676C"/>
    <w:rsid w:val="009244CE"/>
    <w:rsid w:val="0093286C"/>
    <w:rsid w:val="009350E9"/>
    <w:rsid w:val="00941F58"/>
    <w:rsid w:val="00942928"/>
    <w:rsid w:val="00942E79"/>
    <w:rsid w:val="009470F6"/>
    <w:rsid w:val="00951454"/>
    <w:rsid w:val="00962609"/>
    <w:rsid w:val="00967D50"/>
    <w:rsid w:val="00971E4A"/>
    <w:rsid w:val="0097245E"/>
    <w:rsid w:val="0098212F"/>
    <w:rsid w:val="00983840"/>
    <w:rsid w:val="009865DE"/>
    <w:rsid w:val="009927CA"/>
    <w:rsid w:val="009941C5"/>
    <w:rsid w:val="00996B46"/>
    <w:rsid w:val="009A23F6"/>
    <w:rsid w:val="009A375F"/>
    <w:rsid w:val="009A4BFE"/>
    <w:rsid w:val="009C0C56"/>
    <w:rsid w:val="009C4292"/>
    <w:rsid w:val="009C6970"/>
    <w:rsid w:val="009D3313"/>
    <w:rsid w:val="009E219B"/>
    <w:rsid w:val="009F0D80"/>
    <w:rsid w:val="009F33E8"/>
    <w:rsid w:val="00A06C35"/>
    <w:rsid w:val="00A16DE0"/>
    <w:rsid w:val="00A23D13"/>
    <w:rsid w:val="00A250FC"/>
    <w:rsid w:val="00A3398B"/>
    <w:rsid w:val="00A340B3"/>
    <w:rsid w:val="00A36903"/>
    <w:rsid w:val="00A432B8"/>
    <w:rsid w:val="00A4478A"/>
    <w:rsid w:val="00A552D1"/>
    <w:rsid w:val="00A706F1"/>
    <w:rsid w:val="00A73113"/>
    <w:rsid w:val="00A8251E"/>
    <w:rsid w:val="00A87DBE"/>
    <w:rsid w:val="00AA18B3"/>
    <w:rsid w:val="00AC1B4C"/>
    <w:rsid w:val="00AC32AD"/>
    <w:rsid w:val="00AC7710"/>
    <w:rsid w:val="00AE5189"/>
    <w:rsid w:val="00AF44A2"/>
    <w:rsid w:val="00AF6D69"/>
    <w:rsid w:val="00B006F5"/>
    <w:rsid w:val="00B01E4E"/>
    <w:rsid w:val="00B15AB6"/>
    <w:rsid w:val="00B16E41"/>
    <w:rsid w:val="00B206A9"/>
    <w:rsid w:val="00B23439"/>
    <w:rsid w:val="00B31115"/>
    <w:rsid w:val="00B31E01"/>
    <w:rsid w:val="00B336E3"/>
    <w:rsid w:val="00B43C78"/>
    <w:rsid w:val="00B47D30"/>
    <w:rsid w:val="00B50ACD"/>
    <w:rsid w:val="00B56C69"/>
    <w:rsid w:val="00B60A99"/>
    <w:rsid w:val="00B61A07"/>
    <w:rsid w:val="00B6280F"/>
    <w:rsid w:val="00B737DA"/>
    <w:rsid w:val="00B87B5C"/>
    <w:rsid w:val="00BA035A"/>
    <w:rsid w:val="00BA20B3"/>
    <w:rsid w:val="00BB11DD"/>
    <w:rsid w:val="00BB7D26"/>
    <w:rsid w:val="00BC5EC1"/>
    <w:rsid w:val="00BD21DB"/>
    <w:rsid w:val="00BD3686"/>
    <w:rsid w:val="00BD56E1"/>
    <w:rsid w:val="00BE3E8E"/>
    <w:rsid w:val="00BF6AF8"/>
    <w:rsid w:val="00C03DB6"/>
    <w:rsid w:val="00C21F84"/>
    <w:rsid w:val="00C25B95"/>
    <w:rsid w:val="00C35FC0"/>
    <w:rsid w:val="00C42AD1"/>
    <w:rsid w:val="00C433E0"/>
    <w:rsid w:val="00C43670"/>
    <w:rsid w:val="00C55CC2"/>
    <w:rsid w:val="00C55DF0"/>
    <w:rsid w:val="00C62ECC"/>
    <w:rsid w:val="00C720FD"/>
    <w:rsid w:val="00C73830"/>
    <w:rsid w:val="00C83132"/>
    <w:rsid w:val="00C87276"/>
    <w:rsid w:val="00CA00DE"/>
    <w:rsid w:val="00CA1321"/>
    <w:rsid w:val="00CB2F77"/>
    <w:rsid w:val="00CB3646"/>
    <w:rsid w:val="00CB4967"/>
    <w:rsid w:val="00CB7C00"/>
    <w:rsid w:val="00CC3B6D"/>
    <w:rsid w:val="00CC6991"/>
    <w:rsid w:val="00CD16A6"/>
    <w:rsid w:val="00CD36A5"/>
    <w:rsid w:val="00CD5CCE"/>
    <w:rsid w:val="00CF3BF9"/>
    <w:rsid w:val="00CF4916"/>
    <w:rsid w:val="00D12E77"/>
    <w:rsid w:val="00D130F8"/>
    <w:rsid w:val="00D20336"/>
    <w:rsid w:val="00D31701"/>
    <w:rsid w:val="00D3444F"/>
    <w:rsid w:val="00D410D4"/>
    <w:rsid w:val="00D4116C"/>
    <w:rsid w:val="00D4194E"/>
    <w:rsid w:val="00D45C52"/>
    <w:rsid w:val="00D7208E"/>
    <w:rsid w:val="00D735AD"/>
    <w:rsid w:val="00D95570"/>
    <w:rsid w:val="00D9747C"/>
    <w:rsid w:val="00DA1119"/>
    <w:rsid w:val="00DA7FCF"/>
    <w:rsid w:val="00DB0440"/>
    <w:rsid w:val="00DB110A"/>
    <w:rsid w:val="00DB342B"/>
    <w:rsid w:val="00DC1132"/>
    <w:rsid w:val="00DC1AED"/>
    <w:rsid w:val="00DD7C11"/>
    <w:rsid w:val="00DE4341"/>
    <w:rsid w:val="00DE71B8"/>
    <w:rsid w:val="00DE7995"/>
    <w:rsid w:val="00DF6699"/>
    <w:rsid w:val="00DF6D74"/>
    <w:rsid w:val="00E03385"/>
    <w:rsid w:val="00E104E0"/>
    <w:rsid w:val="00E159A6"/>
    <w:rsid w:val="00E17229"/>
    <w:rsid w:val="00E3450D"/>
    <w:rsid w:val="00E51FE6"/>
    <w:rsid w:val="00E5457F"/>
    <w:rsid w:val="00E62522"/>
    <w:rsid w:val="00E64C46"/>
    <w:rsid w:val="00E658C7"/>
    <w:rsid w:val="00E730E7"/>
    <w:rsid w:val="00E83311"/>
    <w:rsid w:val="00E84592"/>
    <w:rsid w:val="00E8564A"/>
    <w:rsid w:val="00E90A7B"/>
    <w:rsid w:val="00E96688"/>
    <w:rsid w:val="00EA22E4"/>
    <w:rsid w:val="00EB31DA"/>
    <w:rsid w:val="00EB61D3"/>
    <w:rsid w:val="00EB6F38"/>
    <w:rsid w:val="00EC0D55"/>
    <w:rsid w:val="00ED2D14"/>
    <w:rsid w:val="00EE19A2"/>
    <w:rsid w:val="00EE4728"/>
    <w:rsid w:val="00EF2323"/>
    <w:rsid w:val="00EF4373"/>
    <w:rsid w:val="00EF6873"/>
    <w:rsid w:val="00F0531B"/>
    <w:rsid w:val="00F11793"/>
    <w:rsid w:val="00F1500A"/>
    <w:rsid w:val="00F21DCB"/>
    <w:rsid w:val="00F30CE3"/>
    <w:rsid w:val="00F41F4A"/>
    <w:rsid w:val="00F4305D"/>
    <w:rsid w:val="00F52D2B"/>
    <w:rsid w:val="00F53DAA"/>
    <w:rsid w:val="00F607D8"/>
    <w:rsid w:val="00F66C5F"/>
    <w:rsid w:val="00F70DA9"/>
    <w:rsid w:val="00F7306B"/>
    <w:rsid w:val="00F93616"/>
    <w:rsid w:val="00F93D3B"/>
    <w:rsid w:val="00FA53EA"/>
    <w:rsid w:val="00FA5AA6"/>
    <w:rsid w:val="00FB2098"/>
    <w:rsid w:val="00FB3A42"/>
    <w:rsid w:val="00FB5369"/>
    <w:rsid w:val="00FC4A50"/>
    <w:rsid w:val="00FD6F8D"/>
    <w:rsid w:val="00FE7B4D"/>
    <w:rsid w:val="00FF1B19"/>
    <w:rsid w:val="00FF5052"/>
    <w:rsid w:val="00FF5D25"/>
    <w:rsid w:val="00FF7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14:docId w14:val="2C1C8D45"/>
  <w15:docId w15:val="{78614DEA-7BF6-4F12-884E-510AF9029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5FBC"/>
    <w:rPr>
      <w:rFonts w:ascii="Arial" w:hAnsi="Arial"/>
    </w:rPr>
  </w:style>
  <w:style w:type="paragraph" w:styleId="Heading1">
    <w:name w:val="heading 1"/>
    <w:basedOn w:val="Normal"/>
    <w:next w:val="Normal"/>
    <w:qFormat/>
    <w:rsid w:val="0072709F"/>
    <w:pPr>
      <w:keepNext/>
      <w:tabs>
        <w:tab w:val="left" w:pos="360"/>
      </w:tabs>
      <w:outlineLvl w:val="0"/>
    </w:pPr>
    <w:rPr>
      <w:b/>
    </w:rPr>
  </w:style>
  <w:style w:type="paragraph" w:styleId="Heading2">
    <w:name w:val="heading 2"/>
    <w:basedOn w:val="Normal"/>
    <w:next w:val="Normal"/>
    <w:link w:val="Heading2Char"/>
    <w:qFormat/>
    <w:pPr>
      <w:keepNext/>
      <w:tabs>
        <w:tab w:val="left" w:pos="360"/>
      </w:tabs>
      <w:outlineLvl w:val="1"/>
    </w:pPr>
    <w:rPr>
      <w:b/>
    </w:rPr>
  </w:style>
  <w:style w:type="paragraph" w:styleId="Heading3">
    <w:name w:val="heading 3"/>
    <w:basedOn w:val="Normal"/>
    <w:next w:val="Normal"/>
    <w:qFormat/>
    <w:pPr>
      <w:keepNext/>
      <w:outlineLvl w:val="2"/>
    </w:pPr>
    <w:rPr>
      <w:u w:val="single"/>
    </w:rPr>
  </w:style>
  <w:style w:type="paragraph" w:styleId="Heading4">
    <w:name w:val="heading 4"/>
    <w:basedOn w:val="Normal"/>
    <w:next w:val="Normal"/>
    <w:qFormat/>
    <w:pPr>
      <w:keepNext/>
      <w:ind w:firstLine="720"/>
      <w:outlineLvl w:val="3"/>
    </w:pPr>
    <w:rPr>
      <w:b/>
      <w:bCs/>
    </w:rPr>
  </w:style>
  <w:style w:type="paragraph" w:styleId="Heading5">
    <w:name w:val="heading 5"/>
    <w:basedOn w:val="Normal"/>
    <w:next w:val="Normal"/>
    <w:qFormat/>
    <w:pPr>
      <w:keepNext/>
      <w:tabs>
        <w:tab w:val="left" w:pos="360"/>
        <w:tab w:val="left" w:pos="9240"/>
      </w:tabs>
      <w:outlineLvl w:val="4"/>
    </w:pPr>
    <w:rPr>
      <w:b/>
      <w:bCs/>
    </w:rPr>
  </w:style>
  <w:style w:type="paragraph" w:styleId="Heading6">
    <w:name w:val="heading 6"/>
    <w:basedOn w:val="Normal"/>
    <w:next w:val="Normal"/>
    <w:qFormat/>
    <w:pPr>
      <w:keepNext/>
      <w:tabs>
        <w:tab w:val="left" w:pos="4200"/>
        <w:tab w:val="left" w:pos="9240"/>
      </w:tabs>
      <w:ind w:left="480" w:hanging="480"/>
      <w:outlineLvl w:val="5"/>
    </w:pPr>
    <w:rPr>
      <w:b/>
      <w:bCs/>
    </w:rPr>
  </w:style>
  <w:style w:type="paragraph" w:styleId="Heading7">
    <w:name w:val="heading 7"/>
    <w:basedOn w:val="Normal"/>
    <w:next w:val="Normal"/>
    <w:qFormat/>
    <w:pPr>
      <w:keepNext/>
      <w:tabs>
        <w:tab w:val="left" w:pos="4200"/>
        <w:tab w:val="left" w:pos="9240"/>
      </w:tabs>
      <w:ind w:left="245" w:hanging="245"/>
      <w:outlineLvl w:val="6"/>
    </w:pPr>
    <w:rPr>
      <w:b/>
      <w:bCs/>
    </w:rPr>
  </w:style>
  <w:style w:type="paragraph" w:styleId="Heading8">
    <w:name w:val="heading 8"/>
    <w:basedOn w:val="Normal"/>
    <w:next w:val="Normal"/>
    <w:qFormat/>
    <w:pPr>
      <w:keepNext/>
      <w:tabs>
        <w:tab w:val="left" w:pos="360"/>
        <w:tab w:val="left" w:pos="4200"/>
        <w:tab w:val="left" w:pos="9240"/>
      </w:tabs>
      <w:spacing w:before="60"/>
      <w:ind w:left="360" w:hanging="245"/>
      <w:outlineLvl w:val="7"/>
    </w:pPr>
    <w:rPr>
      <w:b/>
      <w:bCs/>
    </w:rPr>
  </w:style>
  <w:style w:type="paragraph" w:styleId="Heading9">
    <w:name w:val="heading 9"/>
    <w:basedOn w:val="Normal"/>
    <w:next w:val="Normal"/>
    <w:qFormat/>
    <w:pPr>
      <w:keepNext/>
      <w:tabs>
        <w:tab w:val="left" w:pos="4200"/>
        <w:tab w:val="left" w:pos="9240"/>
      </w:tabs>
      <w:ind w:left="360" w:hanging="36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style>
  <w:style w:type="paragraph" w:styleId="BodyText2">
    <w:name w:val="Body Text 2"/>
    <w:basedOn w:val="Normal"/>
    <w:link w:val="BodyText2Char"/>
    <w:rPr>
      <w:b/>
      <w:bCs/>
    </w:rPr>
  </w:style>
  <w:style w:type="paragraph" w:styleId="PlainText">
    <w:name w:val="Plain Text"/>
    <w:basedOn w:val="Normal"/>
    <w:rPr>
      <w:rFonts w:ascii="Courier New" w:hAnsi="Courier New"/>
    </w:rPr>
  </w:style>
  <w:style w:type="character" w:styleId="Hyperlink">
    <w:name w:val="Hyperlink"/>
    <w:rPr>
      <w:color w:val="0000FF"/>
      <w:u w:val="single"/>
    </w:rPr>
  </w:style>
  <w:style w:type="paragraph" w:styleId="BodyTextIndent">
    <w:name w:val="Body Text Indent"/>
    <w:basedOn w:val="Normal"/>
    <w:pPr>
      <w:ind w:left="2520" w:hanging="360"/>
    </w:pPr>
  </w:style>
  <w:style w:type="paragraph" w:styleId="BodyTextIndent2">
    <w:name w:val="Body Text Indent 2"/>
    <w:basedOn w:val="Normal"/>
    <w:pPr>
      <w:tabs>
        <w:tab w:val="left" w:pos="4200"/>
        <w:tab w:val="left" w:pos="9240"/>
      </w:tabs>
      <w:ind w:left="480" w:firstLine="60"/>
    </w:pPr>
    <w:rPr>
      <w:b/>
      <w:bCs/>
    </w:rPr>
  </w:style>
  <w:style w:type="paragraph" w:styleId="Footer">
    <w:name w:val="footer"/>
    <w:basedOn w:val="Normal"/>
    <w:pPr>
      <w:tabs>
        <w:tab w:val="center" w:pos="4320"/>
        <w:tab w:val="right" w:pos="8640"/>
      </w:tabs>
    </w:pPr>
  </w:style>
  <w:style w:type="character" w:styleId="PageNumber">
    <w:name w:val="page number"/>
    <w:rsid w:val="00845FBC"/>
    <w:rPr>
      <w:rFonts w:ascii="Arial" w:hAnsi="Arial"/>
      <w:sz w:val="20"/>
    </w:rPr>
  </w:style>
  <w:style w:type="character" w:styleId="FollowedHyperlink">
    <w:name w:val="FollowedHyperlink"/>
    <w:rPr>
      <w:color w:val="800080"/>
      <w:u w:val="single"/>
    </w:rPr>
  </w:style>
  <w:style w:type="paragraph" w:styleId="BodyTextIndent3">
    <w:name w:val="Body Text Indent 3"/>
    <w:basedOn w:val="Normal"/>
    <w:pPr>
      <w:tabs>
        <w:tab w:val="left" w:pos="2520"/>
      </w:tabs>
      <w:ind w:left="2160"/>
    </w:pPr>
  </w:style>
  <w:style w:type="paragraph" w:styleId="Header">
    <w:name w:val="header"/>
    <w:basedOn w:val="Normal"/>
    <w:pPr>
      <w:tabs>
        <w:tab w:val="center" w:pos="4320"/>
        <w:tab w:val="right" w:pos="8640"/>
      </w:tabs>
    </w:pPr>
  </w:style>
  <w:style w:type="paragraph" w:customStyle="1" w:styleId="Head1">
    <w:name w:val="Head 1"/>
    <w:basedOn w:val="Normal"/>
    <w:rPr>
      <w:b/>
      <w:sz w:val="32"/>
    </w:rPr>
  </w:style>
  <w:style w:type="paragraph" w:customStyle="1" w:styleId="Head2">
    <w:name w:val="Head 2"/>
    <w:basedOn w:val="Normal"/>
    <w:rsid w:val="0072709F"/>
    <w:pPr>
      <w:pBdr>
        <w:bottom w:val="single" w:sz="4" w:space="1" w:color="auto"/>
      </w:pBdr>
    </w:pPr>
    <w:rPr>
      <w:b/>
      <w:sz w:val="26"/>
    </w:rPr>
  </w:style>
  <w:style w:type="paragraph" w:customStyle="1" w:styleId="Head3">
    <w:name w:val="Head 3"/>
    <w:basedOn w:val="Normal"/>
    <w:pPr>
      <w:keepNext/>
      <w:spacing w:before="60"/>
      <w:jc w:val="right"/>
    </w:pPr>
    <w:rPr>
      <w:i/>
    </w:rPr>
  </w:style>
  <w:style w:type="paragraph" w:customStyle="1" w:styleId="Head">
    <w:name w:val="Head"/>
    <w:basedOn w:val="Normal"/>
    <w:pPr>
      <w:tabs>
        <w:tab w:val="left" w:pos="360"/>
      </w:tabs>
      <w:spacing w:after="180"/>
    </w:pPr>
    <w:rPr>
      <w:b/>
      <w:sz w:val="32"/>
    </w:rPr>
  </w:style>
  <w:style w:type="paragraph" w:customStyle="1" w:styleId="1">
    <w:name w:val="(1)"/>
    <w:basedOn w:val="Normal"/>
    <w:pPr>
      <w:ind w:left="1440" w:hanging="360"/>
    </w:pPr>
  </w:style>
  <w:style w:type="paragraph" w:styleId="BalloonText">
    <w:name w:val="Balloon Text"/>
    <w:basedOn w:val="Normal"/>
    <w:semiHidden/>
    <w:rPr>
      <w:rFonts w:ascii="Tahoma" w:hAnsi="Tahoma" w:cs="Courier New"/>
      <w:sz w:val="16"/>
      <w:szCs w:val="16"/>
    </w:rPr>
  </w:style>
  <w:style w:type="paragraph" w:customStyle="1" w:styleId="10">
    <w:name w:val="1."/>
    <w:basedOn w:val="Normal"/>
    <w:pPr>
      <w:ind w:left="720" w:hanging="360"/>
    </w:pPr>
  </w:style>
  <w:style w:type="paragraph" w:customStyle="1" w:styleId="a">
    <w:name w:val="a."/>
    <w:basedOn w:val="Normal"/>
    <w:pPr>
      <w:ind w:left="1080" w:hanging="360"/>
    </w:pPr>
  </w:style>
  <w:style w:type="paragraph" w:customStyle="1" w:styleId="i">
    <w:name w:val="i."/>
    <w:basedOn w:val="Normal"/>
    <w:pPr>
      <w:ind w:left="1800" w:hanging="360"/>
    </w:pPr>
  </w:style>
  <w:style w:type="paragraph" w:customStyle="1" w:styleId="a0">
    <w:name w:val="(a)"/>
    <w:basedOn w:val="Normal"/>
    <w:pPr>
      <w:tabs>
        <w:tab w:val="left" w:pos="3600"/>
      </w:tabs>
      <w:ind w:left="2160" w:hanging="360"/>
    </w:pPr>
  </w:style>
  <w:style w:type="paragraph" w:customStyle="1" w:styleId="i0">
    <w:name w:val="(i)"/>
    <w:basedOn w:val="Normal"/>
    <w:pPr>
      <w:ind w:left="2520" w:hanging="360"/>
    </w:pPr>
  </w:style>
  <w:style w:type="paragraph" w:customStyle="1" w:styleId="NormalTableText">
    <w:name w:val="Normal Table Text"/>
    <w:basedOn w:val="Normal"/>
    <w:rPr>
      <w:sz w:val="18"/>
    </w:rPr>
  </w:style>
  <w:style w:type="paragraph" w:styleId="EndnoteText">
    <w:name w:val="endnote text"/>
    <w:basedOn w:val="Normal"/>
    <w:semiHidden/>
    <w:rPr>
      <w:sz w:val="24"/>
    </w:rPr>
  </w:style>
  <w:style w:type="character" w:styleId="EndnoteReference">
    <w:name w:val="endnote reference"/>
    <w:semiHidden/>
    <w:rPr>
      <w:vertAlign w:val="superscript"/>
    </w:rPr>
  </w:style>
  <w:style w:type="paragraph" w:styleId="DocumentMap">
    <w:name w:val="Document Map"/>
    <w:basedOn w:val="Normal"/>
    <w:semiHidden/>
    <w:pPr>
      <w:shd w:val="clear" w:color="auto" w:fill="000080"/>
    </w:pPr>
    <w:rPr>
      <w:rFonts w:ascii="Tahoma" w:hAnsi="Tahoma" w:cs="Tahoma"/>
    </w:rPr>
  </w:style>
  <w:style w:type="character" w:styleId="CommentReference">
    <w:name w:val="annotation reference"/>
    <w:semiHidden/>
    <w:rsid w:val="00561834"/>
    <w:rPr>
      <w:sz w:val="16"/>
      <w:szCs w:val="16"/>
    </w:rPr>
  </w:style>
  <w:style w:type="paragraph" w:styleId="CommentText">
    <w:name w:val="annotation text"/>
    <w:basedOn w:val="Normal"/>
    <w:link w:val="CommentTextChar"/>
    <w:semiHidden/>
    <w:rsid w:val="00561834"/>
  </w:style>
  <w:style w:type="paragraph" w:styleId="CommentSubject">
    <w:name w:val="annotation subject"/>
    <w:basedOn w:val="CommentText"/>
    <w:next w:val="CommentText"/>
    <w:semiHidden/>
    <w:rsid w:val="00561834"/>
    <w:rPr>
      <w:b/>
      <w:bCs/>
    </w:rPr>
  </w:style>
  <w:style w:type="character" w:customStyle="1" w:styleId="CommentTextChar">
    <w:name w:val="Comment Text Char"/>
    <w:link w:val="CommentText"/>
    <w:semiHidden/>
    <w:rsid w:val="008C59E4"/>
    <w:rPr>
      <w:rFonts w:ascii="Century Gothic" w:hAnsi="Century Gothic"/>
    </w:rPr>
  </w:style>
  <w:style w:type="paragraph" w:customStyle="1" w:styleId="References">
    <w:name w:val="References"/>
    <w:basedOn w:val="Normal"/>
    <w:rsid w:val="00312D9E"/>
    <w:pPr>
      <w:ind w:left="450" w:hanging="450"/>
    </w:pPr>
  </w:style>
  <w:style w:type="paragraph" w:customStyle="1" w:styleId="MediumList2-Accent21">
    <w:name w:val="Medium List 2 - Accent 21"/>
    <w:hidden/>
    <w:uiPriority w:val="71"/>
    <w:rsid w:val="00154726"/>
    <w:rPr>
      <w:rFonts w:ascii="Arial" w:hAnsi="Arial"/>
    </w:rPr>
  </w:style>
  <w:style w:type="character" w:customStyle="1" w:styleId="BodyText2Char">
    <w:name w:val="Body Text 2 Char"/>
    <w:link w:val="BodyText2"/>
    <w:rsid w:val="00FF5052"/>
    <w:rPr>
      <w:rFonts w:ascii="Arial" w:hAnsi="Arial"/>
      <w:b/>
      <w:bCs/>
    </w:rPr>
  </w:style>
  <w:style w:type="paragraph" w:customStyle="1" w:styleId="Default">
    <w:name w:val="Default"/>
    <w:rsid w:val="00215F36"/>
    <w:pPr>
      <w:autoSpaceDE w:val="0"/>
      <w:autoSpaceDN w:val="0"/>
      <w:adjustRightInd w:val="0"/>
    </w:pPr>
    <w:rPr>
      <w:rFonts w:ascii="Arial" w:hAnsi="Arial" w:cs="Arial"/>
      <w:color w:val="000000"/>
      <w:sz w:val="24"/>
      <w:szCs w:val="24"/>
    </w:rPr>
  </w:style>
  <w:style w:type="character" w:customStyle="1" w:styleId="Heading2Char">
    <w:name w:val="Heading 2 Char"/>
    <w:basedOn w:val="DefaultParagraphFont"/>
    <w:link w:val="Heading2"/>
    <w:rsid w:val="00B206A9"/>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87397">
      <w:bodyDiv w:val="1"/>
      <w:marLeft w:val="0"/>
      <w:marRight w:val="0"/>
      <w:marTop w:val="0"/>
      <w:marBottom w:val="0"/>
      <w:divBdr>
        <w:top w:val="none" w:sz="0" w:space="0" w:color="auto"/>
        <w:left w:val="none" w:sz="0" w:space="0" w:color="auto"/>
        <w:bottom w:val="none" w:sz="0" w:space="0" w:color="auto"/>
        <w:right w:val="none" w:sz="0" w:space="0" w:color="auto"/>
      </w:divBdr>
    </w:div>
    <w:div w:id="12502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B8FCF-2A02-4B87-B6E4-D3C4B92CB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15</Pages>
  <Words>4852</Words>
  <Characters>27663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CAP Cancer Protocol Bone </vt:lpstr>
    </vt:vector>
  </TitlesOfParts>
  <Company>Penn Medicine</Company>
  <LinksUpToDate>false</LinksUpToDate>
  <CharactersWithSpaces>32451</CharactersWithSpaces>
  <SharedDoc>false</SharedDoc>
  <HLinks>
    <vt:vector size="6" baseType="variant">
      <vt:variant>
        <vt:i4>3407931</vt:i4>
      </vt:variant>
      <vt:variant>
        <vt:i4>6</vt:i4>
      </vt:variant>
      <vt:variant>
        <vt:i4>0</vt:i4>
      </vt:variant>
      <vt:variant>
        <vt:i4>5</vt:i4>
      </vt:variant>
      <vt:variant>
        <vt:lpwstr>http://www.cap.org/cancerprotocols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Bone </dc:title>
  <dc:subject/>
  <dc:creator>College of American Pathologists</dc:creator>
  <cp:keywords/>
  <cp:lastModifiedBy>Zack Sessions (s)</cp:lastModifiedBy>
  <cp:revision>15</cp:revision>
  <cp:lastPrinted>2019-10-28T12:22:00Z</cp:lastPrinted>
  <dcterms:created xsi:type="dcterms:W3CDTF">2019-10-25T12:14:00Z</dcterms:created>
  <dcterms:modified xsi:type="dcterms:W3CDTF">2020-02-24T15:28:00Z</dcterms:modified>
</cp:coreProperties>
</file>