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BFE0AE" w14:textId="1F10ECA6" w:rsidR="00B8394B" w:rsidRPr="00B8394B" w:rsidRDefault="00B8394B" w:rsidP="00B8394B">
      <w:pPr>
        <w:tabs>
          <w:tab w:val="left" w:pos="446"/>
        </w:tabs>
        <w:rPr>
          <w:rFonts w:cs="Arial"/>
          <w:b/>
          <w:sz w:val="32"/>
          <w:szCs w:val="32"/>
        </w:rPr>
      </w:pPr>
      <w:r w:rsidRPr="00B8394B">
        <w:rPr>
          <w:rFonts w:cs="Arial"/>
          <w:b/>
          <w:sz w:val="32"/>
          <w:szCs w:val="32"/>
        </w:rPr>
        <w:t xml:space="preserve">Protocol for the Examination of </w:t>
      </w:r>
      <w:r w:rsidR="00A67030">
        <w:rPr>
          <w:rFonts w:cs="Arial"/>
          <w:b/>
          <w:sz w:val="32"/>
          <w:szCs w:val="32"/>
        </w:rPr>
        <w:t xml:space="preserve">Biopsy </w:t>
      </w:r>
      <w:r w:rsidRPr="00B8394B">
        <w:rPr>
          <w:rFonts w:cs="Arial"/>
          <w:b/>
          <w:sz w:val="32"/>
          <w:szCs w:val="32"/>
        </w:rPr>
        <w:t xml:space="preserve">Specimens </w:t>
      </w:r>
      <w:proofErr w:type="gramStart"/>
      <w:r w:rsidRPr="00B8394B">
        <w:rPr>
          <w:rFonts w:cs="Arial"/>
          <w:b/>
          <w:sz w:val="32"/>
          <w:szCs w:val="32"/>
        </w:rPr>
        <w:t>From</w:t>
      </w:r>
      <w:proofErr w:type="gramEnd"/>
      <w:r w:rsidRPr="00B8394B">
        <w:rPr>
          <w:rFonts w:cs="Arial"/>
          <w:b/>
          <w:sz w:val="32"/>
          <w:szCs w:val="32"/>
        </w:rPr>
        <w:t xml:space="preserve"> Pediatric</w:t>
      </w:r>
      <w:r w:rsidRPr="00B8394B">
        <w:rPr>
          <w:rFonts w:cs="Arial"/>
          <w:b/>
          <w:color w:val="3366FF"/>
          <w:sz w:val="32"/>
          <w:szCs w:val="32"/>
        </w:rPr>
        <w:t xml:space="preserve"> </w:t>
      </w:r>
      <w:r w:rsidRPr="00B8394B">
        <w:rPr>
          <w:rFonts w:cs="Arial"/>
          <w:b/>
          <w:sz w:val="32"/>
          <w:szCs w:val="32"/>
        </w:rPr>
        <w:t>Patients With Ewing Sarcoma</w:t>
      </w:r>
    </w:p>
    <w:p w14:paraId="101B5D03" w14:textId="77777777" w:rsidR="00B8394B" w:rsidRPr="00B8394B" w:rsidRDefault="00B8394B" w:rsidP="00B8394B">
      <w:pPr>
        <w:tabs>
          <w:tab w:val="left" w:pos="446"/>
        </w:tabs>
        <w:rPr>
          <w:rFonts w:cs="Arial"/>
          <w:b/>
        </w:rPr>
      </w:pPr>
    </w:p>
    <w:tbl>
      <w:tblPr>
        <w:tblW w:w="10458" w:type="dxa"/>
        <w:tblLook w:val="00A0" w:firstRow="1" w:lastRow="0" w:firstColumn="1" w:lastColumn="0" w:noHBand="0" w:noVBand="0"/>
      </w:tblPr>
      <w:tblGrid>
        <w:gridCol w:w="4428"/>
        <w:gridCol w:w="5130"/>
        <w:gridCol w:w="900"/>
      </w:tblGrid>
      <w:tr w:rsidR="00B8394B" w:rsidRPr="00EF5D4D" w14:paraId="571DA00B" w14:textId="77777777" w:rsidTr="00AC2606">
        <w:tc>
          <w:tcPr>
            <w:tcW w:w="4428" w:type="dxa"/>
          </w:tcPr>
          <w:p w14:paraId="04CC01DA" w14:textId="285DFF30" w:rsidR="00B8394B" w:rsidRPr="00EF5D4D" w:rsidRDefault="00B8394B" w:rsidP="006F535B">
            <w:pPr>
              <w:rPr>
                <w:rFonts w:cs="Arial"/>
              </w:rPr>
            </w:pPr>
            <w:r w:rsidRPr="00EF5D4D">
              <w:rPr>
                <w:rFonts w:eastAsia="SimSun" w:cs="Arial"/>
                <w:b/>
              </w:rPr>
              <w:t xml:space="preserve">Version: </w:t>
            </w:r>
            <w:r w:rsidRPr="00EF5D4D">
              <w:rPr>
                <w:rFonts w:eastAsia="SimSun" w:cs="Arial"/>
              </w:rPr>
              <w:t>Ewing</w:t>
            </w:r>
            <w:r w:rsidR="00465F22">
              <w:rPr>
                <w:rFonts w:eastAsia="SimSun" w:cs="Arial"/>
              </w:rPr>
              <w:t xml:space="preserve"> </w:t>
            </w:r>
            <w:r w:rsidRPr="00EF5D4D">
              <w:rPr>
                <w:rFonts w:eastAsia="SimSun" w:cs="Arial"/>
              </w:rPr>
              <w:t>Sarcoma</w:t>
            </w:r>
            <w:r w:rsidR="00465F22">
              <w:rPr>
                <w:rFonts w:eastAsia="SimSun" w:cs="Arial"/>
              </w:rPr>
              <w:t xml:space="preserve"> </w:t>
            </w:r>
            <w:r w:rsidR="00DC30DF">
              <w:rPr>
                <w:rFonts w:eastAsia="SimSun" w:cs="Arial"/>
              </w:rPr>
              <w:t>Biopsy</w:t>
            </w:r>
            <w:r w:rsidRPr="00EF5D4D">
              <w:rPr>
                <w:rFonts w:cs="Arial"/>
              </w:rPr>
              <w:t xml:space="preserve"> </w:t>
            </w:r>
            <w:r w:rsidR="006F535B">
              <w:rPr>
                <w:rFonts w:cs="Arial"/>
              </w:rPr>
              <w:t>4.0.0.0</w:t>
            </w:r>
          </w:p>
        </w:tc>
        <w:tc>
          <w:tcPr>
            <w:tcW w:w="6030" w:type="dxa"/>
            <w:gridSpan w:val="2"/>
          </w:tcPr>
          <w:p w14:paraId="216FBFCB" w14:textId="3C5B34BF" w:rsidR="00B8394B" w:rsidRPr="00EF5D4D" w:rsidRDefault="00B8394B" w:rsidP="004930A4">
            <w:pPr>
              <w:keepNext/>
              <w:tabs>
                <w:tab w:val="left" w:pos="360"/>
              </w:tabs>
              <w:outlineLvl w:val="1"/>
              <w:rPr>
                <w:rFonts w:eastAsia="SimSun" w:cs="Arial"/>
                <w:b/>
              </w:rPr>
            </w:pPr>
            <w:r w:rsidRPr="00EF5D4D">
              <w:rPr>
                <w:rFonts w:eastAsia="SimSun" w:cs="Arial"/>
                <w:b/>
              </w:rPr>
              <w:t xml:space="preserve">Protocol Posting Date: </w:t>
            </w:r>
            <w:r w:rsidR="004930A4">
              <w:rPr>
                <w:rFonts w:eastAsia="SimSun" w:cs="Arial"/>
              </w:rPr>
              <w:t>February 2019</w:t>
            </w:r>
          </w:p>
        </w:tc>
      </w:tr>
      <w:tr w:rsidR="00B8394B" w:rsidRPr="00EF5D4D" w14:paraId="3C23811D" w14:textId="77777777" w:rsidTr="00AC2606">
        <w:trPr>
          <w:gridAfter w:val="1"/>
          <w:wAfter w:w="900" w:type="dxa"/>
        </w:trPr>
        <w:tc>
          <w:tcPr>
            <w:tcW w:w="9558" w:type="dxa"/>
            <w:gridSpan w:val="2"/>
          </w:tcPr>
          <w:p w14:paraId="2691A2E9" w14:textId="13F08DAB" w:rsidR="00B8394B" w:rsidRPr="00EF5D4D" w:rsidRDefault="00B8394B" w:rsidP="00B8394B">
            <w:pPr>
              <w:rPr>
                <w:rFonts w:cs="Arial"/>
              </w:rPr>
            </w:pPr>
          </w:p>
        </w:tc>
      </w:tr>
    </w:tbl>
    <w:p w14:paraId="414728D7" w14:textId="77777777" w:rsidR="00945BB3" w:rsidRDefault="00945BB3" w:rsidP="00945BB3">
      <w:pPr>
        <w:tabs>
          <w:tab w:val="left" w:pos="0"/>
        </w:tabs>
        <w:rPr>
          <w:b/>
        </w:rPr>
      </w:pPr>
      <w:r>
        <w:rPr>
          <w:b/>
        </w:rPr>
        <w:t>Accreditation Requirements</w:t>
      </w:r>
    </w:p>
    <w:p w14:paraId="61F68BEE" w14:textId="403B30FD" w:rsidR="00945BB3" w:rsidRDefault="00945BB3" w:rsidP="00945BB3">
      <w:r>
        <w:t xml:space="preserve">The use of this protocol is recommended for clinical care purposes but is </w:t>
      </w:r>
      <w:r w:rsidRPr="00320764">
        <w:rPr>
          <w:u w:val="single"/>
        </w:rPr>
        <w:t>not</w:t>
      </w:r>
      <w:r>
        <w:t xml:space="preserve"> required for accreditation purposes.</w:t>
      </w:r>
      <w:r>
        <w:rPr>
          <w:color w:val="000000"/>
        </w:rPr>
        <w:t xml:space="preserve"> </w:t>
      </w:r>
    </w:p>
    <w:p w14:paraId="3A09648A" w14:textId="77777777" w:rsidR="00B8394B" w:rsidRPr="00EF5D4D" w:rsidRDefault="00B8394B" w:rsidP="00B8394B">
      <w:pPr>
        <w:rPr>
          <w:rFonts w:cs="Arial"/>
        </w:rPr>
      </w:pPr>
    </w:p>
    <w:p w14:paraId="3DAE61E7" w14:textId="77777777" w:rsidR="00902091" w:rsidRPr="00B74B56" w:rsidRDefault="00902091" w:rsidP="00902091">
      <w:pPr>
        <w:keepNext/>
        <w:tabs>
          <w:tab w:val="left" w:pos="360"/>
        </w:tabs>
        <w:outlineLvl w:val="1"/>
        <w:rPr>
          <w:rFonts w:eastAsia="Calibri" w:cs="Arial"/>
          <w:b/>
        </w:rPr>
      </w:pPr>
      <w:r>
        <w:rPr>
          <w:rFonts w:eastAsia="Calibri" w:cs="Arial"/>
          <w:b/>
          <w:color w:val="000000"/>
        </w:rPr>
        <w:t>T</w:t>
      </w:r>
      <w:r w:rsidRPr="00B74B56">
        <w:rPr>
          <w:rFonts w:eastAsia="Calibri" w:cs="Arial"/>
          <w:b/>
          <w:color w:val="000000"/>
        </w:rPr>
        <w:t xml:space="preserve">his protocol should be used </w:t>
      </w:r>
      <w:r w:rsidRPr="00B74B56">
        <w:rPr>
          <w:rFonts w:eastAsia="Calibri" w:cs="Arial"/>
          <w:b/>
        </w:rPr>
        <w:t xml:space="preserve">for the following procedures </w:t>
      </w:r>
      <w:r>
        <w:rPr>
          <w:rFonts w:eastAsia="Calibri" w:cs="Arial"/>
          <w:b/>
        </w:rPr>
        <w:t>AND</w:t>
      </w:r>
      <w:r w:rsidRPr="00B74B56">
        <w:rPr>
          <w:rFonts w:eastAsia="Calibri" w:cs="Arial"/>
          <w:b/>
        </w:rPr>
        <w:t xml:space="preserve"> tumor types: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80"/>
        <w:gridCol w:w="6570"/>
      </w:tblGrid>
      <w:tr w:rsidR="00902091" w:rsidRPr="00B74B56" w14:paraId="5A626B18" w14:textId="77777777" w:rsidTr="00054D51">
        <w:tc>
          <w:tcPr>
            <w:tcW w:w="2880" w:type="dxa"/>
            <w:shd w:val="clear" w:color="auto" w:fill="C0C0C0"/>
          </w:tcPr>
          <w:p w14:paraId="65EEA71E" w14:textId="77777777" w:rsidR="00902091" w:rsidRPr="00B74B56" w:rsidRDefault="00902091" w:rsidP="00054D51">
            <w:pPr>
              <w:rPr>
                <w:rFonts w:eastAsia="SimSun" w:cs="Arial"/>
                <w:b/>
              </w:rPr>
            </w:pPr>
            <w:r w:rsidRPr="00B74B56">
              <w:rPr>
                <w:rFonts w:eastAsia="SimSun" w:cs="Arial"/>
                <w:b/>
              </w:rPr>
              <w:t>Procedure</w:t>
            </w:r>
          </w:p>
        </w:tc>
        <w:tc>
          <w:tcPr>
            <w:tcW w:w="6570" w:type="dxa"/>
            <w:shd w:val="clear" w:color="auto" w:fill="C0C0C0"/>
          </w:tcPr>
          <w:p w14:paraId="0F8E1FB0" w14:textId="77777777" w:rsidR="00902091" w:rsidRPr="00B74B56" w:rsidRDefault="00902091" w:rsidP="00054D51">
            <w:pPr>
              <w:rPr>
                <w:rFonts w:eastAsia="SimSun" w:cs="Arial"/>
                <w:b/>
              </w:rPr>
            </w:pPr>
            <w:r w:rsidRPr="00B74B56">
              <w:rPr>
                <w:rFonts w:eastAsia="SimSun" w:cs="Arial"/>
                <w:b/>
              </w:rPr>
              <w:t>Description</w:t>
            </w:r>
          </w:p>
        </w:tc>
      </w:tr>
      <w:tr w:rsidR="00902091" w:rsidRPr="00B74B56" w14:paraId="2D4033A3" w14:textId="77777777" w:rsidTr="00054D51">
        <w:tc>
          <w:tcPr>
            <w:tcW w:w="2880" w:type="dxa"/>
          </w:tcPr>
          <w:p w14:paraId="0CB34E7D" w14:textId="77777777" w:rsidR="00902091" w:rsidRPr="00B74B56" w:rsidRDefault="00902091" w:rsidP="00054D51">
            <w:pPr>
              <w:rPr>
                <w:rFonts w:cs="Arial"/>
              </w:rPr>
            </w:pPr>
            <w:r>
              <w:t>Biopsy</w:t>
            </w:r>
          </w:p>
        </w:tc>
        <w:tc>
          <w:tcPr>
            <w:tcW w:w="6570" w:type="dxa"/>
          </w:tcPr>
          <w:p w14:paraId="55D6D1EC" w14:textId="30D5A5F5" w:rsidR="00902091" w:rsidRPr="00B74B56" w:rsidRDefault="00902091">
            <w:pPr>
              <w:rPr>
                <w:rFonts w:eastAsia="SimSun" w:cs="Arial"/>
              </w:rPr>
            </w:pPr>
            <w:r w:rsidRPr="002D3EE2">
              <w:t>Includes specimens designated</w:t>
            </w:r>
            <w:r>
              <w:t xml:space="preserve"> core needle biopsy, incisional biopsy, excisional biopsy, or other</w:t>
            </w:r>
            <w:r w:rsidR="008F5D6A">
              <w:t xml:space="preserve">  </w:t>
            </w:r>
          </w:p>
        </w:tc>
      </w:tr>
      <w:tr w:rsidR="00902091" w:rsidRPr="00B74B56" w14:paraId="7514C339" w14:textId="77777777" w:rsidTr="00054D51">
        <w:tc>
          <w:tcPr>
            <w:tcW w:w="2880" w:type="dxa"/>
            <w:shd w:val="clear" w:color="auto" w:fill="C0C0C0"/>
          </w:tcPr>
          <w:p w14:paraId="1309B315" w14:textId="77777777" w:rsidR="00902091" w:rsidRPr="00B74B56" w:rsidRDefault="00902091" w:rsidP="00054D51">
            <w:pPr>
              <w:rPr>
                <w:rFonts w:eastAsia="SimSun" w:cs="Arial"/>
                <w:b/>
              </w:rPr>
            </w:pPr>
            <w:r>
              <w:rPr>
                <w:rFonts w:eastAsia="SimSun" w:cs="Arial"/>
                <w:b/>
              </w:rPr>
              <w:t>Tumor T</w:t>
            </w:r>
            <w:r w:rsidRPr="00B74B56">
              <w:rPr>
                <w:rFonts w:eastAsia="SimSun" w:cs="Arial"/>
                <w:b/>
              </w:rPr>
              <w:t>ype</w:t>
            </w:r>
          </w:p>
        </w:tc>
        <w:tc>
          <w:tcPr>
            <w:tcW w:w="6570" w:type="dxa"/>
            <w:shd w:val="clear" w:color="auto" w:fill="C0C0C0"/>
          </w:tcPr>
          <w:p w14:paraId="7627EF50" w14:textId="77777777" w:rsidR="00902091" w:rsidRPr="00B74B56" w:rsidRDefault="00902091" w:rsidP="00054D51">
            <w:pPr>
              <w:rPr>
                <w:rFonts w:eastAsia="SimSun" w:cs="Arial"/>
                <w:b/>
              </w:rPr>
            </w:pPr>
            <w:r w:rsidRPr="00B74B56">
              <w:rPr>
                <w:rFonts w:eastAsia="SimSun" w:cs="Arial"/>
                <w:b/>
              </w:rPr>
              <w:t>Description</w:t>
            </w:r>
          </w:p>
        </w:tc>
      </w:tr>
      <w:tr w:rsidR="00902091" w:rsidRPr="00B74B56" w14:paraId="6AC13368" w14:textId="77777777" w:rsidTr="00054D51">
        <w:tc>
          <w:tcPr>
            <w:tcW w:w="2880" w:type="dxa"/>
          </w:tcPr>
          <w:p w14:paraId="389268F4" w14:textId="06C75BF6" w:rsidR="00902091" w:rsidRPr="00B74B56" w:rsidRDefault="00AC6973" w:rsidP="00054D51">
            <w:pPr>
              <w:rPr>
                <w:rFonts w:cs="Arial"/>
              </w:rPr>
            </w:pPr>
            <w:r>
              <w:rPr>
                <w:rFonts w:cs="Arial"/>
              </w:rPr>
              <w:t>Ewing sarcoma</w:t>
            </w:r>
          </w:p>
        </w:tc>
        <w:tc>
          <w:tcPr>
            <w:tcW w:w="6570" w:type="dxa"/>
          </w:tcPr>
          <w:p w14:paraId="63D12D3C" w14:textId="0E5980CA" w:rsidR="00902091" w:rsidRPr="00B74B56" w:rsidRDefault="00902091">
            <w:pPr>
              <w:rPr>
                <w:rFonts w:eastAsia="SimSun" w:cs="Arial"/>
              </w:rPr>
            </w:pPr>
            <w:r w:rsidRPr="00632A20">
              <w:t xml:space="preserve">Includes </w:t>
            </w:r>
            <w:r>
              <w:rPr>
                <w:rFonts w:cs="Arial"/>
              </w:rPr>
              <w:t xml:space="preserve">pediatric patients with </w:t>
            </w:r>
            <w:r w:rsidRPr="00EF5D4D">
              <w:rPr>
                <w:rFonts w:cs="Arial"/>
              </w:rPr>
              <w:t>osseous and extraosseous Ewing sarcoma family of tumors, including peripheral primitive neuroectodermal tumor</w:t>
            </w:r>
          </w:p>
        </w:tc>
      </w:tr>
    </w:tbl>
    <w:p w14:paraId="390B1878" w14:textId="77777777" w:rsidR="00902091" w:rsidRDefault="00902091" w:rsidP="00A67030">
      <w:pPr>
        <w:rPr>
          <w:rFonts w:cs="Arial"/>
          <w:b/>
          <w:kern w:val="18"/>
        </w:rPr>
      </w:pPr>
    </w:p>
    <w:p w14:paraId="0A6A4A7B" w14:textId="675AAF4B" w:rsidR="00B8394B" w:rsidRPr="00EF5D4D" w:rsidRDefault="00A67030" w:rsidP="00A67030">
      <w:pPr>
        <w:rPr>
          <w:rFonts w:cs="Arial"/>
        </w:rPr>
      </w:pPr>
      <w:r w:rsidRPr="00EF5D4D">
        <w:rPr>
          <w:rFonts w:cs="Arial"/>
          <w:b/>
          <w:kern w:val="18"/>
        </w:rPr>
        <w:t>The following should NOT be reported using this protocol:</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A67030" w:rsidRPr="00B74B56" w14:paraId="715DDB81" w14:textId="77777777" w:rsidTr="00AC2606">
        <w:tc>
          <w:tcPr>
            <w:tcW w:w="9450" w:type="dxa"/>
            <w:shd w:val="clear" w:color="auto" w:fill="C0C0C0"/>
          </w:tcPr>
          <w:p w14:paraId="3A08742E" w14:textId="777CF0D1" w:rsidR="00A67030" w:rsidRPr="00B74B56" w:rsidRDefault="00A67030" w:rsidP="0014015F">
            <w:pPr>
              <w:tabs>
                <w:tab w:val="left" w:pos="1800"/>
              </w:tabs>
              <w:rPr>
                <w:rFonts w:eastAsia="SimSun" w:cs="Arial"/>
                <w:b/>
              </w:rPr>
            </w:pPr>
            <w:r w:rsidRPr="00B74B56">
              <w:rPr>
                <w:rFonts w:eastAsia="SimSun" w:cs="Arial"/>
                <w:b/>
              </w:rPr>
              <w:t>Procedure</w:t>
            </w:r>
            <w:r w:rsidR="00982605">
              <w:rPr>
                <w:rFonts w:eastAsia="SimSun" w:cs="Arial"/>
                <w:b/>
              </w:rPr>
              <w:tab/>
            </w:r>
          </w:p>
        </w:tc>
      </w:tr>
      <w:tr w:rsidR="00A67030" w:rsidRPr="00B74B56" w14:paraId="7325A4DB" w14:textId="77777777" w:rsidTr="00AC2606">
        <w:trPr>
          <w:trHeight w:val="152"/>
        </w:trPr>
        <w:tc>
          <w:tcPr>
            <w:tcW w:w="9450" w:type="dxa"/>
          </w:tcPr>
          <w:p w14:paraId="38BAD90D" w14:textId="36A1A213" w:rsidR="00A67030" w:rsidRPr="00B74B56" w:rsidRDefault="007C1A7B" w:rsidP="00153F40">
            <w:pPr>
              <w:rPr>
                <w:rFonts w:eastAsia="SimSun" w:cs="Arial"/>
                <w:color w:val="000000"/>
              </w:rPr>
            </w:pPr>
            <w:r>
              <w:t xml:space="preserve">Resection (consider Pediatric Ewing Sarcoma </w:t>
            </w:r>
            <w:r w:rsidR="00E72413">
              <w:t xml:space="preserve">Resection </w:t>
            </w:r>
            <w:r>
              <w:t>protocol</w:t>
            </w:r>
            <w:r w:rsidR="00C2415F">
              <w:t>)</w:t>
            </w:r>
          </w:p>
        </w:tc>
      </w:tr>
      <w:tr w:rsidR="00A67030" w:rsidRPr="00EF5D4D" w14:paraId="050CCCAD" w14:textId="77777777" w:rsidTr="00A67030">
        <w:trPr>
          <w:trHeight w:val="152"/>
        </w:trPr>
        <w:tc>
          <w:tcPr>
            <w:tcW w:w="9450" w:type="dxa"/>
            <w:tcBorders>
              <w:top w:val="single" w:sz="4" w:space="0" w:color="auto"/>
              <w:left w:val="single" w:sz="4" w:space="0" w:color="auto"/>
              <w:bottom w:val="single" w:sz="4" w:space="0" w:color="auto"/>
              <w:right w:val="single" w:sz="4" w:space="0" w:color="auto"/>
            </w:tcBorders>
            <w:shd w:val="clear" w:color="auto" w:fill="C0C0C0"/>
          </w:tcPr>
          <w:p w14:paraId="2C1A3916" w14:textId="77777777" w:rsidR="00A67030" w:rsidRPr="0014015F" w:rsidRDefault="00A67030" w:rsidP="00AC2606">
            <w:pPr>
              <w:rPr>
                <w:b/>
              </w:rPr>
            </w:pPr>
            <w:r w:rsidRPr="0014015F">
              <w:rPr>
                <w:b/>
              </w:rPr>
              <w:t>Tumor Type</w:t>
            </w:r>
          </w:p>
        </w:tc>
      </w:tr>
      <w:tr w:rsidR="00A67030" w:rsidRPr="00EF5D4D" w14:paraId="51DCEA13" w14:textId="77777777" w:rsidTr="00A67030">
        <w:trPr>
          <w:trHeight w:val="152"/>
        </w:trPr>
        <w:tc>
          <w:tcPr>
            <w:tcW w:w="9450" w:type="dxa"/>
            <w:tcBorders>
              <w:top w:val="single" w:sz="4" w:space="0" w:color="auto"/>
              <w:left w:val="single" w:sz="4" w:space="0" w:color="auto"/>
              <w:bottom w:val="single" w:sz="4" w:space="0" w:color="auto"/>
              <w:right w:val="single" w:sz="4" w:space="0" w:color="auto"/>
            </w:tcBorders>
          </w:tcPr>
          <w:p w14:paraId="6ECD0AB4" w14:textId="77777777" w:rsidR="00A67030" w:rsidRDefault="00A67030" w:rsidP="00A67030">
            <w:r w:rsidRPr="00A67030">
              <w:t>Adult Ewing sarcoma</w:t>
            </w:r>
            <w:r w:rsidRPr="0014015F">
              <w:rPr>
                <w:vertAlign w:val="superscript"/>
              </w:rPr>
              <w:t>#</w:t>
            </w:r>
            <w:r w:rsidRPr="00A67030">
              <w:t xml:space="preserve"> (consider using bone or soft tissue protocols)</w:t>
            </w:r>
          </w:p>
          <w:p w14:paraId="5714BE7F" w14:textId="4B208DE1" w:rsidR="009C516B" w:rsidRPr="00A67030" w:rsidRDefault="009C516B" w:rsidP="00A67030">
            <w:r>
              <w:t xml:space="preserve">Ewing-like sarcomas, including </w:t>
            </w:r>
            <w:r w:rsidRPr="00DA4B7F">
              <w:rPr>
                <w:i/>
              </w:rPr>
              <w:t>CIC</w:t>
            </w:r>
            <w:r>
              <w:t xml:space="preserve">- or  </w:t>
            </w:r>
            <w:r w:rsidRPr="00DA4B7F">
              <w:rPr>
                <w:i/>
              </w:rPr>
              <w:t>BCOR</w:t>
            </w:r>
            <w:r>
              <w:t>-rearranged sarcomas (consider using B</w:t>
            </w:r>
            <w:r w:rsidRPr="00A67030">
              <w:t xml:space="preserve">one or </w:t>
            </w:r>
            <w:r>
              <w:t>Soft T</w:t>
            </w:r>
            <w:r w:rsidRPr="00A67030">
              <w:t>issue protocols)</w:t>
            </w:r>
          </w:p>
        </w:tc>
      </w:tr>
    </w:tbl>
    <w:p w14:paraId="70B414CB" w14:textId="407CE6E3" w:rsidR="00B8394B" w:rsidRPr="00712C1C" w:rsidRDefault="00727EC8" w:rsidP="004D3E93">
      <w:pPr>
        <w:keepNext/>
        <w:tabs>
          <w:tab w:val="left" w:pos="360"/>
        </w:tabs>
        <w:spacing w:before="60"/>
        <w:outlineLvl w:val="1"/>
        <w:rPr>
          <w:rFonts w:cs="Arial"/>
          <w:i/>
          <w:sz w:val="18"/>
          <w:szCs w:val="18"/>
        </w:rPr>
      </w:pPr>
      <w:r w:rsidRPr="00712C1C">
        <w:rPr>
          <w:rFonts w:cs="Arial"/>
          <w:i/>
          <w:sz w:val="18"/>
          <w:szCs w:val="18"/>
          <w:vertAlign w:val="superscript"/>
        </w:rPr>
        <w:t>#</w:t>
      </w:r>
      <w:r w:rsidRPr="00712C1C">
        <w:rPr>
          <w:rFonts w:cs="Arial"/>
          <w:i/>
          <w:sz w:val="18"/>
          <w:szCs w:val="18"/>
        </w:rPr>
        <w:t xml:space="preserve">Ewing </w:t>
      </w:r>
      <w:r w:rsidR="00990937" w:rsidRPr="00712C1C">
        <w:rPr>
          <w:rFonts w:cs="Arial"/>
          <w:i/>
          <w:sz w:val="18"/>
          <w:szCs w:val="18"/>
        </w:rPr>
        <w:t>s</w:t>
      </w:r>
      <w:r w:rsidRPr="00712C1C">
        <w:rPr>
          <w:rFonts w:cs="Arial"/>
          <w:i/>
          <w:sz w:val="18"/>
          <w:szCs w:val="18"/>
        </w:rPr>
        <w:t xml:space="preserve">arcoma </w:t>
      </w:r>
      <w:r w:rsidR="00990937" w:rsidRPr="00712C1C">
        <w:rPr>
          <w:rFonts w:cs="Arial"/>
          <w:i/>
          <w:sz w:val="18"/>
          <w:szCs w:val="18"/>
        </w:rPr>
        <w:t xml:space="preserve">in adults </w:t>
      </w:r>
      <w:r w:rsidRPr="00712C1C">
        <w:rPr>
          <w:rFonts w:cs="Arial"/>
          <w:i/>
          <w:sz w:val="18"/>
          <w:szCs w:val="18"/>
        </w:rPr>
        <w:t xml:space="preserve">may be </w:t>
      </w:r>
      <w:r w:rsidR="00A27B85" w:rsidRPr="00712C1C">
        <w:rPr>
          <w:rFonts w:cs="Arial"/>
          <w:i/>
          <w:sz w:val="18"/>
          <w:szCs w:val="18"/>
        </w:rPr>
        <w:t xml:space="preserve">treated differently than pediatric Ewing sarcoma, and use of the </w:t>
      </w:r>
      <w:r w:rsidR="00990937" w:rsidRPr="00712C1C">
        <w:rPr>
          <w:rFonts w:cs="Arial"/>
          <w:i/>
          <w:sz w:val="18"/>
          <w:szCs w:val="18"/>
        </w:rPr>
        <w:t xml:space="preserve">AJCC </w:t>
      </w:r>
      <w:r w:rsidR="00A27B85" w:rsidRPr="00712C1C">
        <w:rPr>
          <w:rFonts w:cs="Arial"/>
          <w:i/>
          <w:sz w:val="18"/>
          <w:szCs w:val="18"/>
        </w:rPr>
        <w:t xml:space="preserve">TNM </w:t>
      </w:r>
      <w:r w:rsidR="00990937" w:rsidRPr="00712C1C">
        <w:rPr>
          <w:rFonts w:cs="Arial"/>
          <w:i/>
          <w:sz w:val="18"/>
          <w:szCs w:val="18"/>
        </w:rPr>
        <w:t xml:space="preserve">staging </w:t>
      </w:r>
      <w:r w:rsidR="00A27B85" w:rsidRPr="00712C1C">
        <w:rPr>
          <w:rFonts w:cs="Arial"/>
          <w:i/>
          <w:sz w:val="18"/>
          <w:szCs w:val="18"/>
        </w:rPr>
        <w:t xml:space="preserve">system remains appropriate for these </w:t>
      </w:r>
      <w:r w:rsidR="00990937" w:rsidRPr="00712C1C">
        <w:rPr>
          <w:rFonts w:cs="Arial"/>
          <w:i/>
          <w:sz w:val="18"/>
          <w:szCs w:val="18"/>
        </w:rPr>
        <w:t>patients</w:t>
      </w:r>
      <w:r w:rsidR="004D3E93" w:rsidRPr="00712C1C">
        <w:rPr>
          <w:rFonts w:cs="Arial"/>
          <w:i/>
          <w:sz w:val="18"/>
          <w:szCs w:val="18"/>
        </w:rPr>
        <w:t>.</w:t>
      </w:r>
    </w:p>
    <w:p w14:paraId="0F994F4F" w14:textId="473E36F8" w:rsidR="006D18E6" w:rsidRPr="004D3E93" w:rsidRDefault="006D18E6" w:rsidP="00A44D27">
      <w:pPr>
        <w:keepNext/>
        <w:tabs>
          <w:tab w:val="left" w:pos="2685"/>
        </w:tabs>
        <w:outlineLvl w:val="1"/>
        <w:rPr>
          <w:rFonts w:cs="Arial"/>
          <w:b/>
          <w:i/>
        </w:rPr>
      </w:pPr>
    </w:p>
    <w:p w14:paraId="0784559B" w14:textId="77777777" w:rsidR="006D18E6" w:rsidRPr="00EF5D4D" w:rsidRDefault="006D18E6" w:rsidP="006D18E6">
      <w:pPr>
        <w:keepNext/>
        <w:tabs>
          <w:tab w:val="left" w:pos="360"/>
        </w:tabs>
        <w:outlineLvl w:val="1"/>
        <w:rPr>
          <w:rFonts w:cs="Arial"/>
          <w:b/>
        </w:rPr>
      </w:pPr>
      <w:r w:rsidRPr="00EF5D4D">
        <w:rPr>
          <w:rFonts w:cs="Arial"/>
          <w:b/>
        </w:rPr>
        <w:t>Authors</w:t>
      </w:r>
    </w:p>
    <w:p w14:paraId="72EDF12F" w14:textId="291FA1DE" w:rsidR="00124FE0" w:rsidRPr="00EF5D4D" w:rsidRDefault="00124FE0" w:rsidP="006D18E6">
      <w:pPr>
        <w:rPr>
          <w:rFonts w:cs="Arial"/>
        </w:rPr>
      </w:pPr>
      <w:r w:rsidRPr="00C6525E">
        <w:rPr>
          <w:rFonts w:cs="Arial"/>
        </w:rPr>
        <w:t xml:space="preserve">Erin Rudzinski, MD*; </w:t>
      </w:r>
      <w:r w:rsidR="00EF5D4D" w:rsidRPr="00EF5D4D">
        <w:rPr>
          <w:rFonts w:cs="Arial"/>
        </w:rPr>
        <w:t xml:space="preserve">Bruce Pawel, MD*; </w:t>
      </w:r>
      <w:r w:rsidR="006D18E6" w:rsidRPr="00EF5D4D">
        <w:rPr>
          <w:rFonts w:cs="Arial"/>
        </w:rPr>
        <w:t xml:space="preserve">Armita Bahrami, MD; M. John Hicks, MD </w:t>
      </w:r>
    </w:p>
    <w:p w14:paraId="5110A690" w14:textId="3D918FA6" w:rsidR="006D18E6" w:rsidRPr="00EF5D4D" w:rsidRDefault="006D18E6" w:rsidP="006D18E6">
      <w:pPr>
        <w:rPr>
          <w:rFonts w:cs="Arial"/>
          <w:kern w:val="18"/>
        </w:rPr>
      </w:pPr>
      <w:r w:rsidRPr="00EF5D4D">
        <w:rPr>
          <w:rFonts w:cs="Arial"/>
          <w:kern w:val="18"/>
        </w:rPr>
        <w:t>With guidance from the CAP Cancer and CAP Pathology Electronic Reporting Committees</w:t>
      </w:r>
    </w:p>
    <w:p w14:paraId="06D2B7A9" w14:textId="77777777" w:rsidR="006D18E6" w:rsidRPr="0014015F" w:rsidRDefault="006D18E6" w:rsidP="006D18E6">
      <w:pPr>
        <w:spacing w:before="60"/>
        <w:rPr>
          <w:rFonts w:cs="Arial"/>
          <w:i/>
          <w:kern w:val="18"/>
          <w:sz w:val="18"/>
          <w:szCs w:val="18"/>
        </w:rPr>
      </w:pPr>
      <w:r w:rsidRPr="0014015F">
        <w:rPr>
          <w:rFonts w:cs="Arial"/>
          <w:i/>
          <w:kern w:val="18"/>
          <w:sz w:val="18"/>
          <w:szCs w:val="18"/>
        </w:rPr>
        <w:t xml:space="preserve">* Denotes primary author. </w:t>
      </w:r>
      <w:r w:rsidRPr="0014015F">
        <w:rPr>
          <w:rFonts w:cs="Arial"/>
          <w:i/>
          <w:kern w:val="20"/>
          <w:sz w:val="18"/>
          <w:szCs w:val="18"/>
        </w:rPr>
        <w:t>A</w:t>
      </w:r>
      <w:r w:rsidRPr="0014015F">
        <w:rPr>
          <w:rFonts w:cs="Arial"/>
          <w:i/>
          <w:kern w:val="18"/>
          <w:sz w:val="18"/>
          <w:szCs w:val="18"/>
        </w:rPr>
        <w:t>ll other contributing authors are listed alphabetically.</w:t>
      </w:r>
    </w:p>
    <w:p w14:paraId="5CDC7D99" w14:textId="77777777" w:rsidR="006D18E6" w:rsidRPr="00EF5D4D" w:rsidRDefault="006D18E6" w:rsidP="006D18E6">
      <w:pPr>
        <w:tabs>
          <w:tab w:val="left" w:pos="0"/>
        </w:tabs>
        <w:rPr>
          <w:rFonts w:cs="Arial"/>
          <w:b/>
          <w:kern w:val="18"/>
        </w:rPr>
      </w:pPr>
    </w:p>
    <w:p w14:paraId="4F68F5A6" w14:textId="77777777" w:rsidR="00182043" w:rsidRPr="00EF5D4D" w:rsidRDefault="00182043" w:rsidP="00834EA7">
      <w:pPr>
        <w:pStyle w:val="Heading1"/>
        <w:rPr>
          <w:rFonts w:cs="Arial"/>
        </w:rPr>
      </w:pPr>
      <w:r w:rsidRPr="00EF5D4D">
        <w:rPr>
          <w:rFonts w:cs="Arial"/>
        </w:rPr>
        <w:t>Important Note</w:t>
      </w:r>
      <w:r w:rsidR="00F64CAF" w:rsidRPr="00EF5D4D">
        <w:rPr>
          <w:rFonts w:cs="Arial"/>
        </w:rPr>
        <w:t xml:space="preserve"> (Note A)</w:t>
      </w:r>
    </w:p>
    <w:p w14:paraId="34AF4DF4" w14:textId="77777777" w:rsidR="00182043" w:rsidRPr="00EF5D4D" w:rsidRDefault="00182043" w:rsidP="00834EA7">
      <w:pPr>
        <w:rPr>
          <w:rFonts w:cs="Arial"/>
        </w:rPr>
      </w:pPr>
      <w:r w:rsidRPr="00EF5D4D">
        <w:rPr>
          <w:rFonts w:cs="Arial"/>
        </w:rPr>
        <w:t xml:space="preserve">First priority should always be given to formalin-fixed tissue for </w:t>
      </w:r>
      <w:r w:rsidR="00B368CC" w:rsidRPr="00EF5D4D">
        <w:rPr>
          <w:rFonts w:cs="Arial"/>
        </w:rPr>
        <w:t>histo</w:t>
      </w:r>
      <w:r w:rsidRPr="00EF5D4D">
        <w:rPr>
          <w:rFonts w:cs="Arial"/>
        </w:rPr>
        <w:t>morphologic evaluation. Special studies (eg, cytogenetics, fluorescence in situ hybridization [FISH], reverse transcriptase polymerase chain reaction [RT-PCR]</w:t>
      </w:r>
      <w:r w:rsidR="00F25EE1" w:rsidRPr="00EF5D4D">
        <w:rPr>
          <w:rFonts w:cs="Arial"/>
        </w:rPr>
        <w:t>, and less commonly next</w:t>
      </w:r>
      <w:r w:rsidR="004914CA" w:rsidRPr="00EF5D4D">
        <w:rPr>
          <w:rFonts w:cs="Arial"/>
        </w:rPr>
        <w:t>-</w:t>
      </w:r>
      <w:r w:rsidR="00F25EE1" w:rsidRPr="00EF5D4D">
        <w:rPr>
          <w:rFonts w:cs="Arial"/>
        </w:rPr>
        <w:t>generation sequencing, whole genome and exome analyses) are critical to the molecular workup of ES and require a</w:t>
      </w:r>
      <w:r w:rsidRPr="00EF5D4D">
        <w:rPr>
          <w:rFonts w:cs="Arial"/>
        </w:rPr>
        <w:t>t least 100 mg of viable, fresh or snap-frozen tissue as the second priority for workup (Note A).</w:t>
      </w:r>
      <w:r w:rsidR="00286DBB" w:rsidRPr="004D3E93">
        <w:rPr>
          <w:rFonts w:cs="Arial"/>
        </w:rPr>
        <w:t xml:space="preserve"> </w:t>
      </w:r>
      <w:r w:rsidR="00261424" w:rsidRPr="00EF5D4D">
        <w:rPr>
          <w:rFonts w:cs="Arial"/>
        </w:rPr>
        <w:t>Although m</w:t>
      </w:r>
      <w:r w:rsidR="0053799A" w:rsidRPr="00EF5D4D">
        <w:rPr>
          <w:rFonts w:cs="Arial"/>
        </w:rPr>
        <w:t xml:space="preserve">olecular testing for FISH analysis of </w:t>
      </w:r>
      <w:r w:rsidR="0053799A" w:rsidRPr="00C6525E">
        <w:rPr>
          <w:rFonts w:cs="Arial"/>
          <w:i/>
        </w:rPr>
        <w:t>EWSR1</w:t>
      </w:r>
      <w:r w:rsidR="0053799A" w:rsidRPr="00EF5D4D">
        <w:rPr>
          <w:rFonts w:cs="Arial"/>
        </w:rPr>
        <w:t xml:space="preserve"> rearrangement </w:t>
      </w:r>
      <w:r w:rsidR="00BD15F0" w:rsidRPr="00EF5D4D">
        <w:rPr>
          <w:rFonts w:cs="Arial"/>
        </w:rPr>
        <w:t>or</w:t>
      </w:r>
      <w:r w:rsidR="0053799A" w:rsidRPr="00EF5D4D">
        <w:rPr>
          <w:rFonts w:cs="Arial"/>
        </w:rPr>
        <w:t xml:space="preserve"> for RT-PCR analysis of </w:t>
      </w:r>
      <w:r w:rsidR="0053799A" w:rsidRPr="00EF5D4D">
        <w:rPr>
          <w:rFonts w:cs="Arial"/>
          <w:i/>
        </w:rPr>
        <w:t>EWSR1-FLI1</w:t>
      </w:r>
      <w:r w:rsidR="0053799A" w:rsidRPr="00EF5D4D">
        <w:rPr>
          <w:rFonts w:cs="Arial"/>
        </w:rPr>
        <w:t xml:space="preserve">, </w:t>
      </w:r>
      <w:r w:rsidR="0053799A" w:rsidRPr="00EF5D4D">
        <w:rPr>
          <w:rFonts w:cs="Arial"/>
          <w:i/>
        </w:rPr>
        <w:t>EWSR1-ERG</w:t>
      </w:r>
      <w:r w:rsidR="004914CA" w:rsidRPr="00EF5D4D">
        <w:rPr>
          <w:rFonts w:cs="Arial"/>
          <w:i/>
        </w:rPr>
        <w:t>,</w:t>
      </w:r>
      <w:r w:rsidR="0053799A" w:rsidRPr="00EF5D4D">
        <w:rPr>
          <w:rFonts w:cs="Arial"/>
        </w:rPr>
        <w:t xml:space="preserve"> and other ES translocations</w:t>
      </w:r>
      <w:r w:rsidR="00BD15F0" w:rsidRPr="00EF5D4D">
        <w:rPr>
          <w:rFonts w:cs="Arial"/>
        </w:rPr>
        <w:t xml:space="preserve"> may be performed on formalin-fixed paraffin-embedded tissue</w:t>
      </w:r>
      <w:r w:rsidR="00261424" w:rsidRPr="00EF5D4D">
        <w:rPr>
          <w:rFonts w:cs="Arial"/>
        </w:rPr>
        <w:t>, every attempt should be made to procure fresh tissue</w:t>
      </w:r>
      <w:r w:rsidR="004914CA" w:rsidRPr="00EF5D4D">
        <w:rPr>
          <w:rFonts w:cs="Arial"/>
        </w:rPr>
        <w:t>,</w:t>
      </w:r>
      <w:r w:rsidR="00261424" w:rsidRPr="00EF5D4D">
        <w:rPr>
          <w:rFonts w:cs="Arial"/>
        </w:rPr>
        <w:t xml:space="preserve"> as this may be a requirement for some treatment protocols.</w:t>
      </w:r>
      <w:r w:rsidR="00286DBB" w:rsidRPr="004D3E93">
        <w:rPr>
          <w:rFonts w:cs="Arial"/>
        </w:rPr>
        <w:t xml:space="preserve"> </w:t>
      </w:r>
    </w:p>
    <w:p w14:paraId="444E5505" w14:textId="77777777" w:rsidR="00182043" w:rsidRPr="00EF5D4D" w:rsidRDefault="00182043" w:rsidP="00834EA7">
      <w:pPr>
        <w:rPr>
          <w:rFonts w:cs="Arial"/>
        </w:rPr>
      </w:pPr>
    </w:p>
    <w:p w14:paraId="0C349EEB" w14:textId="78B2365D" w:rsidR="00A36148" w:rsidRDefault="00A36148" w:rsidP="00A36148">
      <w:pPr>
        <w:rPr>
          <w:rFonts w:cs="Arial"/>
        </w:rPr>
      </w:pPr>
      <w:r w:rsidRPr="00EF5D4D">
        <w:rPr>
          <w:rFonts w:cs="Arial"/>
        </w:rPr>
        <w:t>This protocol is based on the experience of the Children’s Oncology Group.</w:t>
      </w:r>
      <w:r w:rsidR="00C0073D">
        <w:rPr>
          <w:rFonts w:cs="Arial"/>
        </w:rPr>
        <w:t xml:space="preserve"> </w:t>
      </w:r>
      <w:r w:rsidRPr="00EF5D4D">
        <w:rPr>
          <w:rFonts w:cs="Arial"/>
        </w:rPr>
        <w:t>For more information, contact The Children’s Oncology Group Biopathology Center. Phone: (614) 722-2890 or (800) 347-2486.</w:t>
      </w:r>
    </w:p>
    <w:p w14:paraId="59C1623B" w14:textId="77777777" w:rsidR="00A36148" w:rsidRDefault="00A36148" w:rsidP="00A36148">
      <w:pPr>
        <w:rPr>
          <w:rFonts w:cs="Arial"/>
        </w:rPr>
      </w:pPr>
    </w:p>
    <w:p w14:paraId="6AE2487F" w14:textId="77777777" w:rsidR="00A36148" w:rsidRPr="00EB27F9" w:rsidRDefault="00A36148" w:rsidP="00A36148">
      <w:pPr>
        <w:rPr>
          <w:rFonts w:cs="Arial"/>
          <w:b/>
        </w:rPr>
      </w:pPr>
      <w:r w:rsidRPr="00EB27F9">
        <w:rPr>
          <w:rFonts w:cs="Arial"/>
          <w:b/>
        </w:rPr>
        <w:t>Summary of Changes</w:t>
      </w:r>
    </w:p>
    <w:p w14:paraId="060432E4" w14:textId="77777777" w:rsidR="00A36148" w:rsidRDefault="00A36148" w:rsidP="00A36148">
      <w:pPr>
        <w:rPr>
          <w:rFonts w:cs="Arial"/>
        </w:rPr>
      </w:pPr>
      <w:r>
        <w:rPr>
          <w:rFonts w:cs="Arial"/>
        </w:rPr>
        <w:t>v4.0.0.0 - Biopsy and resection procedures separated into individual protocols</w:t>
      </w:r>
    </w:p>
    <w:p w14:paraId="23F7A4E7" w14:textId="77777777" w:rsidR="007E3FA3" w:rsidRPr="00EF5D4D" w:rsidRDefault="007E3FA3" w:rsidP="00834EA7">
      <w:pPr>
        <w:rPr>
          <w:rFonts w:cs="Arial"/>
        </w:rPr>
      </w:pPr>
    </w:p>
    <w:p w14:paraId="6E7DF0EE" w14:textId="77777777" w:rsidR="00182043" w:rsidRPr="004173F2" w:rsidRDefault="00182043" w:rsidP="00834EA7">
      <w:pPr>
        <w:rPr>
          <w:rFonts w:cs="Arial"/>
        </w:rPr>
        <w:sectPr w:rsidR="00182043" w:rsidRPr="004173F2" w:rsidSect="00584C6F">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907" w:footer="936" w:gutter="0"/>
          <w:cols w:space="720"/>
          <w:titlePg/>
        </w:sectPr>
      </w:pPr>
    </w:p>
    <w:p w14:paraId="7090D172" w14:textId="77777777" w:rsidR="00182043" w:rsidRPr="004173F2" w:rsidRDefault="00182043" w:rsidP="00834EA7">
      <w:pPr>
        <w:pStyle w:val="Head2"/>
        <w:rPr>
          <w:rFonts w:cs="Arial"/>
        </w:rPr>
      </w:pPr>
      <w:r w:rsidRPr="004173F2">
        <w:rPr>
          <w:rFonts w:cs="Arial"/>
        </w:rPr>
        <w:lastRenderedPageBreak/>
        <w:t>Surgical Pathology</w:t>
      </w:r>
      <w:r w:rsidR="00B33E64" w:rsidRPr="004173F2">
        <w:rPr>
          <w:rFonts w:cs="Arial"/>
        </w:rPr>
        <w:t xml:space="preserve"> Cancer Case Summary</w:t>
      </w:r>
    </w:p>
    <w:p w14:paraId="7EBFED55" w14:textId="77777777" w:rsidR="00182043" w:rsidRPr="004173F2" w:rsidRDefault="00182043" w:rsidP="00834EA7">
      <w:pPr>
        <w:rPr>
          <w:rFonts w:cs="Arial"/>
        </w:rPr>
      </w:pPr>
    </w:p>
    <w:p w14:paraId="2400DDE0" w14:textId="513C9360" w:rsidR="00182043" w:rsidRPr="004173F2" w:rsidRDefault="00182043" w:rsidP="00834EA7">
      <w:pPr>
        <w:rPr>
          <w:rFonts w:cs="Arial"/>
        </w:rPr>
      </w:pPr>
      <w:r w:rsidRPr="004173F2">
        <w:rPr>
          <w:rFonts w:cs="Arial"/>
        </w:rPr>
        <w:t xml:space="preserve">Protocol posting date: </w:t>
      </w:r>
      <w:r w:rsidR="00945BB3">
        <w:rPr>
          <w:rFonts w:cs="Arial"/>
        </w:rPr>
        <w:t>February 2019</w:t>
      </w:r>
    </w:p>
    <w:p w14:paraId="27D308DD" w14:textId="77777777" w:rsidR="004914CA" w:rsidRPr="004173F2" w:rsidRDefault="004914CA" w:rsidP="00834EA7">
      <w:pPr>
        <w:rPr>
          <w:rFonts w:cs="Arial"/>
        </w:rPr>
      </w:pPr>
    </w:p>
    <w:p w14:paraId="6607D0FD" w14:textId="77777777" w:rsidR="00182043" w:rsidRPr="004173F2" w:rsidRDefault="00182043" w:rsidP="00834EA7">
      <w:pPr>
        <w:pStyle w:val="Heading1"/>
        <w:tabs>
          <w:tab w:val="clear" w:pos="360"/>
        </w:tabs>
        <w:ind w:left="720" w:hanging="720"/>
        <w:rPr>
          <w:rFonts w:cs="Arial"/>
        </w:rPr>
      </w:pPr>
      <w:r w:rsidRPr="004173F2">
        <w:rPr>
          <w:rFonts w:cs="Arial"/>
        </w:rPr>
        <w:t>EWING SARCOMA: Biopsy</w:t>
      </w:r>
    </w:p>
    <w:p w14:paraId="54E9576B" w14:textId="77777777" w:rsidR="00182043" w:rsidRDefault="00182043" w:rsidP="00834EA7">
      <w:pPr>
        <w:rPr>
          <w:rFonts w:cs="Arial"/>
        </w:rPr>
      </w:pPr>
    </w:p>
    <w:p w14:paraId="2B4F7EC9" w14:textId="581E6EC4" w:rsidR="002665D2" w:rsidRPr="00320764" w:rsidRDefault="002665D2" w:rsidP="002665D2">
      <w:pPr>
        <w:rPr>
          <w:b/>
          <w:kern w:val="22"/>
        </w:rPr>
      </w:pPr>
      <w:r w:rsidRPr="00F844DA">
        <w:rPr>
          <w:rFonts w:cs="Arial"/>
          <w:b/>
          <w:kern w:val="22"/>
        </w:rPr>
        <w:t xml:space="preserve">Note: This case summary is recommended for reporting </w:t>
      </w:r>
      <w:r>
        <w:rPr>
          <w:rFonts w:cs="Arial"/>
          <w:b/>
          <w:kern w:val="22"/>
        </w:rPr>
        <w:t>Ewing Sarcoma</w:t>
      </w:r>
      <w:r w:rsidRPr="00F844DA">
        <w:rPr>
          <w:rFonts w:cs="Arial"/>
          <w:b/>
          <w:kern w:val="22"/>
        </w:rPr>
        <w:t xml:space="preserve"> but is </w:t>
      </w:r>
      <w:r w:rsidR="00961103">
        <w:rPr>
          <w:rFonts w:cs="Arial"/>
          <w:b/>
          <w:kern w:val="22"/>
        </w:rPr>
        <w:t>NOT REQUIRED</w:t>
      </w:r>
      <w:r w:rsidRPr="00F844DA">
        <w:rPr>
          <w:rFonts w:cs="Arial"/>
          <w:b/>
          <w:kern w:val="22"/>
        </w:rPr>
        <w:t xml:space="preserve"> for accreditation purposes.</w:t>
      </w:r>
      <w:r w:rsidR="008A13BF">
        <w:rPr>
          <w:rFonts w:cs="Arial"/>
          <w:b/>
          <w:kern w:val="22"/>
        </w:rPr>
        <w:t xml:space="preserve"> </w:t>
      </w:r>
      <w:r w:rsidR="008A13BF">
        <w:rPr>
          <w:rFonts w:cs="Arial"/>
          <w:b/>
        </w:rPr>
        <w:t>Core data elements are bolded to help identify routinely reported elements</w:t>
      </w:r>
      <w:r w:rsidRPr="00320764">
        <w:rPr>
          <w:b/>
          <w:kern w:val="22"/>
        </w:rPr>
        <w:t>.</w:t>
      </w:r>
    </w:p>
    <w:p w14:paraId="548187F7" w14:textId="77777777" w:rsidR="002665D2" w:rsidRDefault="002665D2" w:rsidP="00834EA7">
      <w:pPr>
        <w:rPr>
          <w:rFonts w:cs="Arial"/>
        </w:rPr>
      </w:pPr>
    </w:p>
    <w:p w14:paraId="16CB9816" w14:textId="77777777" w:rsidR="00182043" w:rsidRPr="004173F2" w:rsidRDefault="00182043" w:rsidP="00834EA7">
      <w:pPr>
        <w:rPr>
          <w:rFonts w:cs="Arial"/>
          <w:b/>
        </w:rPr>
      </w:pPr>
      <w:r w:rsidRPr="004173F2">
        <w:rPr>
          <w:rFonts w:cs="Arial"/>
          <w:b/>
        </w:rPr>
        <w:t>Select a single response unless otherwise indicated.</w:t>
      </w:r>
    </w:p>
    <w:p w14:paraId="1B965345" w14:textId="77777777" w:rsidR="00182043" w:rsidRPr="004173F2" w:rsidRDefault="00182043" w:rsidP="00834EA7">
      <w:pPr>
        <w:rPr>
          <w:rFonts w:cs="Arial"/>
        </w:rPr>
      </w:pPr>
    </w:p>
    <w:p w14:paraId="71053848" w14:textId="77777777" w:rsidR="00182043" w:rsidRPr="004173F2" w:rsidRDefault="00182043" w:rsidP="00834EA7">
      <w:pPr>
        <w:pStyle w:val="Heading2"/>
        <w:rPr>
          <w:rFonts w:cs="Arial"/>
        </w:rPr>
      </w:pPr>
      <w:r w:rsidRPr="004173F2">
        <w:rPr>
          <w:rFonts w:cs="Arial"/>
        </w:rPr>
        <w:t>Procedure (Note B)</w:t>
      </w:r>
    </w:p>
    <w:p w14:paraId="704D2787" w14:textId="77777777" w:rsidR="00182043" w:rsidRPr="004173F2" w:rsidRDefault="00182043" w:rsidP="00834EA7">
      <w:pPr>
        <w:rPr>
          <w:rFonts w:cs="Arial"/>
        </w:rPr>
      </w:pPr>
      <w:r w:rsidRPr="004173F2">
        <w:rPr>
          <w:rFonts w:cs="Arial"/>
        </w:rPr>
        <w:t>__</w:t>
      </w:r>
      <w:r w:rsidR="00AC28A6" w:rsidRPr="004173F2">
        <w:rPr>
          <w:rFonts w:cs="Arial"/>
        </w:rPr>
        <w:t xml:space="preserve">_ </w:t>
      </w:r>
      <w:r w:rsidRPr="004173F2">
        <w:rPr>
          <w:rFonts w:cs="Arial"/>
        </w:rPr>
        <w:t xml:space="preserve">Core needle biopsy </w:t>
      </w:r>
    </w:p>
    <w:p w14:paraId="5AF24C2B" w14:textId="77777777" w:rsidR="00182043" w:rsidRPr="004173F2" w:rsidRDefault="00182043" w:rsidP="00834EA7">
      <w:pPr>
        <w:rPr>
          <w:rFonts w:cs="Arial"/>
        </w:rPr>
      </w:pPr>
      <w:r w:rsidRPr="004173F2">
        <w:rPr>
          <w:rFonts w:cs="Arial"/>
        </w:rPr>
        <w:t xml:space="preserve">___ Incisional biopsy </w:t>
      </w:r>
    </w:p>
    <w:p w14:paraId="1C60FDA4" w14:textId="77777777" w:rsidR="00182043" w:rsidRPr="004173F2" w:rsidRDefault="00182043" w:rsidP="00834EA7">
      <w:pPr>
        <w:rPr>
          <w:rFonts w:cs="Arial"/>
        </w:rPr>
      </w:pPr>
      <w:r w:rsidRPr="004173F2">
        <w:rPr>
          <w:rFonts w:cs="Arial"/>
        </w:rPr>
        <w:t xml:space="preserve">___ Excisional biopsy </w:t>
      </w:r>
    </w:p>
    <w:p w14:paraId="4FEF4542" w14:textId="77777777" w:rsidR="00182043" w:rsidRPr="004173F2" w:rsidRDefault="00182043" w:rsidP="00834EA7">
      <w:pPr>
        <w:rPr>
          <w:rFonts w:cs="Arial"/>
        </w:rPr>
      </w:pPr>
      <w:r w:rsidRPr="004173F2">
        <w:rPr>
          <w:rFonts w:cs="Arial"/>
        </w:rPr>
        <w:t>___ Other (specify): _____________________________</w:t>
      </w:r>
    </w:p>
    <w:p w14:paraId="2940D629" w14:textId="77777777" w:rsidR="00182043" w:rsidRPr="004173F2" w:rsidRDefault="00182043" w:rsidP="00834EA7">
      <w:pPr>
        <w:rPr>
          <w:rFonts w:cs="Arial"/>
        </w:rPr>
      </w:pPr>
      <w:r w:rsidRPr="004173F2">
        <w:rPr>
          <w:rFonts w:cs="Arial"/>
        </w:rPr>
        <w:t>___ Not specified</w:t>
      </w:r>
    </w:p>
    <w:p w14:paraId="3764ACED" w14:textId="77777777" w:rsidR="00182043" w:rsidRPr="004173F2" w:rsidRDefault="00182043" w:rsidP="00834EA7">
      <w:pPr>
        <w:rPr>
          <w:rFonts w:cs="Arial"/>
        </w:rPr>
      </w:pPr>
    </w:p>
    <w:p w14:paraId="2C4AC542" w14:textId="77777777" w:rsidR="00182043" w:rsidRPr="004173F2" w:rsidRDefault="00182043" w:rsidP="00834EA7">
      <w:pPr>
        <w:pStyle w:val="Heading2"/>
        <w:rPr>
          <w:rFonts w:cs="Arial"/>
        </w:rPr>
      </w:pPr>
      <w:r w:rsidRPr="004173F2">
        <w:rPr>
          <w:rFonts w:cs="Arial"/>
        </w:rPr>
        <w:t>Tumor Site</w:t>
      </w:r>
    </w:p>
    <w:p w14:paraId="4B7E418E" w14:textId="77777777" w:rsidR="00182043" w:rsidRPr="004173F2" w:rsidRDefault="00182043" w:rsidP="00834EA7">
      <w:pPr>
        <w:tabs>
          <w:tab w:val="left" w:pos="540"/>
        </w:tabs>
        <w:rPr>
          <w:rFonts w:cs="Arial"/>
        </w:rPr>
      </w:pPr>
      <w:r w:rsidRPr="004173F2">
        <w:rPr>
          <w:rFonts w:cs="Arial"/>
        </w:rPr>
        <w:t>Specify site (if known): _________________________</w:t>
      </w:r>
    </w:p>
    <w:p w14:paraId="45A5B07D" w14:textId="77777777" w:rsidR="00182043" w:rsidRPr="004173F2" w:rsidRDefault="00182043" w:rsidP="00834EA7">
      <w:pPr>
        <w:tabs>
          <w:tab w:val="left" w:pos="540"/>
        </w:tabs>
        <w:rPr>
          <w:rFonts w:cs="Arial"/>
          <w:b/>
        </w:rPr>
      </w:pPr>
      <w:r w:rsidRPr="004173F2">
        <w:rPr>
          <w:rFonts w:cs="Arial"/>
        </w:rPr>
        <w:t>___ Not specified</w:t>
      </w:r>
    </w:p>
    <w:p w14:paraId="00708554" w14:textId="77777777" w:rsidR="00182043" w:rsidRPr="004173F2" w:rsidRDefault="00182043" w:rsidP="00834EA7">
      <w:pPr>
        <w:rPr>
          <w:rFonts w:cs="Arial"/>
        </w:rPr>
      </w:pPr>
    </w:p>
    <w:p w14:paraId="77B799CA" w14:textId="58199A0F" w:rsidR="00182043" w:rsidRPr="004173F2" w:rsidRDefault="00182043" w:rsidP="00834EA7">
      <w:pPr>
        <w:pStyle w:val="Heading2"/>
        <w:rPr>
          <w:rFonts w:cs="Arial"/>
        </w:rPr>
      </w:pPr>
      <w:r w:rsidRPr="004173F2">
        <w:rPr>
          <w:rFonts w:cs="Arial"/>
        </w:rPr>
        <w:t xml:space="preserve">Tumor Size </w:t>
      </w:r>
      <w:r w:rsidR="00D34B2E">
        <w:rPr>
          <w:rFonts w:cs="Arial"/>
        </w:rPr>
        <w:t xml:space="preserve">(for excisional biopsy only) </w:t>
      </w:r>
    </w:p>
    <w:p w14:paraId="5993D604" w14:textId="7C9FEC73" w:rsidR="00182043" w:rsidRPr="004173F2" w:rsidRDefault="00182043" w:rsidP="00834EA7">
      <w:pPr>
        <w:rPr>
          <w:rFonts w:cs="Arial"/>
        </w:rPr>
      </w:pPr>
      <w:r w:rsidRPr="004173F2">
        <w:rPr>
          <w:rFonts w:cs="Arial"/>
        </w:rPr>
        <w:t>Greatest dimension:</w:t>
      </w:r>
      <w:r w:rsidR="008F5D6A">
        <w:rPr>
          <w:rFonts w:cs="Arial"/>
        </w:rPr>
        <w:t>(centimeters)</w:t>
      </w:r>
      <w:r w:rsidRPr="004173F2">
        <w:rPr>
          <w:rFonts w:cs="Arial"/>
        </w:rPr>
        <w:t xml:space="preserve"> ___ cm</w:t>
      </w:r>
    </w:p>
    <w:p w14:paraId="17863198" w14:textId="76E7B8CC" w:rsidR="00182043" w:rsidRPr="004173F2" w:rsidRDefault="00182043" w:rsidP="0014015F">
      <w:pPr>
        <w:ind w:firstLine="720"/>
        <w:rPr>
          <w:rFonts w:cs="Arial"/>
        </w:rPr>
      </w:pPr>
      <w:r w:rsidRPr="004173F2">
        <w:rPr>
          <w:rFonts w:cs="Arial"/>
        </w:rPr>
        <w:t>Additional dimensions:</w:t>
      </w:r>
      <w:r w:rsidR="008F5D6A">
        <w:rPr>
          <w:rFonts w:cs="Arial"/>
        </w:rPr>
        <w:t>(centimeters)</w:t>
      </w:r>
      <w:r w:rsidRPr="004173F2">
        <w:rPr>
          <w:rFonts w:cs="Arial"/>
        </w:rPr>
        <w:t xml:space="preserve"> ___ x ___ cm</w:t>
      </w:r>
    </w:p>
    <w:p w14:paraId="12295B67" w14:textId="77777777" w:rsidR="00182043" w:rsidRPr="004173F2" w:rsidRDefault="00182043" w:rsidP="00834EA7">
      <w:pPr>
        <w:rPr>
          <w:rFonts w:cs="Arial"/>
        </w:rPr>
      </w:pPr>
      <w:r w:rsidRPr="004173F2">
        <w:rPr>
          <w:rFonts w:cs="Arial"/>
        </w:rPr>
        <w:t xml:space="preserve">___ Cannot be determined </w:t>
      </w:r>
      <w:r w:rsidR="007C4F11" w:rsidRPr="004173F2">
        <w:rPr>
          <w:rFonts w:cs="Arial"/>
        </w:rPr>
        <w:t xml:space="preserve">(explain): </w:t>
      </w:r>
      <w:r w:rsidR="007E3FA3" w:rsidRPr="004173F2">
        <w:rPr>
          <w:rFonts w:cs="Arial"/>
        </w:rPr>
        <w:t>_______</w:t>
      </w:r>
      <w:r w:rsidR="004914CA" w:rsidRPr="004173F2">
        <w:rPr>
          <w:rFonts w:cs="Arial"/>
        </w:rPr>
        <w:t>___</w:t>
      </w:r>
      <w:r w:rsidR="007E3FA3" w:rsidRPr="004173F2">
        <w:rPr>
          <w:rFonts w:cs="Arial"/>
        </w:rPr>
        <w:t>________</w:t>
      </w:r>
      <w:r w:rsidR="007C4F11" w:rsidRPr="004173F2">
        <w:rPr>
          <w:rFonts w:cs="Arial"/>
        </w:rPr>
        <w:t>______</w:t>
      </w:r>
    </w:p>
    <w:p w14:paraId="2298EBEE" w14:textId="77777777" w:rsidR="0011269F" w:rsidRDefault="0011269F" w:rsidP="0011269F">
      <w:pPr>
        <w:pStyle w:val="Heading2"/>
        <w:rPr>
          <w:rFonts w:cs="Arial"/>
        </w:rPr>
      </w:pPr>
    </w:p>
    <w:p w14:paraId="36A1DE7F" w14:textId="4813C162" w:rsidR="00182043" w:rsidRPr="004173F2" w:rsidRDefault="00182043" w:rsidP="00834EA7">
      <w:pPr>
        <w:pStyle w:val="Heading2"/>
        <w:rPr>
          <w:rFonts w:cs="Arial"/>
        </w:rPr>
      </w:pPr>
      <w:r w:rsidRPr="004173F2">
        <w:rPr>
          <w:rFonts w:cs="Arial"/>
        </w:rPr>
        <w:t xml:space="preserve">Margins (for excisional biopsy only) (Note </w:t>
      </w:r>
      <w:r w:rsidR="005A7538">
        <w:rPr>
          <w:rFonts w:cs="Arial"/>
        </w:rPr>
        <w:t>C</w:t>
      </w:r>
      <w:r w:rsidRPr="004173F2">
        <w:rPr>
          <w:rFonts w:cs="Arial"/>
        </w:rPr>
        <w:t>)</w:t>
      </w:r>
    </w:p>
    <w:p w14:paraId="7AE18D5E" w14:textId="77777777" w:rsidR="00182043" w:rsidRPr="004173F2" w:rsidRDefault="00182043" w:rsidP="00834EA7">
      <w:pPr>
        <w:keepNext/>
        <w:rPr>
          <w:rFonts w:cs="Arial"/>
        </w:rPr>
      </w:pPr>
      <w:r w:rsidRPr="004173F2">
        <w:rPr>
          <w:rFonts w:cs="Arial"/>
        </w:rPr>
        <w:t>___ Cannot be assessed</w:t>
      </w:r>
    </w:p>
    <w:p w14:paraId="39F94A2E" w14:textId="77777777" w:rsidR="00182043" w:rsidRPr="004173F2" w:rsidRDefault="00182043" w:rsidP="00834EA7">
      <w:pPr>
        <w:rPr>
          <w:rFonts w:cs="Arial"/>
        </w:rPr>
      </w:pPr>
      <w:r w:rsidRPr="004173F2">
        <w:rPr>
          <w:rFonts w:cs="Arial"/>
        </w:rPr>
        <w:t xml:space="preserve">___ </w:t>
      </w:r>
      <w:r w:rsidR="00724C39" w:rsidRPr="004173F2">
        <w:rPr>
          <w:rFonts w:cs="Arial"/>
        </w:rPr>
        <w:t>U</w:t>
      </w:r>
      <w:r w:rsidR="00481336" w:rsidRPr="004173F2">
        <w:rPr>
          <w:rFonts w:cs="Arial"/>
        </w:rPr>
        <w:t>ninvolved by</w:t>
      </w:r>
      <w:r w:rsidRPr="004173F2">
        <w:rPr>
          <w:rFonts w:cs="Arial"/>
        </w:rPr>
        <w:t xml:space="preserve"> tumor</w:t>
      </w:r>
    </w:p>
    <w:p w14:paraId="2B9FAA71" w14:textId="081CF0ED" w:rsidR="00182043" w:rsidRPr="004173F2" w:rsidRDefault="00182043" w:rsidP="00387A3C">
      <w:pPr>
        <w:rPr>
          <w:rFonts w:cs="Arial"/>
        </w:rPr>
      </w:pPr>
      <w:r w:rsidRPr="004173F2">
        <w:rPr>
          <w:rFonts w:cs="Arial"/>
        </w:rPr>
        <w:tab/>
      </w:r>
      <w:r w:rsidR="00551800">
        <w:rPr>
          <w:rFonts w:cs="Arial"/>
        </w:rPr>
        <w:t xml:space="preserve"> </w:t>
      </w:r>
    </w:p>
    <w:p w14:paraId="275A81D3" w14:textId="4BF89E21" w:rsidR="00182043" w:rsidRPr="004173F2" w:rsidRDefault="00182043" w:rsidP="00570B38">
      <w:pPr>
        <w:rPr>
          <w:rFonts w:cs="Arial"/>
        </w:rPr>
      </w:pPr>
      <w:r w:rsidRPr="004173F2">
        <w:rPr>
          <w:rFonts w:cs="Arial"/>
        </w:rPr>
        <w:tab/>
        <w:t>Distance of tumor from closest soft tissue margin</w:t>
      </w:r>
      <w:r w:rsidR="00F35AAD">
        <w:rPr>
          <w:rFonts w:cs="Arial"/>
        </w:rPr>
        <w:t xml:space="preserve"> (centimeters) </w:t>
      </w:r>
      <w:r w:rsidR="00551800">
        <w:rPr>
          <w:rFonts w:cs="Arial"/>
        </w:rPr>
        <w:t>(if applicable</w:t>
      </w:r>
      <w:r w:rsidR="00F35AAD">
        <w:rPr>
          <w:rFonts w:cs="Arial"/>
        </w:rPr>
        <w:t>)</w:t>
      </w:r>
      <w:r w:rsidRPr="004173F2">
        <w:rPr>
          <w:rFonts w:cs="Arial"/>
        </w:rPr>
        <w:t xml:space="preserve">: </w:t>
      </w:r>
      <w:r w:rsidR="0087256D" w:rsidRPr="0087256D">
        <w:rPr>
          <w:rFonts w:cs="Arial"/>
        </w:rPr>
        <w:t xml:space="preserve"> ___ </w:t>
      </w:r>
      <w:r w:rsidRPr="004173F2">
        <w:rPr>
          <w:rFonts w:cs="Arial"/>
        </w:rPr>
        <w:t>cm</w:t>
      </w:r>
      <w:r w:rsidR="00551800">
        <w:rPr>
          <w:rFonts w:cs="Arial"/>
        </w:rPr>
        <w:t xml:space="preserve"> </w:t>
      </w:r>
    </w:p>
    <w:p w14:paraId="56334E26" w14:textId="42D1A358" w:rsidR="001C489E" w:rsidRPr="004173F2" w:rsidRDefault="001C489E" w:rsidP="00570B38">
      <w:pPr>
        <w:rPr>
          <w:rFonts w:cs="Arial"/>
        </w:rPr>
      </w:pPr>
      <w:r w:rsidRPr="004173F2">
        <w:rPr>
          <w:rFonts w:cs="Arial"/>
        </w:rPr>
        <w:tab/>
        <w:t>Distance of tumor from closest other (eg</w:t>
      </w:r>
      <w:r w:rsidR="004914CA" w:rsidRPr="004173F2">
        <w:rPr>
          <w:rFonts w:cs="Arial"/>
        </w:rPr>
        <w:t>,</w:t>
      </w:r>
      <w:r w:rsidRPr="004173F2">
        <w:rPr>
          <w:rFonts w:cs="Arial"/>
        </w:rPr>
        <w:t xml:space="preserve"> parenchymal) margin</w:t>
      </w:r>
      <w:r w:rsidR="00F35AAD">
        <w:rPr>
          <w:rFonts w:cs="Arial"/>
        </w:rPr>
        <w:t xml:space="preserve"> (centimeters) </w:t>
      </w:r>
      <w:r w:rsidR="00551800">
        <w:rPr>
          <w:rFonts w:cs="Arial"/>
        </w:rPr>
        <w:t>(if applicable</w:t>
      </w:r>
      <w:r w:rsidR="00F35AAD">
        <w:rPr>
          <w:rFonts w:cs="Arial"/>
        </w:rPr>
        <w:t>)</w:t>
      </w:r>
      <w:r w:rsidRPr="004173F2">
        <w:rPr>
          <w:rFonts w:cs="Arial"/>
        </w:rPr>
        <w:t>:</w:t>
      </w:r>
      <w:bookmarkStart w:id="0" w:name="_Hlk533081956"/>
      <w:r w:rsidR="0087256D">
        <w:t xml:space="preserve"> ___ </w:t>
      </w:r>
      <w:bookmarkEnd w:id="0"/>
      <w:r w:rsidRPr="004173F2">
        <w:rPr>
          <w:rFonts w:cs="Arial"/>
        </w:rPr>
        <w:t>cm</w:t>
      </w:r>
      <w:r w:rsidR="00551800">
        <w:rPr>
          <w:rFonts w:cs="Arial"/>
        </w:rPr>
        <w:t xml:space="preserve"> </w:t>
      </w:r>
    </w:p>
    <w:p w14:paraId="0949E11F" w14:textId="77777777" w:rsidR="00182043" w:rsidRPr="004173F2" w:rsidRDefault="00182043" w:rsidP="00834EA7">
      <w:pPr>
        <w:rPr>
          <w:rFonts w:cs="Arial"/>
        </w:rPr>
      </w:pPr>
      <w:r w:rsidRPr="004173F2">
        <w:rPr>
          <w:rFonts w:cs="Arial"/>
        </w:rPr>
        <w:t xml:space="preserve">___ </w:t>
      </w:r>
      <w:r w:rsidR="007C4F11" w:rsidRPr="004173F2">
        <w:rPr>
          <w:rFonts w:cs="Arial"/>
        </w:rPr>
        <w:t>I</w:t>
      </w:r>
      <w:r w:rsidR="00481336" w:rsidRPr="004173F2">
        <w:rPr>
          <w:rFonts w:cs="Arial"/>
        </w:rPr>
        <w:t>nvolved by tumor</w:t>
      </w:r>
    </w:p>
    <w:p w14:paraId="724E2984" w14:textId="77777777" w:rsidR="00182043" w:rsidRPr="004173F2" w:rsidRDefault="00182043" w:rsidP="00834EA7">
      <w:pPr>
        <w:rPr>
          <w:rFonts w:cs="Arial"/>
        </w:rPr>
      </w:pPr>
      <w:r w:rsidRPr="004173F2">
        <w:rPr>
          <w:rFonts w:cs="Arial"/>
        </w:rPr>
        <w:tab/>
        <w:t>Specify margin(s)</w:t>
      </w:r>
      <w:r w:rsidR="007C4F11" w:rsidRPr="004173F2">
        <w:rPr>
          <w:rFonts w:cs="Arial"/>
        </w:rPr>
        <w:t>:</w:t>
      </w:r>
      <w:r w:rsidRPr="004173F2">
        <w:rPr>
          <w:rFonts w:cs="Arial"/>
        </w:rPr>
        <w:t xml:space="preserve"> ____________________________</w:t>
      </w:r>
    </w:p>
    <w:p w14:paraId="3B9BA331" w14:textId="77777777" w:rsidR="00182043" w:rsidRPr="004173F2" w:rsidRDefault="00182043" w:rsidP="00834EA7">
      <w:pPr>
        <w:rPr>
          <w:rFonts w:cs="Arial"/>
        </w:rPr>
      </w:pPr>
    </w:p>
    <w:p w14:paraId="5CD05A8D" w14:textId="78F5DBC1" w:rsidR="00182043" w:rsidRPr="0014015F" w:rsidRDefault="00182043" w:rsidP="00834EA7">
      <w:pPr>
        <w:pStyle w:val="Heading2"/>
        <w:rPr>
          <w:rFonts w:cs="Arial"/>
          <w:b w:val="0"/>
        </w:rPr>
      </w:pPr>
      <w:r w:rsidRPr="00A46060">
        <w:rPr>
          <w:rFonts w:cs="Arial"/>
          <w:b w:val="0"/>
        </w:rPr>
        <w:t>Lymph</w:t>
      </w:r>
      <w:r w:rsidR="00F35AAD">
        <w:rPr>
          <w:rFonts w:cs="Arial"/>
          <w:b w:val="0"/>
        </w:rPr>
        <w:t>ov</w:t>
      </w:r>
      <w:r w:rsidRPr="00A46060">
        <w:rPr>
          <w:rFonts w:cs="Arial"/>
          <w:b w:val="0"/>
        </w:rPr>
        <w:t>ascular</w:t>
      </w:r>
      <w:r w:rsidRPr="0014015F">
        <w:rPr>
          <w:rFonts w:cs="Arial"/>
          <w:b w:val="0"/>
        </w:rPr>
        <w:t xml:space="preserve"> Invasion (Note </w:t>
      </w:r>
      <w:r w:rsidR="005A7538">
        <w:rPr>
          <w:rFonts w:cs="Arial"/>
          <w:b w:val="0"/>
        </w:rPr>
        <w:t>D</w:t>
      </w:r>
      <w:r w:rsidRPr="0014015F">
        <w:rPr>
          <w:rFonts w:cs="Arial"/>
          <w:b w:val="0"/>
        </w:rPr>
        <w:t>)</w:t>
      </w:r>
    </w:p>
    <w:p w14:paraId="402EC590" w14:textId="084C048A" w:rsidR="00182043" w:rsidRPr="004173F2" w:rsidRDefault="00182043" w:rsidP="00834EA7">
      <w:pPr>
        <w:rPr>
          <w:rFonts w:cs="Arial"/>
        </w:rPr>
      </w:pPr>
      <w:r w:rsidRPr="004173F2">
        <w:rPr>
          <w:rFonts w:cs="Arial"/>
        </w:rPr>
        <w:t>___ Not identified</w:t>
      </w:r>
    </w:p>
    <w:p w14:paraId="5D5E0631" w14:textId="6756E365" w:rsidR="00182043" w:rsidRPr="004173F2" w:rsidRDefault="00182043" w:rsidP="00834EA7">
      <w:pPr>
        <w:rPr>
          <w:rFonts w:cs="Arial"/>
        </w:rPr>
      </w:pPr>
      <w:r w:rsidRPr="004173F2">
        <w:rPr>
          <w:rFonts w:cs="Arial"/>
        </w:rPr>
        <w:t>___ Present</w:t>
      </w:r>
    </w:p>
    <w:p w14:paraId="7B2080AE" w14:textId="0B5E7B8D" w:rsidR="00182043" w:rsidRPr="004173F2" w:rsidRDefault="00182043" w:rsidP="00834EA7">
      <w:pPr>
        <w:rPr>
          <w:rFonts w:cs="Arial"/>
        </w:rPr>
      </w:pPr>
      <w:r w:rsidRPr="004173F2">
        <w:rPr>
          <w:rFonts w:cs="Arial"/>
        </w:rPr>
        <w:t xml:space="preserve">___ </w:t>
      </w:r>
      <w:r w:rsidR="00BD15F0" w:rsidRPr="004173F2">
        <w:rPr>
          <w:rFonts w:cs="Arial"/>
        </w:rPr>
        <w:t>Cannot be determined</w:t>
      </w:r>
    </w:p>
    <w:p w14:paraId="28F58F38" w14:textId="77777777" w:rsidR="00182043" w:rsidRPr="004173F2" w:rsidRDefault="00182043" w:rsidP="00834EA7">
      <w:pPr>
        <w:rPr>
          <w:rFonts w:cs="Arial"/>
        </w:rPr>
      </w:pPr>
    </w:p>
    <w:p w14:paraId="52A61774" w14:textId="19B602BC" w:rsidR="00182043" w:rsidRPr="0014015F" w:rsidRDefault="00182043" w:rsidP="00834EA7">
      <w:pPr>
        <w:pStyle w:val="Heading2"/>
        <w:rPr>
          <w:rFonts w:cs="Arial"/>
          <w:b w:val="0"/>
        </w:rPr>
      </w:pPr>
      <w:r w:rsidRPr="0014015F">
        <w:rPr>
          <w:rFonts w:cs="Arial"/>
          <w:b w:val="0"/>
        </w:rPr>
        <w:t>Additional Pathologic Findings</w:t>
      </w:r>
    </w:p>
    <w:p w14:paraId="48DEB10E" w14:textId="769397BF" w:rsidR="00182043" w:rsidRPr="004173F2" w:rsidRDefault="00182043" w:rsidP="00834EA7">
      <w:pPr>
        <w:rPr>
          <w:rFonts w:cs="Arial"/>
        </w:rPr>
      </w:pPr>
      <w:r w:rsidRPr="004173F2">
        <w:rPr>
          <w:rFonts w:cs="Arial"/>
        </w:rPr>
        <w:t>Specify: ____________________________</w:t>
      </w:r>
    </w:p>
    <w:p w14:paraId="223B3FDA" w14:textId="727D1B56" w:rsidR="00997FEB" w:rsidRDefault="00997FEB">
      <w:pPr>
        <w:rPr>
          <w:rFonts w:cs="Arial"/>
        </w:rPr>
      </w:pPr>
      <w:r>
        <w:rPr>
          <w:rFonts w:cs="Arial"/>
        </w:rPr>
        <w:br w:type="page"/>
      </w:r>
    </w:p>
    <w:p w14:paraId="448E98E5" w14:textId="77777777" w:rsidR="00182043" w:rsidRPr="004173F2" w:rsidRDefault="00182043" w:rsidP="00834EA7">
      <w:pPr>
        <w:rPr>
          <w:rFonts w:cs="Arial"/>
        </w:rPr>
      </w:pPr>
    </w:p>
    <w:p w14:paraId="560D58E6" w14:textId="245A56DE" w:rsidR="00182043" w:rsidRPr="00B300F0" w:rsidRDefault="00182043" w:rsidP="00834EA7">
      <w:pPr>
        <w:pStyle w:val="Heading2"/>
        <w:rPr>
          <w:rFonts w:cs="Arial"/>
        </w:rPr>
      </w:pPr>
      <w:r w:rsidRPr="00B300F0">
        <w:rPr>
          <w:rFonts w:cs="Arial"/>
        </w:rPr>
        <w:t xml:space="preserve">Ancillary Studies </w:t>
      </w:r>
      <w:r w:rsidR="004914CA" w:rsidRPr="00B300F0">
        <w:rPr>
          <w:rFonts w:cs="Arial"/>
        </w:rPr>
        <w:t xml:space="preserve">(select all that apply) </w:t>
      </w:r>
      <w:r w:rsidRPr="00B300F0">
        <w:rPr>
          <w:rFonts w:cs="Arial"/>
        </w:rPr>
        <w:t xml:space="preserve">(Note </w:t>
      </w:r>
      <w:r w:rsidR="005A7538" w:rsidRPr="00B300F0">
        <w:rPr>
          <w:rFonts w:cs="Arial"/>
        </w:rPr>
        <w:t>E</w:t>
      </w:r>
      <w:r w:rsidRPr="00B300F0">
        <w:rPr>
          <w:rFonts w:cs="Arial"/>
        </w:rPr>
        <w:t>)</w:t>
      </w:r>
    </w:p>
    <w:p w14:paraId="59184D10" w14:textId="77777777" w:rsidR="009B3DA8" w:rsidRDefault="00A228EE" w:rsidP="00CC3297">
      <w:pPr>
        <w:spacing w:before="60" w:after="60"/>
        <w:rPr>
          <w:i/>
          <w:sz w:val="18"/>
          <w:szCs w:val="18"/>
        </w:rPr>
      </w:pPr>
      <w:r>
        <w:rPr>
          <w:i/>
          <w:sz w:val="18"/>
          <w:szCs w:val="18"/>
        </w:rPr>
        <w:t>Note: Results of these studies may not be available at the time of the final report</w:t>
      </w:r>
    </w:p>
    <w:p w14:paraId="137A70F4" w14:textId="77777777" w:rsidR="005A7538" w:rsidRDefault="005A7538" w:rsidP="00834EA7">
      <w:pPr>
        <w:rPr>
          <w:sz w:val="18"/>
          <w:szCs w:val="18"/>
          <w:u w:val="single"/>
        </w:rPr>
      </w:pPr>
    </w:p>
    <w:p w14:paraId="3B22F879" w14:textId="0644ABAB" w:rsidR="005A7538" w:rsidRPr="003E7958" w:rsidRDefault="005A7538" w:rsidP="00834EA7">
      <w:r w:rsidRPr="003E7958">
        <w:t>Immunohistochemistry (specify)</w:t>
      </w:r>
      <w:r w:rsidRPr="0014015F">
        <w:t>: ______________________________</w:t>
      </w:r>
    </w:p>
    <w:p w14:paraId="7018E636" w14:textId="77777777" w:rsidR="005A7538" w:rsidRDefault="005A7538" w:rsidP="00834EA7">
      <w:pPr>
        <w:rPr>
          <w:sz w:val="18"/>
          <w:szCs w:val="18"/>
        </w:rPr>
      </w:pPr>
    </w:p>
    <w:p w14:paraId="5B4BEC19" w14:textId="1E6A1BBE" w:rsidR="005A7538" w:rsidRPr="00B300F0" w:rsidRDefault="005A7538" w:rsidP="00834EA7">
      <w:pPr>
        <w:rPr>
          <w:b/>
        </w:rPr>
      </w:pPr>
      <w:r w:rsidRPr="00B300F0">
        <w:rPr>
          <w:b/>
        </w:rPr>
        <w:t>Cytogenetics Findings</w:t>
      </w:r>
    </w:p>
    <w:p w14:paraId="14515307" w14:textId="38C33646" w:rsidR="00852B99" w:rsidRPr="00997FEB" w:rsidRDefault="00852B99" w:rsidP="00834EA7">
      <w:pPr>
        <w:rPr>
          <w:rFonts w:cs="Arial"/>
          <w:kern w:val="20"/>
        </w:rPr>
      </w:pPr>
      <w:r w:rsidRPr="00997FEB">
        <w:rPr>
          <w:rFonts w:cs="Arial"/>
          <w:kern w:val="20"/>
        </w:rPr>
        <w:t>___ Not performed</w:t>
      </w:r>
    </w:p>
    <w:p w14:paraId="0EEB02D2" w14:textId="3405FB0A" w:rsidR="005975C7" w:rsidRPr="00997FEB" w:rsidRDefault="005975C7" w:rsidP="005975C7">
      <w:pPr>
        <w:rPr>
          <w:rFonts w:cs="Arial"/>
        </w:rPr>
      </w:pPr>
      <w:r w:rsidRPr="00997FEB">
        <w:rPr>
          <w:rFonts w:cs="Arial"/>
        </w:rPr>
        <w:t>___ Pending</w:t>
      </w:r>
    </w:p>
    <w:p w14:paraId="68D7EC82" w14:textId="647C7FC7" w:rsidR="005975C7" w:rsidRPr="00997FEB" w:rsidRDefault="005975C7" w:rsidP="005975C7">
      <w:pPr>
        <w:rPr>
          <w:rFonts w:cs="Arial"/>
        </w:rPr>
      </w:pPr>
      <w:r w:rsidRPr="00997FEB">
        <w:rPr>
          <w:rFonts w:cs="Arial"/>
        </w:rPr>
        <w:t>___ EWSR1 rearrangement present</w:t>
      </w:r>
    </w:p>
    <w:p w14:paraId="3E99163C" w14:textId="173EEAA2" w:rsidR="005975C7" w:rsidRPr="00997FEB" w:rsidRDefault="005975C7" w:rsidP="005975C7">
      <w:pPr>
        <w:rPr>
          <w:rFonts w:cs="Arial"/>
        </w:rPr>
      </w:pPr>
      <w:r w:rsidRPr="00997FEB">
        <w:rPr>
          <w:rFonts w:cs="Arial"/>
        </w:rPr>
        <w:tab/>
        <w:t xml:space="preserve">___ Fusion partner </w:t>
      </w:r>
      <w:r w:rsidR="002F6B4F" w:rsidRPr="00997FEB">
        <w:rPr>
          <w:rFonts w:cs="Arial"/>
        </w:rPr>
        <w:t>not known</w:t>
      </w:r>
    </w:p>
    <w:p w14:paraId="11F6E1ED" w14:textId="63BC0D8F" w:rsidR="005975C7" w:rsidRPr="00997FEB" w:rsidRDefault="005975C7" w:rsidP="005975C7">
      <w:pPr>
        <w:rPr>
          <w:rFonts w:cs="Arial"/>
        </w:rPr>
      </w:pPr>
      <w:r w:rsidRPr="00997FEB">
        <w:rPr>
          <w:rFonts w:cs="Arial"/>
        </w:rPr>
        <w:tab/>
        <w:t>___ Fusion partner known</w:t>
      </w:r>
    </w:p>
    <w:p w14:paraId="47460AAD" w14:textId="40611671" w:rsidR="005975C7" w:rsidRPr="00997FEB" w:rsidRDefault="005975C7" w:rsidP="005975C7">
      <w:pPr>
        <w:rPr>
          <w:rFonts w:cs="Arial"/>
        </w:rPr>
      </w:pPr>
      <w:r w:rsidRPr="00997FEB">
        <w:rPr>
          <w:rFonts w:cs="Arial"/>
        </w:rPr>
        <w:tab/>
      </w:r>
      <w:r w:rsidRPr="00997FEB">
        <w:rPr>
          <w:rFonts w:cs="Arial"/>
        </w:rPr>
        <w:tab/>
        <w:t>___ FLI1</w:t>
      </w:r>
    </w:p>
    <w:p w14:paraId="651476EC" w14:textId="67A6D1AD" w:rsidR="005975C7" w:rsidRPr="00997FEB" w:rsidRDefault="005975C7" w:rsidP="005975C7">
      <w:pPr>
        <w:rPr>
          <w:rFonts w:cs="Arial"/>
        </w:rPr>
      </w:pPr>
      <w:r w:rsidRPr="00997FEB">
        <w:rPr>
          <w:rFonts w:cs="Arial"/>
        </w:rPr>
        <w:tab/>
      </w:r>
      <w:r w:rsidRPr="00997FEB">
        <w:rPr>
          <w:rFonts w:cs="Arial"/>
        </w:rPr>
        <w:tab/>
        <w:t>___ ERG</w:t>
      </w:r>
    </w:p>
    <w:p w14:paraId="5D232109" w14:textId="05C6D7E2" w:rsidR="005975C7" w:rsidRPr="00997FEB" w:rsidRDefault="005975C7" w:rsidP="005975C7">
      <w:pPr>
        <w:rPr>
          <w:rFonts w:cs="Arial"/>
        </w:rPr>
      </w:pPr>
      <w:r w:rsidRPr="00997FEB">
        <w:rPr>
          <w:rFonts w:cs="Arial"/>
        </w:rPr>
        <w:tab/>
      </w:r>
      <w:r w:rsidRPr="00997FEB">
        <w:rPr>
          <w:rFonts w:cs="Arial"/>
        </w:rPr>
        <w:tab/>
        <w:t>___ Other (specify): ______________________</w:t>
      </w:r>
    </w:p>
    <w:p w14:paraId="27B7464A" w14:textId="38549A25" w:rsidR="005975C7" w:rsidRPr="00997FEB" w:rsidRDefault="005975C7" w:rsidP="005975C7">
      <w:pPr>
        <w:rPr>
          <w:rFonts w:cs="Arial"/>
        </w:rPr>
      </w:pPr>
      <w:r w:rsidRPr="00997FEB">
        <w:rPr>
          <w:rFonts w:cs="Arial"/>
        </w:rPr>
        <w:t>___ Other</w:t>
      </w:r>
      <w:r w:rsidR="0066508A" w:rsidRPr="00997FEB">
        <w:rPr>
          <w:rFonts w:cs="Arial"/>
        </w:rPr>
        <w:t xml:space="preserve"> </w:t>
      </w:r>
      <w:r w:rsidRPr="00997FEB">
        <w:rPr>
          <w:rFonts w:cs="Arial"/>
        </w:rPr>
        <w:t>(non-EWSR1 variant translocation) (specify): _____________________</w:t>
      </w:r>
    </w:p>
    <w:p w14:paraId="3D104D90" w14:textId="20AA5B41" w:rsidR="005975C7" w:rsidRPr="00B300F0" w:rsidRDefault="005975C7" w:rsidP="005975C7">
      <w:pPr>
        <w:rPr>
          <w:rFonts w:cs="Arial"/>
          <w:b/>
        </w:rPr>
      </w:pPr>
      <w:r w:rsidRPr="00997FEB">
        <w:rPr>
          <w:rFonts w:cs="Arial"/>
        </w:rPr>
        <w:t>___ No rearrangement identified</w:t>
      </w:r>
    </w:p>
    <w:p w14:paraId="357C6E7F" w14:textId="77777777" w:rsidR="005975C7" w:rsidRPr="00320764" w:rsidRDefault="005975C7" w:rsidP="005975C7"/>
    <w:p w14:paraId="01A7C82C" w14:textId="194F289D" w:rsidR="005975C7" w:rsidRPr="00320764" w:rsidRDefault="005975C7" w:rsidP="005975C7">
      <w:r w:rsidRPr="00320764">
        <w:t>Method</w:t>
      </w:r>
    </w:p>
    <w:p w14:paraId="1CB6DEC8" w14:textId="0CD5CAC2" w:rsidR="005975C7" w:rsidRDefault="005975C7" w:rsidP="005975C7">
      <w:pPr>
        <w:rPr>
          <w:rFonts w:cs="Arial"/>
        </w:rPr>
      </w:pPr>
      <w:r>
        <w:rPr>
          <w:rFonts w:cs="Arial"/>
        </w:rPr>
        <w:t>___ Conventional karyotyping</w:t>
      </w:r>
    </w:p>
    <w:p w14:paraId="2E8D6B3C" w14:textId="00D01F0A" w:rsidR="005975C7" w:rsidRDefault="005975C7" w:rsidP="005975C7">
      <w:pPr>
        <w:rPr>
          <w:rFonts w:cs="Arial"/>
        </w:rPr>
      </w:pPr>
      <w:r>
        <w:rPr>
          <w:rFonts w:cs="Arial"/>
        </w:rPr>
        <w:t>___ Fluorescent in situ hybridization (FISH)</w:t>
      </w:r>
    </w:p>
    <w:p w14:paraId="0257B434" w14:textId="4B437CB4" w:rsidR="005975C7" w:rsidRDefault="005975C7" w:rsidP="005975C7">
      <w:pPr>
        <w:rPr>
          <w:rFonts w:cs="Arial"/>
        </w:rPr>
      </w:pPr>
      <w:r>
        <w:rPr>
          <w:rFonts w:cs="Arial"/>
        </w:rPr>
        <w:t>___ Reverse transcriptase polymerase chain reaction (RT-PCR)</w:t>
      </w:r>
    </w:p>
    <w:p w14:paraId="79A8F116" w14:textId="7713D676" w:rsidR="005975C7" w:rsidRDefault="005975C7" w:rsidP="005975C7">
      <w:pPr>
        <w:rPr>
          <w:rFonts w:cs="Arial"/>
        </w:rPr>
      </w:pPr>
      <w:r>
        <w:rPr>
          <w:rFonts w:cs="Arial"/>
        </w:rPr>
        <w:t>___ Other</w:t>
      </w:r>
      <w:r w:rsidR="0066508A">
        <w:rPr>
          <w:rFonts w:cs="Arial"/>
        </w:rPr>
        <w:t xml:space="preserve"> </w:t>
      </w:r>
      <w:r w:rsidR="009B3DA8">
        <w:rPr>
          <w:rFonts w:cs="Arial"/>
        </w:rPr>
        <w:t>(specify): ____________________________________</w:t>
      </w:r>
    </w:p>
    <w:p w14:paraId="6135D869" w14:textId="77777777" w:rsidR="001C489E" w:rsidRPr="004173F2" w:rsidRDefault="001C489E" w:rsidP="00834EA7">
      <w:pPr>
        <w:rPr>
          <w:rFonts w:cs="Arial"/>
        </w:rPr>
      </w:pPr>
    </w:p>
    <w:p w14:paraId="69BC0D3B" w14:textId="77777777" w:rsidR="00182043" w:rsidRPr="004173F2" w:rsidRDefault="00182043" w:rsidP="00834EA7">
      <w:pPr>
        <w:rPr>
          <w:rFonts w:cs="Arial"/>
        </w:rPr>
      </w:pPr>
    </w:p>
    <w:p w14:paraId="6E548F82" w14:textId="4F1766B3" w:rsidR="00182043" w:rsidRPr="0014015F" w:rsidRDefault="00182043" w:rsidP="00834EA7">
      <w:pPr>
        <w:rPr>
          <w:rFonts w:cs="Arial"/>
        </w:rPr>
      </w:pPr>
      <w:r w:rsidRPr="0014015F">
        <w:rPr>
          <w:rFonts w:cs="Arial"/>
        </w:rPr>
        <w:t>Comment(s)</w:t>
      </w:r>
    </w:p>
    <w:p w14:paraId="25F4598B" w14:textId="07F2694B" w:rsidR="00182043" w:rsidRPr="004173F2" w:rsidRDefault="00182043" w:rsidP="00834EA7">
      <w:pPr>
        <w:rPr>
          <w:rFonts w:cs="Arial"/>
        </w:rPr>
        <w:sectPr w:rsidR="00182043" w:rsidRPr="004173F2" w:rsidSect="00B33E64">
          <w:headerReference w:type="even" r:id="rId14"/>
          <w:headerReference w:type="default" r:id="rId15"/>
          <w:footerReference w:type="even" r:id="rId16"/>
          <w:footerReference w:type="default" r:id="rId17"/>
          <w:pgSz w:w="12240" w:h="15840" w:code="1"/>
          <w:pgMar w:top="1440" w:right="1080" w:bottom="1440" w:left="1080" w:header="720" w:footer="936" w:gutter="0"/>
          <w:cols w:space="720"/>
        </w:sectPr>
      </w:pPr>
    </w:p>
    <w:p w14:paraId="2A1BF9F9" w14:textId="77777777" w:rsidR="00182043" w:rsidRPr="004173F2" w:rsidRDefault="00182043" w:rsidP="00834EA7">
      <w:pPr>
        <w:pStyle w:val="Head2"/>
        <w:rPr>
          <w:rFonts w:cs="Arial"/>
          <w:kern w:val="28"/>
        </w:rPr>
      </w:pPr>
      <w:r w:rsidRPr="004173F2">
        <w:rPr>
          <w:rFonts w:cs="Arial"/>
          <w:kern w:val="28"/>
        </w:rPr>
        <w:lastRenderedPageBreak/>
        <w:t>Explanatory Notes</w:t>
      </w:r>
    </w:p>
    <w:p w14:paraId="0E517C15" w14:textId="77777777" w:rsidR="00182043" w:rsidRPr="004173F2" w:rsidRDefault="00182043" w:rsidP="00834EA7">
      <w:pPr>
        <w:rPr>
          <w:rFonts w:cs="Arial"/>
        </w:rPr>
      </w:pPr>
    </w:p>
    <w:p w14:paraId="6711F510" w14:textId="552E986A" w:rsidR="00182043" w:rsidRPr="004173F2" w:rsidRDefault="00C46C06" w:rsidP="00834EA7">
      <w:pPr>
        <w:pStyle w:val="Heading2"/>
        <w:rPr>
          <w:rFonts w:cs="Arial"/>
        </w:rPr>
      </w:pPr>
      <w:r w:rsidRPr="004173F2">
        <w:rPr>
          <w:rFonts w:cs="Arial"/>
        </w:rPr>
        <w:t xml:space="preserve">A. </w:t>
      </w:r>
      <w:r w:rsidR="0043329D">
        <w:rPr>
          <w:rFonts w:cs="Arial"/>
        </w:rPr>
        <w:t xml:space="preserve"> </w:t>
      </w:r>
      <w:r w:rsidR="00182043" w:rsidRPr="004173F2">
        <w:rPr>
          <w:rFonts w:cs="Arial"/>
        </w:rPr>
        <w:t>Tissue Handling</w:t>
      </w:r>
    </w:p>
    <w:p w14:paraId="36F352EF" w14:textId="77777777" w:rsidR="00182043" w:rsidRPr="004173F2" w:rsidRDefault="00182043" w:rsidP="00834EA7">
      <w:pPr>
        <w:rPr>
          <w:rFonts w:cs="Arial"/>
        </w:rPr>
      </w:pPr>
      <w:r w:rsidRPr="004173F2">
        <w:rPr>
          <w:rFonts w:cs="Arial"/>
        </w:rPr>
        <w:t>Tissue specimens optimally are received fresh/unfixed because of the importance of ancillary studies, such as cytogenetics</w:t>
      </w:r>
      <w:r w:rsidR="00286DBB" w:rsidRPr="004173F2">
        <w:rPr>
          <w:rFonts w:cs="Arial"/>
        </w:rPr>
        <w:t xml:space="preserve"> and molecular testing</w:t>
      </w:r>
      <w:r w:rsidRPr="004173F2">
        <w:rPr>
          <w:rFonts w:cs="Arial"/>
        </w:rPr>
        <w:t>, which require fresh tissue. First priority should always be given to formalin-fixed tissues for morphologic evaluation, followed by submission of fresh tissue for cytogenetics and/or snap freezing a minimum of 100 mg of viable tumor for potential molecular studies.</w:t>
      </w:r>
      <w:r w:rsidRPr="004173F2">
        <w:rPr>
          <w:rFonts w:cs="Arial"/>
          <w:vertAlign w:val="superscript"/>
        </w:rPr>
        <w:t>1</w:t>
      </w:r>
      <w:r w:rsidRPr="004173F2">
        <w:rPr>
          <w:rFonts w:cs="Arial"/>
        </w:rPr>
        <w:t xml:space="preserve"> </w:t>
      </w:r>
      <w:r w:rsidR="00286DBB" w:rsidRPr="004173F2">
        <w:rPr>
          <w:rFonts w:cs="Arial"/>
        </w:rPr>
        <w:t xml:space="preserve">Molecular testing on formalin-fixed paraffin-embedded tissue may be performed for FISH evaluation of </w:t>
      </w:r>
      <w:r w:rsidR="00286DBB" w:rsidRPr="004173F2">
        <w:rPr>
          <w:rFonts w:cs="Arial"/>
          <w:i/>
        </w:rPr>
        <w:t>EWSR1</w:t>
      </w:r>
      <w:r w:rsidR="00286DBB" w:rsidRPr="004173F2">
        <w:rPr>
          <w:rFonts w:cs="Arial"/>
        </w:rPr>
        <w:t xml:space="preserve"> rearrangement and for RT-PCR evaluation of </w:t>
      </w:r>
      <w:r w:rsidR="00286DBB" w:rsidRPr="004173F2">
        <w:rPr>
          <w:rFonts w:cs="Arial"/>
          <w:i/>
        </w:rPr>
        <w:t>EWSR1-FLI1, EWSR1-ERG</w:t>
      </w:r>
      <w:r w:rsidR="004914CA" w:rsidRPr="004173F2">
        <w:rPr>
          <w:rFonts w:cs="Arial"/>
          <w:i/>
        </w:rPr>
        <w:t>,</w:t>
      </w:r>
      <w:r w:rsidR="00286DBB" w:rsidRPr="004173F2">
        <w:rPr>
          <w:rFonts w:cs="Arial"/>
        </w:rPr>
        <w:t xml:space="preserve"> and other ES translocations. </w:t>
      </w:r>
      <w:r w:rsidRPr="004173F2">
        <w:rPr>
          <w:rFonts w:cs="Arial"/>
        </w:rPr>
        <w:t xml:space="preserve">When the amount of tissue is limited, the pathologist can keep the frozen tissue aliquot used for frozen section (usually done to determine sample adequacy and viability) in a frozen state (-70°C is preferable). Translocations may be detected using RT-PCR on frozen or fixed paraffin-embedded tissue, or FISH on touch preparations made from fresh tissue or formalin-fixed paraffin-embedded tissue. </w:t>
      </w:r>
    </w:p>
    <w:p w14:paraId="2FC178C9" w14:textId="77777777" w:rsidR="00DC6388" w:rsidRPr="004173F2" w:rsidRDefault="00DC6388" w:rsidP="00834EA7">
      <w:pPr>
        <w:rPr>
          <w:rFonts w:cs="Arial"/>
        </w:rPr>
      </w:pPr>
    </w:p>
    <w:p w14:paraId="2C438851" w14:textId="77777777" w:rsidR="00182043" w:rsidRPr="004173F2" w:rsidRDefault="00182043" w:rsidP="00834EA7">
      <w:pPr>
        <w:rPr>
          <w:rFonts w:cs="Arial"/>
        </w:rPr>
      </w:pPr>
      <w:r w:rsidRPr="004173F2">
        <w:rPr>
          <w:rFonts w:cs="Arial"/>
        </w:rPr>
        <w:t>Note that classification of many subtypes of sarcoma is not</w:t>
      </w:r>
      <w:r w:rsidR="0053799A" w:rsidRPr="004173F2">
        <w:rPr>
          <w:rFonts w:cs="Arial"/>
        </w:rPr>
        <w:t xml:space="preserve"> always</w:t>
      </w:r>
      <w:r w:rsidRPr="004173F2">
        <w:rPr>
          <w:rFonts w:cs="Arial"/>
        </w:rPr>
        <w:t xml:space="preserve"> dependent upon special studies, such as cytogenetics or molecular genetics, but frozen tissue may be required to enter patients into treatment protocols. Discretion should be used in triaging tissue from sarcomas. Adequate tissue should be submitted for conventional light microscopy before tissue has been taken for cytogenetics, electron microscopy, or molecular analysis.</w:t>
      </w:r>
    </w:p>
    <w:p w14:paraId="35D16856" w14:textId="77777777" w:rsidR="00182043" w:rsidRDefault="00182043" w:rsidP="00834EA7">
      <w:pPr>
        <w:rPr>
          <w:rFonts w:cs="Arial"/>
          <w:kern w:val="28"/>
        </w:rPr>
      </w:pPr>
    </w:p>
    <w:p w14:paraId="7D74E8FF" w14:textId="7DA19E13" w:rsidR="00833052" w:rsidRPr="0014015F" w:rsidRDefault="00833052" w:rsidP="00833052">
      <w:pPr>
        <w:pStyle w:val="Heading1"/>
        <w:keepNext/>
        <w:rPr>
          <w:rFonts w:cs="Arial"/>
          <w:b w:val="0"/>
        </w:rPr>
      </w:pPr>
      <w:r w:rsidRPr="0014015F">
        <w:rPr>
          <w:rFonts w:cs="Arial"/>
          <w:b w:val="0"/>
        </w:rPr>
        <w:t>Reference</w:t>
      </w:r>
    </w:p>
    <w:p w14:paraId="091B769A" w14:textId="77777777" w:rsidR="00833052" w:rsidRPr="004173F2" w:rsidRDefault="00833052" w:rsidP="00833052">
      <w:pPr>
        <w:pStyle w:val="References"/>
        <w:numPr>
          <w:ilvl w:val="0"/>
          <w:numId w:val="2"/>
        </w:numPr>
        <w:tabs>
          <w:tab w:val="clear" w:pos="450"/>
          <w:tab w:val="num" w:pos="360"/>
        </w:tabs>
        <w:ind w:left="360" w:hanging="360"/>
        <w:rPr>
          <w:rFonts w:cs="Arial"/>
        </w:rPr>
      </w:pPr>
      <w:proofErr w:type="spellStart"/>
      <w:r w:rsidRPr="004173F2">
        <w:rPr>
          <w:rFonts w:cs="Arial"/>
        </w:rPr>
        <w:t>Qualman</w:t>
      </w:r>
      <w:proofErr w:type="spellEnd"/>
      <w:r w:rsidRPr="004173F2">
        <w:rPr>
          <w:rFonts w:cs="Arial"/>
        </w:rPr>
        <w:t xml:space="preserve"> SJ, </w:t>
      </w:r>
      <w:proofErr w:type="spellStart"/>
      <w:r w:rsidRPr="004173F2">
        <w:rPr>
          <w:rFonts w:cs="Arial"/>
        </w:rPr>
        <w:t>Morotti</w:t>
      </w:r>
      <w:proofErr w:type="spellEnd"/>
      <w:r w:rsidRPr="004173F2">
        <w:rPr>
          <w:rFonts w:cs="Arial"/>
        </w:rPr>
        <w:t xml:space="preserve"> RA. Risk assignment in pediatric soft-tissue sarcoma: an evolving molecular classification. </w:t>
      </w:r>
      <w:proofErr w:type="spellStart"/>
      <w:r w:rsidRPr="004173F2">
        <w:rPr>
          <w:rFonts w:cs="Arial"/>
          <w:i/>
        </w:rPr>
        <w:t>Curr</w:t>
      </w:r>
      <w:proofErr w:type="spellEnd"/>
      <w:r w:rsidRPr="004173F2">
        <w:rPr>
          <w:rFonts w:cs="Arial"/>
          <w:i/>
        </w:rPr>
        <w:t xml:space="preserve"> Oncol Rep.</w:t>
      </w:r>
      <w:r w:rsidRPr="004173F2">
        <w:rPr>
          <w:rFonts w:cs="Arial"/>
        </w:rPr>
        <w:t xml:space="preserve"> 2002;4:123-130.</w:t>
      </w:r>
    </w:p>
    <w:p w14:paraId="74B973D0" w14:textId="77777777" w:rsidR="00833052" w:rsidRPr="004173F2" w:rsidRDefault="00833052" w:rsidP="00834EA7">
      <w:pPr>
        <w:rPr>
          <w:rFonts w:cs="Arial"/>
          <w:kern w:val="28"/>
        </w:rPr>
      </w:pPr>
    </w:p>
    <w:p w14:paraId="3D9C8E13" w14:textId="50F14EB1" w:rsidR="00182043" w:rsidRPr="004173F2" w:rsidRDefault="00182043" w:rsidP="00834EA7">
      <w:pPr>
        <w:pStyle w:val="Heading2"/>
        <w:rPr>
          <w:rFonts w:cs="Arial"/>
        </w:rPr>
      </w:pPr>
      <w:r w:rsidRPr="004173F2">
        <w:rPr>
          <w:rFonts w:cs="Arial"/>
        </w:rPr>
        <w:t xml:space="preserve">B. </w:t>
      </w:r>
      <w:r w:rsidR="0043329D">
        <w:rPr>
          <w:rFonts w:cs="Arial"/>
        </w:rPr>
        <w:t xml:space="preserve"> </w:t>
      </w:r>
      <w:r w:rsidRPr="004173F2">
        <w:rPr>
          <w:rFonts w:cs="Arial"/>
        </w:rPr>
        <w:t>Procedures</w:t>
      </w:r>
    </w:p>
    <w:p w14:paraId="3A0338C8" w14:textId="77777777" w:rsidR="00182043" w:rsidRPr="00282699" w:rsidRDefault="00182043" w:rsidP="00834EA7">
      <w:pPr>
        <w:pStyle w:val="Heading2"/>
        <w:rPr>
          <w:b w:val="0"/>
          <w:u w:val="single"/>
        </w:rPr>
      </w:pPr>
      <w:r w:rsidRPr="00282699">
        <w:rPr>
          <w:b w:val="0"/>
          <w:u w:val="single"/>
        </w:rPr>
        <w:t>Cytologic Material</w:t>
      </w:r>
    </w:p>
    <w:p w14:paraId="28A62E3E" w14:textId="7E638C4C" w:rsidR="00182043" w:rsidRPr="004173F2" w:rsidRDefault="00182043" w:rsidP="00834EA7">
      <w:pPr>
        <w:rPr>
          <w:rFonts w:cs="Arial"/>
        </w:rPr>
      </w:pPr>
      <w:r w:rsidRPr="004173F2">
        <w:rPr>
          <w:rFonts w:cs="Arial"/>
        </w:rPr>
        <w:t xml:space="preserve">Cytological material is usually sufficient to diagnose ES (with supportive immunostains) (Note </w:t>
      </w:r>
      <w:r w:rsidR="008333F5">
        <w:rPr>
          <w:rFonts w:cs="Arial"/>
        </w:rPr>
        <w:t>E</w:t>
      </w:r>
      <w:r w:rsidRPr="004173F2">
        <w:rPr>
          <w:rFonts w:cs="Arial"/>
        </w:rPr>
        <w:t xml:space="preserve">). An important limitation </w:t>
      </w:r>
      <w:bookmarkStart w:id="1" w:name="OLE_LINK1"/>
      <w:r w:rsidR="009846E7" w:rsidRPr="004173F2">
        <w:rPr>
          <w:rFonts w:cs="Arial"/>
        </w:rPr>
        <w:t>of fine</w:t>
      </w:r>
      <w:r w:rsidRPr="004173F2">
        <w:rPr>
          <w:rFonts w:cs="Arial"/>
        </w:rPr>
        <w:t xml:space="preserve">-needle aspiration </w:t>
      </w:r>
      <w:bookmarkEnd w:id="1"/>
      <w:r w:rsidR="009846E7" w:rsidRPr="004173F2">
        <w:rPr>
          <w:rFonts w:cs="Arial"/>
        </w:rPr>
        <w:t>i</w:t>
      </w:r>
      <w:r w:rsidRPr="004173F2">
        <w:rPr>
          <w:rFonts w:cs="Arial"/>
        </w:rPr>
        <w:t>s the limited amount of tissue for additional molecular diagnostic studies</w:t>
      </w:r>
      <w:r w:rsidRPr="004173F2">
        <w:rPr>
          <w:rFonts w:cs="Arial"/>
          <w:vertAlign w:val="superscript"/>
        </w:rPr>
        <w:t>1</w:t>
      </w:r>
      <w:r w:rsidRPr="004173F2">
        <w:rPr>
          <w:rFonts w:cs="Arial"/>
        </w:rPr>
        <w:t xml:space="preserve"> and </w:t>
      </w:r>
      <w:r w:rsidR="0053799A" w:rsidRPr="004173F2">
        <w:rPr>
          <w:rFonts w:cs="Arial"/>
        </w:rPr>
        <w:t xml:space="preserve">tissue </w:t>
      </w:r>
      <w:r w:rsidRPr="004173F2">
        <w:rPr>
          <w:rFonts w:cs="Arial"/>
        </w:rPr>
        <w:t xml:space="preserve">banking (see </w:t>
      </w:r>
      <w:r w:rsidR="004914CA" w:rsidRPr="004173F2">
        <w:rPr>
          <w:rFonts w:cs="Arial"/>
        </w:rPr>
        <w:t>Note A</w:t>
      </w:r>
      <w:r w:rsidRPr="004173F2">
        <w:rPr>
          <w:rFonts w:cs="Arial"/>
        </w:rPr>
        <w:t>).</w:t>
      </w:r>
      <w:r w:rsidR="0053799A" w:rsidRPr="004173F2">
        <w:rPr>
          <w:rFonts w:cs="Arial"/>
        </w:rPr>
        <w:t xml:space="preserve"> Evaluation by a pathologist at the time of the fine</w:t>
      </w:r>
      <w:r w:rsidR="004914CA" w:rsidRPr="004173F2">
        <w:rPr>
          <w:rFonts w:cs="Arial"/>
        </w:rPr>
        <w:t>-</w:t>
      </w:r>
      <w:r w:rsidR="0053799A" w:rsidRPr="004173F2">
        <w:rPr>
          <w:rFonts w:cs="Arial"/>
        </w:rPr>
        <w:t>needle biopsy procedure is important to assess the adequacy of the specimen for routine histomorphologic diagnosis and for ancillary studies.</w:t>
      </w:r>
    </w:p>
    <w:p w14:paraId="0A48D559" w14:textId="77777777" w:rsidR="00182043" w:rsidRPr="004173F2" w:rsidRDefault="00182043" w:rsidP="00834EA7">
      <w:pPr>
        <w:ind w:left="360"/>
        <w:rPr>
          <w:rFonts w:cs="Arial"/>
        </w:rPr>
      </w:pPr>
    </w:p>
    <w:p w14:paraId="272D5C20" w14:textId="77777777" w:rsidR="00182043" w:rsidRPr="004173F2" w:rsidRDefault="00182043" w:rsidP="00834EA7">
      <w:pPr>
        <w:rPr>
          <w:rFonts w:cs="Arial"/>
        </w:rPr>
      </w:pPr>
      <w:r w:rsidRPr="004173F2">
        <w:rPr>
          <w:rFonts w:cs="Arial"/>
        </w:rPr>
        <w:t xml:space="preserve">If cytologic material includes fluid, such as pleural effusions or fluid from a liquefactive tumor, the fluid should be centrifuged and the resulting pellet fixed with formalin prior to making a paraffin </w:t>
      </w:r>
      <w:r w:rsidR="0053799A" w:rsidRPr="004173F2">
        <w:rPr>
          <w:rFonts w:cs="Arial"/>
        </w:rPr>
        <w:t xml:space="preserve">cell </w:t>
      </w:r>
      <w:r w:rsidRPr="004173F2">
        <w:rPr>
          <w:rFonts w:cs="Arial"/>
        </w:rPr>
        <w:t>block. The resulting cell block allows for histopathologic examination and immunocytochemical, RT-PCR, and FISH analyses.</w:t>
      </w:r>
    </w:p>
    <w:p w14:paraId="1233F239" w14:textId="77777777" w:rsidR="00182043" w:rsidRPr="004173F2" w:rsidRDefault="00182043" w:rsidP="00834EA7">
      <w:pPr>
        <w:rPr>
          <w:rFonts w:cs="Arial"/>
        </w:rPr>
      </w:pPr>
    </w:p>
    <w:p w14:paraId="6DE029D4" w14:textId="77777777" w:rsidR="00182043" w:rsidRPr="00282699" w:rsidRDefault="00182043" w:rsidP="00834EA7">
      <w:pPr>
        <w:pStyle w:val="Heading2"/>
        <w:rPr>
          <w:b w:val="0"/>
          <w:u w:val="single"/>
        </w:rPr>
      </w:pPr>
      <w:r w:rsidRPr="00282699">
        <w:rPr>
          <w:b w:val="0"/>
          <w:u w:val="single"/>
        </w:rPr>
        <w:t>Biopsy (Needle, Incisional, Excisional)</w:t>
      </w:r>
    </w:p>
    <w:p w14:paraId="4BB1A1E7" w14:textId="21FD8802" w:rsidR="00182043" w:rsidRPr="004173F2" w:rsidRDefault="00182043" w:rsidP="00834EA7">
      <w:pPr>
        <w:rPr>
          <w:rFonts w:cs="Arial"/>
          <w:vertAlign w:val="superscript"/>
        </w:rPr>
      </w:pPr>
      <w:r w:rsidRPr="004173F2">
        <w:rPr>
          <w:rFonts w:cs="Arial"/>
        </w:rPr>
        <w:t xml:space="preserve">Core needle biopsies can obtain sufficient material for special studies and </w:t>
      </w:r>
      <w:r w:rsidR="0053799A" w:rsidRPr="004173F2">
        <w:rPr>
          <w:rFonts w:cs="Arial"/>
        </w:rPr>
        <w:t>histo</w:t>
      </w:r>
      <w:r w:rsidRPr="004173F2">
        <w:rPr>
          <w:rFonts w:cs="Arial"/>
        </w:rPr>
        <w:t>morphologic diagnosis. Open incisional biopsy is generally the preferred and most widely</w:t>
      </w:r>
      <w:r w:rsidR="004914CA" w:rsidRPr="004173F2">
        <w:rPr>
          <w:rFonts w:cs="Arial"/>
        </w:rPr>
        <w:t xml:space="preserve"> </w:t>
      </w:r>
      <w:r w:rsidRPr="004173F2">
        <w:rPr>
          <w:rFonts w:cs="Arial"/>
        </w:rPr>
        <w:t>used technique</w:t>
      </w:r>
      <w:r w:rsidR="0053799A" w:rsidRPr="004173F2">
        <w:rPr>
          <w:rFonts w:cs="Arial"/>
        </w:rPr>
        <w:t>,</w:t>
      </w:r>
      <w:r w:rsidRPr="004173F2">
        <w:rPr>
          <w:rFonts w:cs="Arial"/>
        </w:rPr>
        <w:t xml:space="preserve"> because it consistently provides a larger sample of tissue and maximizes the opportunity for a specific pathologic diagnosis.</w:t>
      </w:r>
      <w:r w:rsidR="00833052">
        <w:rPr>
          <w:rFonts w:cs="Arial"/>
          <w:vertAlign w:val="superscript"/>
        </w:rPr>
        <w:t>2</w:t>
      </w:r>
      <w:r w:rsidRPr="004173F2">
        <w:rPr>
          <w:rFonts w:cs="Arial"/>
        </w:rPr>
        <w:t xml:space="preserve"> Excisional biopsy may not include an adequate margin of normal tissue, even with an operative impression of total gross removal.</w:t>
      </w:r>
      <w:r w:rsidR="00833052" w:rsidRPr="00833052">
        <w:rPr>
          <w:rFonts w:cs="Arial"/>
          <w:vertAlign w:val="superscript"/>
        </w:rPr>
        <w:t>2</w:t>
      </w:r>
      <w:r w:rsidRPr="004173F2">
        <w:rPr>
          <w:rFonts w:cs="Arial"/>
          <w:vertAlign w:val="superscript"/>
        </w:rPr>
        <w:t xml:space="preserve"> </w:t>
      </w:r>
    </w:p>
    <w:p w14:paraId="789CE65E" w14:textId="77777777" w:rsidR="00182043" w:rsidRPr="004173F2" w:rsidRDefault="00182043" w:rsidP="00834EA7">
      <w:pPr>
        <w:rPr>
          <w:rFonts w:cs="Arial"/>
          <w:vertAlign w:val="superscript"/>
        </w:rPr>
      </w:pPr>
    </w:p>
    <w:p w14:paraId="363EA0FB" w14:textId="77777777" w:rsidR="00182043" w:rsidRPr="004173F2" w:rsidRDefault="00182043" w:rsidP="00834EA7">
      <w:pPr>
        <w:rPr>
          <w:rFonts w:cs="Arial"/>
        </w:rPr>
      </w:pPr>
      <w:r w:rsidRPr="004173F2">
        <w:rPr>
          <w:rFonts w:cs="Arial"/>
        </w:rPr>
        <w:t xml:space="preserve">In cases of nonexcisional biopsy (eg, core biopsy, incisional biopsy), the tumor size cannot be determined on pathologic grounds; therefore, imaging data (computed tomography [CT], magnetic resonance imaging [MRI], </w:t>
      </w:r>
      <w:proofErr w:type="spellStart"/>
      <w:r w:rsidRPr="004173F2">
        <w:rPr>
          <w:rFonts w:cs="Arial"/>
        </w:rPr>
        <w:t>etc</w:t>
      </w:r>
      <w:proofErr w:type="spellEnd"/>
      <w:r w:rsidRPr="004173F2">
        <w:rPr>
          <w:rFonts w:cs="Arial"/>
        </w:rPr>
        <w:t>) can be used instead.</w:t>
      </w:r>
    </w:p>
    <w:p w14:paraId="1BB28857" w14:textId="77777777" w:rsidR="00182043" w:rsidRPr="004173F2" w:rsidRDefault="00182043" w:rsidP="00834EA7">
      <w:pPr>
        <w:rPr>
          <w:rFonts w:cs="Arial"/>
          <w:b/>
        </w:rPr>
      </w:pPr>
    </w:p>
    <w:p w14:paraId="7E88CFD3" w14:textId="77777777" w:rsidR="00BC13B3" w:rsidRPr="0014015F" w:rsidRDefault="00BC13B3" w:rsidP="00BC13B3">
      <w:pPr>
        <w:pStyle w:val="Heading1"/>
        <w:keepNext/>
        <w:rPr>
          <w:rFonts w:cs="Arial"/>
          <w:b w:val="0"/>
        </w:rPr>
      </w:pPr>
      <w:r w:rsidRPr="0014015F">
        <w:rPr>
          <w:rFonts w:cs="Arial"/>
          <w:b w:val="0"/>
        </w:rPr>
        <w:t>References</w:t>
      </w:r>
    </w:p>
    <w:p w14:paraId="6199D4C6" w14:textId="77777777" w:rsidR="00BC13B3" w:rsidRDefault="00BC13B3" w:rsidP="00BC13B3">
      <w:pPr>
        <w:pStyle w:val="References"/>
        <w:numPr>
          <w:ilvl w:val="0"/>
          <w:numId w:val="7"/>
        </w:numPr>
        <w:tabs>
          <w:tab w:val="clear" w:pos="450"/>
          <w:tab w:val="num" w:pos="360"/>
        </w:tabs>
        <w:ind w:left="360" w:hanging="360"/>
        <w:rPr>
          <w:rFonts w:cs="Arial"/>
        </w:rPr>
      </w:pPr>
      <w:proofErr w:type="spellStart"/>
      <w:r w:rsidRPr="004173F2">
        <w:rPr>
          <w:rFonts w:cs="Arial"/>
        </w:rPr>
        <w:t>Qualman</w:t>
      </w:r>
      <w:proofErr w:type="spellEnd"/>
      <w:r w:rsidRPr="004173F2">
        <w:rPr>
          <w:rFonts w:cs="Arial"/>
        </w:rPr>
        <w:t xml:space="preserve"> SJ, </w:t>
      </w:r>
      <w:proofErr w:type="spellStart"/>
      <w:r w:rsidRPr="004173F2">
        <w:rPr>
          <w:rFonts w:cs="Arial"/>
        </w:rPr>
        <w:t>Morotti</w:t>
      </w:r>
      <w:proofErr w:type="spellEnd"/>
      <w:r w:rsidRPr="004173F2">
        <w:rPr>
          <w:rFonts w:cs="Arial"/>
        </w:rPr>
        <w:t xml:space="preserve"> RA. Risk assignment in pediatric soft-tissue sarcoma: an evolving molecular classification. </w:t>
      </w:r>
      <w:proofErr w:type="spellStart"/>
      <w:r w:rsidRPr="004173F2">
        <w:rPr>
          <w:rFonts w:cs="Arial"/>
          <w:i/>
        </w:rPr>
        <w:t>Curr</w:t>
      </w:r>
      <w:proofErr w:type="spellEnd"/>
      <w:r w:rsidRPr="004173F2">
        <w:rPr>
          <w:rFonts w:cs="Arial"/>
          <w:i/>
        </w:rPr>
        <w:t xml:space="preserve"> Oncol Rep.</w:t>
      </w:r>
      <w:r w:rsidRPr="004173F2">
        <w:rPr>
          <w:rFonts w:cs="Arial"/>
        </w:rPr>
        <w:t xml:space="preserve"> 2002;4:123-130.</w:t>
      </w:r>
    </w:p>
    <w:p w14:paraId="4334515F" w14:textId="77777777" w:rsidR="00BC13B3" w:rsidRPr="004173F2" w:rsidRDefault="00BC13B3" w:rsidP="00BC13B3">
      <w:pPr>
        <w:pStyle w:val="References"/>
        <w:numPr>
          <w:ilvl w:val="0"/>
          <w:numId w:val="7"/>
        </w:numPr>
        <w:tabs>
          <w:tab w:val="clear" w:pos="450"/>
          <w:tab w:val="num" w:pos="360"/>
        </w:tabs>
        <w:ind w:left="360" w:hanging="360"/>
        <w:rPr>
          <w:rFonts w:cs="Arial"/>
        </w:rPr>
      </w:pPr>
      <w:r w:rsidRPr="004173F2">
        <w:rPr>
          <w:rFonts w:cs="Arial"/>
        </w:rPr>
        <w:t xml:space="preserve">Coffin CM, </w:t>
      </w:r>
      <w:proofErr w:type="spellStart"/>
      <w:r w:rsidRPr="004173F2">
        <w:rPr>
          <w:rFonts w:cs="Arial"/>
        </w:rPr>
        <w:t>Dehner</w:t>
      </w:r>
      <w:proofErr w:type="spellEnd"/>
      <w:r w:rsidRPr="004173F2">
        <w:rPr>
          <w:rFonts w:cs="Arial"/>
        </w:rPr>
        <w:t xml:space="preserve"> LP. Pathologic evaluation of pediatric soft tissue tumors. </w:t>
      </w:r>
      <w:r w:rsidRPr="004173F2">
        <w:rPr>
          <w:rFonts w:cs="Arial"/>
          <w:i/>
        </w:rPr>
        <w:t xml:space="preserve">Am J Clin </w:t>
      </w:r>
      <w:proofErr w:type="spellStart"/>
      <w:r w:rsidRPr="004173F2">
        <w:rPr>
          <w:rFonts w:cs="Arial"/>
          <w:i/>
        </w:rPr>
        <w:t>Pathol</w:t>
      </w:r>
      <w:proofErr w:type="spellEnd"/>
      <w:r w:rsidRPr="004173F2">
        <w:rPr>
          <w:rFonts w:cs="Arial"/>
          <w:i/>
        </w:rPr>
        <w:t>.</w:t>
      </w:r>
      <w:r w:rsidRPr="004173F2">
        <w:rPr>
          <w:rFonts w:cs="Arial"/>
        </w:rPr>
        <w:t xml:space="preserve"> 1998;109(suppl 1):S38-S52.</w:t>
      </w:r>
    </w:p>
    <w:p w14:paraId="7C035CFD" w14:textId="77777777" w:rsidR="00182043" w:rsidRPr="004173F2" w:rsidRDefault="00182043" w:rsidP="00834EA7">
      <w:pPr>
        <w:rPr>
          <w:rFonts w:cs="Arial"/>
          <w:b/>
          <w:kern w:val="28"/>
        </w:rPr>
      </w:pPr>
    </w:p>
    <w:p w14:paraId="28135E5B" w14:textId="3D341C93" w:rsidR="00182043" w:rsidRPr="004173F2" w:rsidRDefault="005A7538" w:rsidP="00834EA7">
      <w:pPr>
        <w:pStyle w:val="Heading2"/>
        <w:rPr>
          <w:rFonts w:cs="Arial"/>
        </w:rPr>
      </w:pPr>
      <w:r>
        <w:rPr>
          <w:rFonts w:cs="Arial"/>
        </w:rPr>
        <w:t>C</w:t>
      </w:r>
      <w:r w:rsidR="00C46C06" w:rsidRPr="004173F2">
        <w:rPr>
          <w:rFonts w:cs="Arial"/>
        </w:rPr>
        <w:t xml:space="preserve">. </w:t>
      </w:r>
      <w:r w:rsidR="0043329D">
        <w:rPr>
          <w:rFonts w:cs="Arial"/>
        </w:rPr>
        <w:t xml:space="preserve"> </w:t>
      </w:r>
      <w:r w:rsidR="00182043" w:rsidRPr="004173F2">
        <w:rPr>
          <w:rFonts w:cs="Arial"/>
        </w:rPr>
        <w:t>Margins</w:t>
      </w:r>
    </w:p>
    <w:p w14:paraId="0A179A0F" w14:textId="20AEE5EE" w:rsidR="006C10A5" w:rsidRPr="004173F2" w:rsidRDefault="00182043" w:rsidP="00834EA7">
      <w:pPr>
        <w:rPr>
          <w:rFonts w:eastAsia="Calibri" w:cs="Arial"/>
        </w:rPr>
      </w:pPr>
      <w:r w:rsidRPr="004173F2">
        <w:rPr>
          <w:rFonts w:cs="Arial"/>
        </w:rPr>
        <w:t>The extent of resection (ie, gross residual disease versus complete resection</w:t>
      </w:r>
      <w:r w:rsidR="00F418D2" w:rsidRPr="004173F2">
        <w:rPr>
          <w:rFonts w:cs="Arial"/>
        </w:rPr>
        <w:t xml:space="preserve"> with negative margins</w:t>
      </w:r>
      <w:r w:rsidRPr="004173F2">
        <w:rPr>
          <w:rFonts w:cs="Arial"/>
        </w:rPr>
        <w:t>) has the strongest influence on local control of malignancy.</w:t>
      </w:r>
      <w:r w:rsidR="00BC13B3" w:rsidRPr="00BC13B3">
        <w:rPr>
          <w:rFonts w:cs="Arial"/>
          <w:vertAlign w:val="superscript"/>
        </w:rPr>
        <w:t>1</w:t>
      </w:r>
      <w:r w:rsidRPr="004173F2">
        <w:rPr>
          <w:rFonts w:cs="Arial"/>
        </w:rPr>
        <w:t xml:space="preserve"> The definition of what constitutes a sufficiently “wide” margin of normal tissue in the management of ES</w:t>
      </w:r>
      <w:r w:rsidR="0071326E" w:rsidRPr="004173F2">
        <w:rPr>
          <w:rFonts w:cs="Arial"/>
        </w:rPr>
        <w:t xml:space="preserve"> and the significance of reactive and/or necrotic tissue at the margin are</w:t>
      </w:r>
      <w:r w:rsidR="00005269" w:rsidRPr="004173F2">
        <w:rPr>
          <w:rFonts w:cs="Arial"/>
        </w:rPr>
        <w:t xml:space="preserve"> </w:t>
      </w:r>
      <w:r w:rsidR="00005269" w:rsidRPr="004173F2">
        <w:rPr>
          <w:rFonts w:cs="Arial"/>
        </w:rPr>
        <w:lastRenderedPageBreak/>
        <w:t>current study question</w:t>
      </w:r>
      <w:r w:rsidR="0071326E" w:rsidRPr="004173F2">
        <w:rPr>
          <w:rFonts w:cs="Arial"/>
        </w:rPr>
        <w:t>s</w:t>
      </w:r>
      <w:r w:rsidR="00005269" w:rsidRPr="004173F2">
        <w:rPr>
          <w:rFonts w:cs="Arial"/>
        </w:rPr>
        <w:t xml:space="preserve"> for the </w:t>
      </w:r>
      <w:r w:rsidRPr="004173F2">
        <w:rPr>
          <w:rFonts w:cs="Arial"/>
        </w:rPr>
        <w:t>Children’s Oncology Group</w:t>
      </w:r>
      <w:r w:rsidR="00005269" w:rsidRPr="004173F2">
        <w:rPr>
          <w:rFonts w:cs="Arial"/>
        </w:rPr>
        <w:t>, and may evolve in the future. Currently</w:t>
      </w:r>
      <w:r w:rsidR="0071326E" w:rsidRPr="004173F2">
        <w:rPr>
          <w:rFonts w:cs="Arial"/>
        </w:rPr>
        <w:t xml:space="preserve">, any tumor at the margin, </w:t>
      </w:r>
      <w:r w:rsidR="00CC110C">
        <w:rPr>
          <w:rFonts w:cs="Arial"/>
        </w:rPr>
        <w:t>whether</w:t>
      </w:r>
      <w:r w:rsidR="00CC110C" w:rsidRPr="004173F2">
        <w:rPr>
          <w:rFonts w:cs="Arial"/>
        </w:rPr>
        <w:t xml:space="preserve"> </w:t>
      </w:r>
      <w:r w:rsidR="0071326E" w:rsidRPr="004173F2">
        <w:rPr>
          <w:rFonts w:cs="Arial"/>
        </w:rPr>
        <w:t>viable</w:t>
      </w:r>
      <w:r w:rsidR="0045429C" w:rsidRPr="004173F2">
        <w:rPr>
          <w:rFonts w:cs="Arial"/>
        </w:rPr>
        <w:t>,</w:t>
      </w:r>
      <w:r w:rsidR="0071326E" w:rsidRPr="004173F2">
        <w:rPr>
          <w:rFonts w:cs="Arial"/>
        </w:rPr>
        <w:t xml:space="preserve"> nonviable</w:t>
      </w:r>
      <w:r w:rsidR="0045429C" w:rsidRPr="004173F2">
        <w:rPr>
          <w:rFonts w:cs="Arial"/>
        </w:rPr>
        <w:t>, or treated</w:t>
      </w:r>
      <w:r w:rsidR="00DE1063">
        <w:rPr>
          <w:rFonts w:cs="Arial"/>
        </w:rPr>
        <w:t xml:space="preserve">, is considered positive. </w:t>
      </w:r>
      <w:r w:rsidR="00D0426D" w:rsidRPr="004173F2">
        <w:rPr>
          <w:rFonts w:cs="Arial"/>
        </w:rPr>
        <w:t>The significance of treated tumor at the margin when there has been an excellent chemotherapeutic response (ie</w:t>
      </w:r>
      <w:r w:rsidR="004914CA" w:rsidRPr="004173F2">
        <w:rPr>
          <w:rFonts w:cs="Arial"/>
        </w:rPr>
        <w:t>,</w:t>
      </w:r>
      <w:r w:rsidR="00D0426D" w:rsidRPr="004173F2">
        <w:rPr>
          <w:rFonts w:cs="Arial"/>
        </w:rPr>
        <w:t xml:space="preserve"> </w:t>
      </w:r>
      <w:r w:rsidR="008F5D6A">
        <w:rPr>
          <w:rFonts w:cs="Arial"/>
        </w:rPr>
        <w:t xml:space="preserve">greater than </w:t>
      </w:r>
      <w:r w:rsidR="00D0426D" w:rsidRPr="004173F2">
        <w:rPr>
          <w:rFonts w:cs="Arial"/>
        </w:rPr>
        <w:t>90% tu</w:t>
      </w:r>
      <w:r w:rsidR="00DE1063">
        <w:rPr>
          <w:rFonts w:cs="Arial"/>
        </w:rPr>
        <w:t xml:space="preserve">mor necrosis) remains unclear. </w:t>
      </w:r>
      <w:r w:rsidR="00D0426D" w:rsidRPr="004173F2">
        <w:rPr>
          <w:rFonts w:cs="Arial"/>
        </w:rPr>
        <w:t>There is currently no consensus as to whether margins involved by treated tumor require further treatment, and this is considered a n</w:t>
      </w:r>
      <w:r w:rsidR="00DE1063">
        <w:rPr>
          <w:rFonts w:cs="Arial"/>
        </w:rPr>
        <w:t xml:space="preserve">egative margin on some studies. </w:t>
      </w:r>
      <w:r w:rsidR="00D0426D" w:rsidRPr="004173F2">
        <w:rPr>
          <w:rFonts w:cs="Arial"/>
        </w:rPr>
        <w:t>The presence of treated tumor at the margin should be reported, however, and can be included in the comment section of the</w:t>
      </w:r>
      <w:r w:rsidR="00DE1063">
        <w:rPr>
          <w:rFonts w:cs="Arial"/>
        </w:rPr>
        <w:t xml:space="preserve"> checklist. </w:t>
      </w:r>
      <w:r w:rsidR="0071326E" w:rsidRPr="004173F2">
        <w:rPr>
          <w:rFonts w:cs="Arial"/>
        </w:rPr>
        <w:t>T</w:t>
      </w:r>
      <w:r w:rsidR="00005269" w:rsidRPr="004173F2">
        <w:rPr>
          <w:rFonts w:eastAsia="Calibri" w:cs="Arial"/>
        </w:rPr>
        <w:t>he following margins are considered adequate</w:t>
      </w:r>
      <w:r w:rsidR="00643047" w:rsidRPr="004173F2">
        <w:rPr>
          <w:rFonts w:eastAsia="Calibri" w:cs="Arial"/>
        </w:rPr>
        <w:t>:</w:t>
      </w:r>
    </w:p>
    <w:p w14:paraId="68CC725C" w14:textId="77777777" w:rsidR="006C10A5" w:rsidRPr="004173F2" w:rsidRDefault="006C10A5" w:rsidP="0014015F">
      <w:pPr>
        <w:ind w:left="720"/>
        <w:rPr>
          <w:rFonts w:cs="Arial"/>
        </w:rPr>
      </w:pPr>
      <w:r w:rsidRPr="004173F2">
        <w:rPr>
          <w:rFonts w:cs="Arial"/>
        </w:rPr>
        <w:t>Bone margin: 2 to 5 cm</w:t>
      </w:r>
    </w:p>
    <w:p w14:paraId="064C222B" w14:textId="77777777" w:rsidR="006C10A5" w:rsidRPr="004173F2" w:rsidRDefault="006C10A5" w:rsidP="0014015F">
      <w:pPr>
        <w:ind w:left="720"/>
        <w:rPr>
          <w:rFonts w:cs="Arial"/>
        </w:rPr>
      </w:pPr>
      <w:r w:rsidRPr="004173F2">
        <w:rPr>
          <w:rFonts w:cs="Arial"/>
        </w:rPr>
        <w:t>Fascia, periosteum, and intermuscular septa: 2 mm</w:t>
      </w:r>
    </w:p>
    <w:p w14:paraId="31C790EE" w14:textId="77777777" w:rsidR="006C10A5" w:rsidRPr="004173F2" w:rsidRDefault="006C10A5" w:rsidP="0014015F">
      <w:pPr>
        <w:ind w:left="720"/>
        <w:rPr>
          <w:rFonts w:cs="Arial"/>
        </w:rPr>
      </w:pPr>
      <w:r w:rsidRPr="004173F2">
        <w:rPr>
          <w:rFonts w:cs="Arial"/>
        </w:rPr>
        <w:t>Fat, muscle, and medullary bone: 5 mm</w:t>
      </w:r>
    </w:p>
    <w:p w14:paraId="500FD4F9" w14:textId="77777777" w:rsidR="006C10A5" w:rsidRPr="004173F2" w:rsidRDefault="006C10A5" w:rsidP="00834EA7">
      <w:pPr>
        <w:rPr>
          <w:rFonts w:eastAsia="Calibri" w:cs="Arial"/>
        </w:rPr>
      </w:pPr>
    </w:p>
    <w:p w14:paraId="0A6A3E7C" w14:textId="77777777" w:rsidR="00B9698A" w:rsidRDefault="0025690F" w:rsidP="00834EA7">
      <w:pPr>
        <w:rPr>
          <w:rFonts w:eastAsia="Calibri" w:cs="Arial"/>
          <w:sz w:val="22"/>
          <w:szCs w:val="22"/>
        </w:rPr>
      </w:pPr>
      <w:r w:rsidRPr="004173F2">
        <w:rPr>
          <w:rFonts w:eastAsia="Calibri" w:cs="Arial"/>
        </w:rPr>
        <w:t xml:space="preserve">With </w:t>
      </w:r>
      <w:r w:rsidR="00566439" w:rsidRPr="004173F2">
        <w:rPr>
          <w:rFonts w:eastAsia="Calibri" w:cs="Arial"/>
        </w:rPr>
        <w:t xml:space="preserve">Ewing </w:t>
      </w:r>
      <w:r w:rsidRPr="004173F2">
        <w:rPr>
          <w:rFonts w:eastAsia="Calibri" w:cs="Arial"/>
        </w:rPr>
        <w:t>sarcoma</w:t>
      </w:r>
      <w:r w:rsidR="00566439" w:rsidRPr="004173F2">
        <w:rPr>
          <w:rFonts w:eastAsia="Calibri" w:cs="Arial"/>
        </w:rPr>
        <w:t xml:space="preserve"> </w:t>
      </w:r>
      <w:r w:rsidR="00FE22D5" w:rsidRPr="004173F2">
        <w:rPr>
          <w:rFonts w:eastAsia="Calibri" w:cs="Arial"/>
        </w:rPr>
        <w:t>involving</w:t>
      </w:r>
      <w:r w:rsidR="00566439" w:rsidRPr="004173F2">
        <w:rPr>
          <w:rFonts w:eastAsia="Calibri" w:cs="Arial"/>
        </w:rPr>
        <w:t xml:space="preserve"> an encapsulated organ, </w:t>
      </w:r>
      <w:r w:rsidR="00FE22D5" w:rsidRPr="004173F2">
        <w:rPr>
          <w:rFonts w:eastAsia="Calibri" w:cs="Arial"/>
        </w:rPr>
        <w:t xml:space="preserve">surgical </w:t>
      </w:r>
      <w:r w:rsidR="00566439" w:rsidRPr="004173F2">
        <w:rPr>
          <w:rFonts w:eastAsia="Calibri" w:cs="Arial"/>
        </w:rPr>
        <w:t xml:space="preserve">margins are </w:t>
      </w:r>
      <w:r w:rsidR="00FE22D5" w:rsidRPr="004173F2">
        <w:rPr>
          <w:rFonts w:eastAsia="Calibri" w:cs="Arial"/>
        </w:rPr>
        <w:t xml:space="preserve">considered to be </w:t>
      </w:r>
      <w:r w:rsidR="00566439" w:rsidRPr="004173F2">
        <w:rPr>
          <w:rFonts w:eastAsia="Calibri" w:cs="Arial"/>
        </w:rPr>
        <w:t xml:space="preserve">negative if the </w:t>
      </w:r>
      <w:r w:rsidR="00FE22D5" w:rsidRPr="004173F2">
        <w:rPr>
          <w:rFonts w:eastAsia="Calibri" w:cs="Arial"/>
        </w:rPr>
        <w:t xml:space="preserve">organ’s </w:t>
      </w:r>
      <w:r w:rsidR="00566439" w:rsidRPr="004173F2">
        <w:rPr>
          <w:rFonts w:eastAsia="Calibri" w:cs="Arial"/>
        </w:rPr>
        <w:t>capsule</w:t>
      </w:r>
      <w:r w:rsidR="00FE22D5" w:rsidRPr="004173F2">
        <w:rPr>
          <w:rFonts w:eastAsia="Calibri" w:cs="Arial"/>
        </w:rPr>
        <w:t xml:space="preserve"> is</w:t>
      </w:r>
      <w:r w:rsidR="00566439" w:rsidRPr="004173F2">
        <w:rPr>
          <w:rFonts w:eastAsia="Calibri" w:cs="Arial"/>
        </w:rPr>
        <w:t xml:space="preserve"> not surgically violated or breached by the tumor.</w:t>
      </w:r>
      <w:r w:rsidR="00B9698A" w:rsidRPr="004173F2">
        <w:rPr>
          <w:rFonts w:eastAsia="Calibri" w:cs="Arial"/>
          <w:sz w:val="22"/>
          <w:szCs w:val="22"/>
        </w:rPr>
        <w:t xml:space="preserve"> </w:t>
      </w:r>
    </w:p>
    <w:p w14:paraId="077A2CB6" w14:textId="77777777" w:rsidR="00BC13B3" w:rsidRDefault="00BC13B3" w:rsidP="00834EA7">
      <w:pPr>
        <w:rPr>
          <w:rFonts w:eastAsia="Calibri" w:cs="Arial"/>
          <w:sz w:val="22"/>
          <w:szCs w:val="22"/>
        </w:rPr>
      </w:pPr>
    </w:p>
    <w:p w14:paraId="75120660" w14:textId="354440BA" w:rsidR="00BC13B3" w:rsidRPr="0014015F" w:rsidRDefault="00BC13B3" w:rsidP="00834EA7">
      <w:pPr>
        <w:rPr>
          <w:rFonts w:eastAsia="Calibri" w:cs="Arial"/>
        </w:rPr>
      </w:pPr>
      <w:r w:rsidRPr="0014015F">
        <w:rPr>
          <w:rFonts w:eastAsia="Calibri" w:cs="Arial"/>
        </w:rPr>
        <w:t>Reference</w:t>
      </w:r>
    </w:p>
    <w:p w14:paraId="069EE487" w14:textId="77777777" w:rsidR="009F1E75" w:rsidRPr="004173F2" w:rsidRDefault="009F1E75" w:rsidP="009F1E75">
      <w:pPr>
        <w:pStyle w:val="References"/>
        <w:numPr>
          <w:ilvl w:val="0"/>
          <w:numId w:val="8"/>
        </w:numPr>
        <w:tabs>
          <w:tab w:val="clear" w:pos="450"/>
          <w:tab w:val="num" w:pos="360"/>
        </w:tabs>
        <w:ind w:left="360" w:hanging="360"/>
        <w:rPr>
          <w:rFonts w:cs="Arial"/>
        </w:rPr>
      </w:pPr>
      <w:r w:rsidRPr="004173F2">
        <w:rPr>
          <w:rFonts w:cs="Arial"/>
        </w:rPr>
        <w:t xml:space="preserve">Fletcher C, </w:t>
      </w:r>
      <w:proofErr w:type="spellStart"/>
      <w:r w:rsidRPr="004173F2">
        <w:rPr>
          <w:rFonts w:cs="Arial"/>
        </w:rPr>
        <w:t>Kempson</w:t>
      </w:r>
      <w:proofErr w:type="spellEnd"/>
      <w:r w:rsidRPr="004173F2">
        <w:rPr>
          <w:rFonts w:cs="Arial"/>
        </w:rPr>
        <w:t xml:space="preserve"> RL, Weiss S. Recommendations for reporting soft tissue sarcomas. </w:t>
      </w:r>
      <w:r w:rsidRPr="004173F2">
        <w:rPr>
          <w:rFonts w:cs="Arial"/>
          <w:i/>
        </w:rPr>
        <w:t xml:space="preserve">Am J Clin </w:t>
      </w:r>
      <w:proofErr w:type="spellStart"/>
      <w:r w:rsidRPr="004173F2">
        <w:rPr>
          <w:rFonts w:cs="Arial"/>
          <w:i/>
        </w:rPr>
        <w:t>Pathol</w:t>
      </w:r>
      <w:proofErr w:type="spellEnd"/>
      <w:r w:rsidRPr="004173F2">
        <w:rPr>
          <w:rFonts w:cs="Arial"/>
          <w:i/>
        </w:rPr>
        <w:t>.</w:t>
      </w:r>
      <w:r w:rsidRPr="004173F2">
        <w:rPr>
          <w:rFonts w:cs="Arial"/>
        </w:rPr>
        <w:t xml:space="preserve"> 1999;111:594-598.</w:t>
      </w:r>
    </w:p>
    <w:p w14:paraId="28EBCF59" w14:textId="77777777" w:rsidR="00643047" w:rsidRPr="004173F2" w:rsidRDefault="00643047" w:rsidP="00834EA7">
      <w:pPr>
        <w:rPr>
          <w:rFonts w:eastAsia="Calibri" w:cs="Arial"/>
        </w:rPr>
      </w:pPr>
    </w:p>
    <w:p w14:paraId="797E5AED" w14:textId="24DFADA2" w:rsidR="00182043" w:rsidRPr="004173F2" w:rsidRDefault="005A7538" w:rsidP="00834EA7">
      <w:pPr>
        <w:pStyle w:val="Heading2"/>
        <w:rPr>
          <w:rFonts w:cs="Arial"/>
        </w:rPr>
      </w:pPr>
      <w:r>
        <w:rPr>
          <w:rFonts w:cs="Arial"/>
        </w:rPr>
        <w:t>D</w:t>
      </w:r>
      <w:r w:rsidR="00C46C06" w:rsidRPr="004173F2">
        <w:rPr>
          <w:rFonts w:cs="Arial"/>
        </w:rPr>
        <w:t xml:space="preserve">. </w:t>
      </w:r>
      <w:r w:rsidR="0043329D">
        <w:rPr>
          <w:rFonts w:cs="Arial"/>
        </w:rPr>
        <w:t xml:space="preserve"> </w:t>
      </w:r>
      <w:r w:rsidR="00182043" w:rsidRPr="004173F2">
        <w:rPr>
          <w:rFonts w:cs="Arial"/>
        </w:rPr>
        <w:t>Lymph</w:t>
      </w:r>
      <w:r w:rsidR="008333F5">
        <w:rPr>
          <w:rFonts w:cs="Arial"/>
        </w:rPr>
        <w:t>ov</w:t>
      </w:r>
      <w:r w:rsidR="00182043" w:rsidRPr="004173F2">
        <w:rPr>
          <w:rFonts w:cs="Arial"/>
        </w:rPr>
        <w:t>ascular Invasion</w:t>
      </w:r>
      <w:r w:rsidR="0025690F" w:rsidRPr="004173F2">
        <w:rPr>
          <w:rFonts w:cs="Arial"/>
        </w:rPr>
        <w:t xml:space="preserve"> (LVI)</w:t>
      </w:r>
    </w:p>
    <w:p w14:paraId="7F732EE1" w14:textId="77777777" w:rsidR="00182043" w:rsidRPr="004173F2" w:rsidRDefault="00182043" w:rsidP="00834EA7">
      <w:pPr>
        <w:pStyle w:val="Heading2"/>
        <w:tabs>
          <w:tab w:val="clear" w:pos="360"/>
        </w:tabs>
        <w:rPr>
          <w:rFonts w:cs="Arial"/>
          <w:b w:val="0"/>
          <w:szCs w:val="22"/>
        </w:rPr>
      </w:pPr>
      <w:r w:rsidRPr="004173F2">
        <w:rPr>
          <w:rFonts w:cs="Arial"/>
          <w:b w:val="0"/>
          <w:szCs w:val="22"/>
        </w:rPr>
        <w:t>Lymph</w:t>
      </w:r>
      <w:r w:rsidR="0025690F" w:rsidRPr="004173F2">
        <w:rPr>
          <w:rFonts w:cs="Arial"/>
          <w:b w:val="0"/>
          <w:szCs w:val="22"/>
        </w:rPr>
        <w:t>o</w:t>
      </w:r>
      <w:r w:rsidRPr="004173F2">
        <w:rPr>
          <w:rFonts w:cs="Arial"/>
          <w:b w:val="0"/>
          <w:szCs w:val="22"/>
        </w:rPr>
        <w:t>vascular invasion (LVI) indicates whether microscopic lymph</w:t>
      </w:r>
      <w:r w:rsidR="00FE22D5" w:rsidRPr="004173F2">
        <w:rPr>
          <w:rFonts w:cs="Arial"/>
          <w:b w:val="0"/>
          <w:szCs w:val="22"/>
        </w:rPr>
        <w:t>o</w:t>
      </w:r>
      <w:r w:rsidRPr="004173F2">
        <w:rPr>
          <w:rFonts w:cs="Arial"/>
          <w:b w:val="0"/>
          <w:szCs w:val="22"/>
        </w:rPr>
        <w:t>vascular invasion is identified in the pathology report. LVI includes lymphatic invasion, vascular invasion, or lymph</w:t>
      </w:r>
      <w:r w:rsidR="00FE22D5" w:rsidRPr="004173F2">
        <w:rPr>
          <w:rFonts w:cs="Arial"/>
          <w:b w:val="0"/>
          <w:szCs w:val="22"/>
        </w:rPr>
        <w:t>o</w:t>
      </w:r>
      <w:r w:rsidRPr="004173F2">
        <w:rPr>
          <w:rFonts w:cs="Arial"/>
          <w:b w:val="0"/>
          <w:szCs w:val="22"/>
        </w:rPr>
        <w:t>vascular invasion.</w:t>
      </w:r>
      <w:r w:rsidR="00FE22D5" w:rsidRPr="004173F2">
        <w:rPr>
          <w:rFonts w:cs="Arial"/>
          <w:b w:val="0"/>
          <w:szCs w:val="22"/>
        </w:rPr>
        <w:t xml:space="preserve"> Evaluation of LVI may require immunohistochemical staining for endothelial markers (CD31, CD34, D240, </w:t>
      </w:r>
      <w:proofErr w:type="spellStart"/>
      <w:r w:rsidR="00FE22D5" w:rsidRPr="004173F2">
        <w:rPr>
          <w:rFonts w:cs="Arial"/>
          <w:b w:val="0"/>
          <w:szCs w:val="22"/>
        </w:rPr>
        <w:t>etc</w:t>
      </w:r>
      <w:proofErr w:type="spellEnd"/>
      <w:r w:rsidR="00FE22D5" w:rsidRPr="004173F2">
        <w:rPr>
          <w:rFonts w:cs="Arial"/>
          <w:b w:val="0"/>
          <w:szCs w:val="22"/>
        </w:rPr>
        <w:t>).</w:t>
      </w:r>
      <w:r w:rsidRPr="004173F2">
        <w:rPr>
          <w:rFonts w:cs="Arial"/>
          <w:b w:val="0"/>
          <w:szCs w:val="22"/>
        </w:rPr>
        <w:t xml:space="preserve"> By American Joint Committee on Cancer (AJCC) and International Union Against Cancer (UICC) convention, LVI does not affect the T category indicating local extent of tumor unless specifically included in the definition of the T category.</w:t>
      </w:r>
    </w:p>
    <w:p w14:paraId="00DA6674" w14:textId="77777777" w:rsidR="00182043" w:rsidRPr="004173F2" w:rsidRDefault="00182043" w:rsidP="00834EA7">
      <w:pPr>
        <w:rPr>
          <w:rFonts w:cs="Arial"/>
        </w:rPr>
      </w:pPr>
    </w:p>
    <w:p w14:paraId="639CDD9E" w14:textId="4782DF02" w:rsidR="00182043" w:rsidRPr="004173F2" w:rsidRDefault="005A7538" w:rsidP="00834EA7">
      <w:pPr>
        <w:pStyle w:val="Heading2"/>
        <w:rPr>
          <w:rFonts w:cs="Arial"/>
        </w:rPr>
      </w:pPr>
      <w:r>
        <w:rPr>
          <w:rFonts w:cs="Arial"/>
          <w:sz w:val="18"/>
          <w:szCs w:val="18"/>
        </w:rPr>
        <w:t>E</w:t>
      </w:r>
      <w:r w:rsidR="00182043" w:rsidRPr="004173F2">
        <w:rPr>
          <w:rFonts w:cs="Arial"/>
        </w:rPr>
        <w:t xml:space="preserve">. </w:t>
      </w:r>
      <w:r w:rsidR="0043329D">
        <w:rPr>
          <w:rFonts w:cs="Arial"/>
        </w:rPr>
        <w:t xml:space="preserve"> </w:t>
      </w:r>
      <w:r w:rsidR="0031732E" w:rsidRPr="004173F2">
        <w:rPr>
          <w:rFonts w:cs="Arial"/>
        </w:rPr>
        <w:t>Ancillary</w:t>
      </w:r>
      <w:r w:rsidR="00182043" w:rsidRPr="004173F2">
        <w:rPr>
          <w:rFonts w:cs="Arial"/>
        </w:rPr>
        <w:t xml:space="preserve"> Studies</w:t>
      </w:r>
    </w:p>
    <w:p w14:paraId="4F077FAE" w14:textId="77777777" w:rsidR="00182043" w:rsidRPr="00282699" w:rsidRDefault="00182043" w:rsidP="00834EA7">
      <w:pPr>
        <w:pStyle w:val="Heading2"/>
        <w:tabs>
          <w:tab w:val="clear" w:pos="360"/>
        </w:tabs>
        <w:rPr>
          <w:b w:val="0"/>
          <w:u w:val="single"/>
        </w:rPr>
      </w:pPr>
      <w:r w:rsidRPr="00282699">
        <w:rPr>
          <w:b w:val="0"/>
          <w:u w:val="single"/>
        </w:rPr>
        <w:t>Immunohistochemistry</w:t>
      </w:r>
    </w:p>
    <w:p w14:paraId="6DBA1B83" w14:textId="02B22F1D" w:rsidR="00182043" w:rsidRPr="004173F2" w:rsidRDefault="00182043" w:rsidP="00834EA7">
      <w:pPr>
        <w:rPr>
          <w:rFonts w:cs="Arial"/>
        </w:rPr>
      </w:pPr>
      <w:r w:rsidRPr="004173F2">
        <w:rPr>
          <w:rFonts w:cs="Arial"/>
        </w:rPr>
        <w:t>Immunohistochemistry with monoclonal antibodies against the cell surface glycoprotein CD99 is positive in virtually all cases of ES.</w:t>
      </w:r>
      <w:r w:rsidR="0089127C">
        <w:rPr>
          <w:rFonts w:cs="Arial"/>
          <w:vertAlign w:val="superscript"/>
        </w:rPr>
        <w:t>1</w:t>
      </w:r>
      <w:r w:rsidR="00C74DAA" w:rsidRPr="004173F2">
        <w:rPr>
          <w:rFonts w:cs="Arial"/>
        </w:rPr>
        <w:t xml:space="preserve"> </w:t>
      </w:r>
      <w:r w:rsidRPr="004173F2">
        <w:rPr>
          <w:rFonts w:cs="Arial"/>
        </w:rPr>
        <w:t xml:space="preserve">This glycoprotein is diffusely expressed in the vast majority of cases in a </w:t>
      </w:r>
      <w:r w:rsidRPr="004173F2">
        <w:rPr>
          <w:rFonts w:cs="Arial"/>
          <w:i/>
        </w:rPr>
        <w:t>membranous pattern</w:t>
      </w:r>
      <w:r w:rsidR="00C63827" w:rsidRPr="00282699">
        <w:t xml:space="preserve"> </w:t>
      </w:r>
      <w:r w:rsidRPr="004173F2">
        <w:rPr>
          <w:rFonts w:cs="Arial"/>
        </w:rPr>
        <w:t xml:space="preserve">(Figure 2). The results of staining using monoclonal antibodies O13, HBA71, and 12E7 are similar, but individual tumors may exhibit better staining with one </w:t>
      </w:r>
      <w:r w:rsidR="00213DCE" w:rsidRPr="004173F2">
        <w:rPr>
          <w:rFonts w:cs="Arial"/>
        </w:rPr>
        <w:t>of these antibodies versus</w:t>
      </w:r>
      <w:r w:rsidR="00DC6388" w:rsidRPr="004173F2">
        <w:rPr>
          <w:rFonts w:cs="Arial"/>
        </w:rPr>
        <w:t xml:space="preserve"> </w:t>
      </w:r>
      <w:r w:rsidRPr="004173F2">
        <w:rPr>
          <w:rFonts w:cs="Arial"/>
        </w:rPr>
        <w:t>other antibod</w:t>
      </w:r>
      <w:r w:rsidR="00213DCE" w:rsidRPr="004173F2">
        <w:rPr>
          <w:rFonts w:cs="Arial"/>
        </w:rPr>
        <w:t>ies</w:t>
      </w:r>
      <w:r w:rsidRPr="004173F2">
        <w:rPr>
          <w:rFonts w:cs="Arial"/>
        </w:rPr>
        <w:t>.</w:t>
      </w:r>
    </w:p>
    <w:p w14:paraId="17BE609C" w14:textId="77777777" w:rsidR="00182043" w:rsidRPr="004173F2" w:rsidRDefault="00182043" w:rsidP="00834EA7">
      <w:pPr>
        <w:rPr>
          <w:rFonts w:cs="Arial"/>
          <w:b/>
          <w:i/>
        </w:rPr>
      </w:pPr>
    </w:p>
    <w:p w14:paraId="7D8D096C" w14:textId="77777777" w:rsidR="00182043" w:rsidRPr="004173F2" w:rsidRDefault="00D0426D" w:rsidP="00834EA7">
      <w:pPr>
        <w:rPr>
          <w:rFonts w:cs="Arial"/>
        </w:rPr>
      </w:pPr>
      <w:r w:rsidRPr="00282699">
        <w:rPr>
          <w:rFonts w:cs="Arial"/>
          <w:noProof/>
        </w:rPr>
        <w:drawing>
          <wp:inline distT="0" distB="0" distL="0" distR="0" wp14:anchorId="133C3DC3" wp14:editId="091A0D3A">
            <wp:extent cx="2447925" cy="1687195"/>
            <wp:effectExtent l="19050" t="0" r="9525" b="0"/>
            <wp:docPr id="2" name="Picture 2" descr="CD99 crop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99 cropcopy"/>
                    <pic:cNvPicPr>
                      <a:picLocks noChangeAspect="1" noChangeArrowheads="1"/>
                    </pic:cNvPicPr>
                  </pic:nvPicPr>
                  <pic:blipFill>
                    <a:blip r:embed="rId18" cstate="print"/>
                    <a:srcRect t="28915"/>
                    <a:stretch>
                      <a:fillRect/>
                    </a:stretch>
                  </pic:blipFill>
                  <pic:spPr bwMode="auto">
                    <a:xfrm>
                      <a:off x="0" y="0"/>
                      <a:ext cx="2447925" cy="1687195"/>
                    </a:xfrm>
                    <a:prstGeom prst="rect">
                      <a:avLst/>
                    </a:prstGeom>
                    <a:noFill/>
                    <a:ln w="9525">
                      <a:noFill/>
                      <a:miter lim="800000"/>
                      <a:headEnd/>
                      <a:tailEnd/>
                    </a:ln>
                  </pic:spPr>
                </pic:pic>
              </a:graphicData>
            </a:graphic>
          </wp:inline>
        </w:drawing>
      </w:r>
    </w:p>
    <w:p w14:paraId="26AF82C0" w14:textId="77777777" w:rsidR="00182043" w:rsidRPr="004173F2" w:rsidRDefault="00182043" w:rsidP="00834EA7">
      <w:pPr>
        <w:spacing w:before="120"/>
        <w:rPr>
          <w:rFonts w:cs="Arial"/>
          <w:sz w:val="18"/>
          <w:szCs w:val="18"/>
        </w:rPr>
      </w:pPr>
      <w:r w:rsidRPr="004173F2">
        <w:rPr>
          <w:rFonts w:cs="Arial"/>
          <w:b/>
          <w:sz w:val="18"/>
          <w:szCs w:val="18"/>
        </w:rPr>
        <w:t>Figure 2.</w:t>
      </w:r>
      <w:r w:rsidRPr="004173F2">
        <w:rPr>
          <w:rFonts w:cs="Arial"/>
          <w:sz w:val="18"/>
          <w:szCs w:val="18"/>
        </w:rPr>
        <w:t xml:space="preserve"> </w:t>
      </w:r>
      <w:r w:rsidR="00E7677A" w:rsidRPr="004173F2">
        <w:rPr>
          <w:rFonts w:cs="Arial"/>
          <w:sz w:val="18"/>
          <w:szCs w:val="18"/>
        </w:rPr>
        <w:t>CD99 staining in Ewing sarcoma</w:t>
      </w:r>
      <w:r w:rsidR="007F7AF0" w:rsidRPr="004173F2" w:rsidDel="007F7AF0">
        <w:rPr>
          <w:rFonts w:cs="Arial"/>
          <w:sz w:val="18"/>
          <w:szCs w:val="18"/>
        </w:rPr>
        <w:t xml:space="preserve"> </w:t>
      </w:r>
      <w:r w:rsidRPr="004173F2">
        <w:rPr>
          <w:rFonts w:cs="Arial"/>
          <w:sz w:val="18"/>
          <w:szCs w:val="18"/>
        </w:rPr>
        <w:t>shows strong, diffuse</w:t>
      </w:r>
      <w:r w:rsidR="00E7677A" w:rsidRPr="004173F2">
        <w:rPr>
          <w:rFonts w:cs="Arial"/>
          <w:sz w:val="18"/>
          <w:szCs w:val="18"/>
        </w:rPr>
        <w:t>,</w:t>
      </w:r>
      <w:r w:rsidRPr="004173F2">
        <w:rPr>
          <w:rFonts w:cs="Arial"/>
          <w:sz w:val="18"/>
          <w:szCs w:val="18"/>
        </w:rPr>
        <w:t xml:space="preserve"> membranous staining. (CD99 antibody O13 with hematoxylin counterstain.) </w:t>
      </w:r>
    </w:p>
    <w:p w14:paraId="3637C5CF" w14:textId="77777777" w:rsidR="00182043" w:rsidRPr="004173F2" w:rsidRDefault="00182043" w:rsidP="00834EA7">
      <w:pPr>
        <w:rPr>
          <w:rFonts w:cs="Arial"/>
        </w:rPr>
      </w:pPr>
    </w:p>
    <w:p w14:paraId="14AC69AC" w14:textId="16B3996F" w:rsidR="00182043" w:rsidRPr="00113E5B" w:rsidRDefault="00182043" w:rsidP="00834EA7">
      <w:pPr>
        <w:rPr>
          <w:rFonts w:cs="Arial"/>
        </w:rPr>
      </w:pPr>
      <w:r w:rsidRPr="004173F2">
        <w:rPr>
          <w:rFonts w:cs="Arial"/>
        </w:rPr>
        <w:t xml:space="preserve">Lymphoblastic lymphomas/leukemias, rhabdomyosarcomas, synovial sarcomas, solitary fibrous tumors, rhabdoid tumors, neuroendocrine tumors, desmoplastic small round cell tumors, and mesenchymal chondrosarcomas may also demonstrate immunoreactivity to </w:t>
      </w:r>
      <w:r w:rsidR="00643047" w:rsidRPr="004173F2">
        <w:rPr>
          <w:rFonts w:cs="Arial"/>
        </w:rPr>
        <w:t>CD99</w:t>
      </w:r>
      <w:r w:rsidRPr="004173F2">
        <w:rPr>
          <w:rFonts w:cs="Arial"/>
        </w:rPr>
        <w:t>.</w:t>
      </w:r>
      <w:r w:rsidRPr="004173F2">
        <w:rPr>
          <w:rFonts w:cs="Arial"/>
          <w:vertAlign w:val="superscript"/>
        </w:rPr>
        <w:t xml:space="preserve"> </w:t>
      </w:r>
      <w:r w:rsidRPr="004173F2">
        <w:rPr>
          <w:rFonts w:cs="Arial"/>
        </w:rPr>
        <w:t>In some of these tumors, CD99 immunostaining is often weakly granular and intracytoplasmic; in others (lymphoblastic lymphoma/leukemia, occasional cases of poorly differentiated synovial sarcoma</w:t>
      </w:r>
      <w:r w:rsidR="00213DCE" w:rsidRPr="004173F2">
        <w:rPr>
          <w:rFonts w:cs="Arial"/>
        </w:rPr>
        <w:t>,</w:t>
      </w:r>
      <w:r w:rsidRPr="004173F2">
        <w:rPr>
          <w:rFonts w:cs="Arial"/>
        </w:rPr>
        <w:t xml:space="preserve"> alveolar rhabdomyosarcoma), distinct membrane staining is present, as seen in ES. </w:t>
      </w:r>
      <w:r w:rsidR="00566439" w:rsidRPr="004173F2">
        <w:rPr>
          <w:rFonts w:cs="Arial"/>
        </w:rPr>
        <w:t>Because these other tumors with small round cell morphology can exhibit CD99 expression, it is very important to consider including other immunohistochemical stains such as muscle markers</w:t>
      </w:r>
      <w:r w:rsidR="00C95AF3" w:rsidRPr="004173F2">
        <w:rPr>
          <w:rFonts w:cs="Arial"/>
        </w:rPr>
        <w:t xml:space="preserve"> (desmin, muscle-specific actin, myoD1, myogenin), S-100, epithelial markers (epithelial membrane antigen, cytokeratin), INI-1, and lymphoid markers (CD45, CD30, </w:t>
      </w:r>
      <w:proofErr w:type="spellStart"/>
      <w:r w:rsidR="00C95AF3" w:rsidRPr="004173F2">
        <w:rPr>
          <w:rFonts w:cs="Arial"/>
        </w:rPr>
        <w:t>Tdt</w:t>
      </w:r>
      <w:proofErr w:type="spellEnd"/>
      <w:r w:rsidR="00C95AF3" w:rsidRPr="004173F2">
        <w:rPr>
          <w:rFonts w:cs="Arial"/>
        </w:rPr>
        <w:t xml:space="preserve">, T-cell and/or B-cell markers) </w:t>
      </w:r>
      <w:r w:rsidR="00566439" w:rsidRPr="004173F2">
        <w:rPr>
          <w:rFonts w:cs="Arial"/>
        </w:rPr>
        <w:t xml:space="preserve">when CD99 is performed to properly exclude </w:t>
      </w:r>
      <w:r w:rsidR="00834EA7">
        <w:rPr>
          <w:rFonts w:cs="Arial"/>
        </w:rPr>
        <w:lastRenderedPageBreak/>
        <w:t xml:space="preserve">CD99-expressing tumors. </w:t>
      </w:r>
      <w:r w:rsidR="00222B7C" w:rsidRPr="004173F2">
        <w:rPr>
          <w:rFonts w:cs="Arial"/>
        </w:rPr>
        <w:t>C</w:t>
      </w:r>
      <w:r w:rsidR="007954F9" w:rsidRPr="004173F2">
        <w:rPr>
          <w:rFonts w:cs="Arial"/>
        </w:rPr>
        <w:t>ytokeratin positivity may be seen in ES</w:t>
      </w:r>
      <w:r w:rsidR="00AF3C91" w:rsidRPr="004173F2">
        <w:rPr>
          <w:rFonts w:cs="Arial"/>
        </w:rPr>
        <w:t xml:space="preserve"> and may be diffusely positive in the adamantinoma-like variant of Ewing sarcoma.</w:t>
      </w:r>
      <w:r w:rsidR="0089127C">
        <w:rPr>
          <w:rFonts w:cs="Arial"/>
          <w:vertAlign w:val="superscript"/>
        </w:rPr>
        <w:t>2,3</w:t>
      </w:r>
      <w:r w:rsidR="00C74DAA" w:rsidRPr="004173F2">
        <w:rPr>
          <w:rFonts w:cs="Arial"/>
        </w:rPr>
        <w:t xml:space="preserve"> </w:t>
      </w:r>
      <w:r w:rsidR="009C516B">
        <w:rPr>
          <w:rFonts w:cs="Arial"/>
        </w:rPr>
        <w:t>Newer immunohistochemical antibodies, such as NKX2.2, may also be useful for the diagnosis of ES, although NKX2.2 staining may rarely be seen in other small round cell tumors.</w:t>
      </w:r>
      <w:r w:rsidR="009C516B">
        <w:rPr>
          <w:rFonts w:cs="Arial"/>
          <w:vertAlign w:val="superscript"/>
        </w:rPr>
        <w:t>4</w:t>
      </w:r>
      <w:r w:rsidR="009C516B">
        <w:rPr>
          <w:rFonts w:cs="Arial"/>
        </w:rPr>
        <w:t xml:space="preserve"> </w:t>
      </w:r>
      <w:r w:rsidRPr="004173F2">
        <w:rPr>
          <w:rFonts w:cs="Arial"/>
        </w:rPr>
        <w:t xml:space="preserve">The value of other immunohistochemical markers for </w:t>
      </w:r>
      <w:r w:rsidRPr="00EC53D8">
        <w:rPr>
          <w:rFonts w:cs="Arial"/>
        </w:rPr>
        <w:t>diagnosis, such as Ki-67, p53, and C-kit (CD117), has not been established. ES</w:t>
      </w:r>
      <w:r w:rsidR="00222B7C" w:rsidRPr="00EC53D8">
        <w:rPr>
          <w:rFonts w:cs="Arial"/>
        </w:rPr>
        <w:t xml:space="preserve"> is almost always</w:t>
      </w:r>
      <w:r w:rsidRPr="00EC53D8">
        <w:rPr>
          <w:rFonts w:cs="Arial"/>
        </w:rPr>
        <w:t xml:space="preserve"> vimentin immunopositive</w:t>
      </w:r>
      <w:r w:rsidRPr="00113E5B">
        <w:rPr>
          <w:rFonts w:cs="Arial"/>
        </w:rPr>
        <w:t>.</w:t>
      </w:r>
    </w:p>
    <w:p w14:paraId="355EAC4C" w14:textId="77777777" w:rsidR="00182043" w:rsidRPr="00113E5B" w:rsidRDefault="00182043" w:rsidP="00834EA7">
      <w:pPr>
        <w:pStyle w:val="Footer"/>
        <w:tabs>
          <w:tab w:val="clear" w:pos="4320"/>
          <w:tab w:val="clear" w:pos="8640"/>
        </w:tabs>
        <w:rPr>
          <w:rFonts w:cs="Arial"/>
        </w:rPr>
      </w:pPr>
    </w:p>
    <w:p w14:paraId="0C04BE06" w14:textId="77777777" w:rsidR="00182043" w:rsidRPr="00282699" w:rsidRDefault="00182043" w:rsidP="00834EA7">
      <w:pPr>
        <w:pStyle w:val="Heading2"/>
        <w:tabs>
          <w:tab w:val="clear" w:pos="360"/>
        </w:tabs>
        <w:rPr>
          <w:b w:val="0"/>
          <w:u w:val="single"/>
        </w:rPr>
      </w:pPr>
      <w:r w:rsidRPr="00282699">
        <w:rPr>
          <w:b w:val="0"/>
          <w:u w:val="single"/>
        </w:rPr>
        <w:t>Chromosomal Translocations</w:t>
      </w:r>
    </w:p>
    <w:p w14:paraId="2CFA9A90" w14:textId="11390B76" w:rsidR="00234940" w:rsidRPr="004173F2" w:rsidRDefault="00182043" w:rsidP="00282699">
      <w:pPr>
        <w:rPr>
          <w:rFonts w:cs="Arial"/>
        </w:rPr>
      </w:pPr>
      <w:r w:rsidRPr="004173F2">
        <w:rPr>
          <w:rFonts w:cs="Arial"/>
        </w:rPr>
        <w:t>It is now generally accepted that Ewing sarcoma and PNET form a single group of bone and soft tissue tumors</w:t>
      </w:r>
      <w:r w:rsidR="005E04C7" w:rsidRPr="004173F2">
        <w:rPr>
          <w:rFonts w:cs="Arial"/>
        </w:rPr>
        <w:t xml:space="preserve"> and the 2013 </w:t>
      </w:r>
      <w:r w:rsidR="003178B7">
        <w:rPr>
          <w:rFonts w:cs="Arial"/>
        </w:rPr>
        <w:t>World Health Organization (</w:t>
      </w:r>
      <w:r w:rsidR="005E04C7" w:rsidRPr="004173F2">
        <w:rPr>
          <w:rFonts w:cs="Arial"/>
        </w:rPr>
        <w:t>WHO</w:t>
      </w:r>
      <w:r w:rsidR="003178B7">
        <w:rPr>
          <w:rFonts w:cs="Arial"/>
        </w:rPr>
        <w:t>)</w:t>
      </w:r>
      <w:r w:rsidR="005E04C7" w:rsidRPr="004173F2">
        <w:rPr>
          <w:rFonts w:cs="Arial"/>
        </w:rPr>
        <w:t xml:space="preserve"> </w:t>
      </w:r>
      <w:r w:rsidR="00C46C06" w:rsidRPr="004173F2">
        <w:rPr>
          <w:rFonts w:cs="Arial"/>
        </w:rPr>
        <w:t xml:space="preserve">classification of bone and soft tissue tumors </w:t>
      </w:r>
      <w:r w:rsidR="005E04C7" w:rsidRPr="004173F2">
        <w:rPr>
          <w:rFonts w:cs="Arial"/>
        </w:rPr>
        <w:t>uses the single terminology</w:t>
      </w:r>
      <w:r w:rsidR="00E7677A" w:rsidRPr="004173F2">
        <w:rPr>
          <w:rFonts w:cs="Arial"/>
        </w:rPr>
        <w:t>,</w:t>
      </w:r>
      <w:r w:rsidR="005E04C7" w:rsidRPr="004173F2">
        <w:rPr>
          <w:rFonts w:cs="Arial"/>
        </w:rPr>
        <w:t xml:space="preserve"> </w:t>
      </w:r>
      <w:r w:rsidR="005E04C7" w:rsidRPr="00207680">
        <w:rPr>
          <w:rFonts w:cs="Arial"/>
          <w:i/>
        </w:rPr>
        <w:t>Ewing sarcoma</w:t>
      </w:r>
      <w:r w:rsidRPr="004173F2">
        <w:rPr>
          <w:rFonts w:cs="Arial"/>
        </w:rPr>
        <w:t xml:space="preserve">. The characteristic translocations involve the </w:t>
      </w:r>
      <w:r w:rsidRPr="004173F2">
        <w:rPr>
          <w:rFonts w:cs="Arial"/>
          <w:i/>
        </w:rPr>
        <w:t>EWS</w:t>
      </w:r>
      <w:r w:rsidR="00213DCE" w:rsidRPr="004173F2">
        <w:rPr>
          <w:rFonts w:cs="Arial"/>
          <w:i/>
        </w:rPr>
        <w:t>R1</w:t>
      </w:r>
      <w:r w:rsidRPr="004173F2">
        <w:rPr>
          <w:rFonts w:cs="Arial"/>
          <w:i/>
        </w:rPr>
        <w:t xml:space="preserve"> </w:t>
      </w:r>
      <w:r w:rsidRPr="004173F2">
        <w:rPr>
          <w:rFonts w:cs="Arial"/>
        </w:rPr>
        <w:t xml:space="preserve">gene at 22q12 and </w:t>
      </w:r>
      <w:r w:rsidR="009C516B">
        <w:rPr>
          <w:rFonts w:cs="Arial"/>
        </w:rPr>
        <w:t xml:space="preserve">a member of the ETS family, most often </w:t>
      </w:r>
      <w:r w:rsidRPr="004173F2">
        <w:rPr>
          <w:rFonts w:cs="Arial"/>
        </w:rPr>
        <w:t xml:space="preserve">either the </w:t>
      </w:r>
      <w:r w:rsidRPr="004173F2">
        <w:rPr>
          <w:rFonts w:cs="Arial"/>
          <w:i/>
        </w:rPr>
        <w:t>FLI1</w:t>
      </w:r>
      <w:r w:rsidRPr="004173F2">
        <w:rPr>
          <w:rFonts w:cs="Arial"/>
        </w:rPr>
        <w:t xml:space="preserve"> gene at 11q24 or the </w:t>
      </w:r>
      <w:r w:rsidRPr="004173F2">
        <w:rPr>
          <w:rFonts w:cs="Arial"/>
          <w:i/>
        </w:rPr>
        <w:t>ERG</w:t>
      </w:r>
      <w:r w:rsidRPr="004173F2">
        <w:rPr>
          <w:rFonts w:cs="Arial"/>
        </w:rPr>
        <w:t xml:space="preserve"> gene at 21q22. The presence of t(11;22) (</w:t>
      </w:r>
      <w:r w:rsidRPr="004173F2">
        <w:rPr>
          <w:rFonts w:cs="Arial"/>
          <w:i/>
        </w:rPr>
        <w:t>EWS</w:t>
      </w:r>
      <w:r w:rsidR="00DB5E0D" w:rsidRPr="004173F2">
        <w:rPr>
          <w:rFonts w:cs="Arial"/>
          <w:i/>
        </w:rPr>
        <w:t>R1</w:t>
      </w:r>
      <w:r w:rsidRPr="004173F2">
        <w:rPr>
          <w:rFonts w:cs="Arial"/>
          <w:i/>
        </w:rPr>
        <w:t>-FLI1</w:t>
      </w:r>
      <w:r w:rsidRPr="004173F2">
        <w:rPr>
          <w:rFonts w:cs="Arial"/>
        </w:rPr>
        <w:t>) and t(21;22) (</w:t>
      </w:r>
      <w:r w:rsidRPr="004173F2">
        <w:rPr>
          <w:rFonts w:cs="Arial"/>
          <w:i/>
        </w:rPr>
        <w:t>EWS</w:t>
      </w:r>
      <w:r w:rsidR="00DB5E0D" w:rsidRPr="004173F2">
        <w:rPr>
          <w:rFonts w:cs="Arial"/>
          <w:i/>
        </w:rPr>
        <w:t>R1</w:t>
      </w:r>
      <w:r w:rsidRPr="004173F2">
        <w:rPr>
          <w:rFonts w:cs="Arial"/>
          <w:i/>
        </w:rPr>
        <w:t>-ERG</w:t>
      </w:r>
      <w:r w:rsidRPr="004173F2">
        <w:rPr>
          <w:rFonts w:cs="Arial"/>
        </w:rPr>
        <w:t xml:space="preserve">) is strongly correlated with ES. The most common gene fusion is the </w:t>
      </w:r>
      <w:r w:rsidRPr="004173F2">
        <w:rPr>
          <w:rFonts w:cs="Arial"/>
          <w:i/>
        </w:rPr>
        <w:t>EWS</w:t>
      </w:r>
      <w:r w:rsidR="00DB5E0D" w:rsidRPr="004173F2">
        <w:rPr>
          <w:rFonts w:cs="Arial"/>
          <w:i/>
        </w:rPr>
        <w:t>R1</w:t>
      </w:r>
      <w:r w:rsidRPr="004173F2">
        <w:rPr>
          <w:rFonts w:cs="Arial"/>
          <w:i/>
        </w:rPr>
        <w:t>-FLI1</w:t>
      </w:r>
      <w:r w:rsidRPr="004173F2">
        <w:rPr>
          <w:rFonts w:cs="Arial"/>
        </w:rPr>
        <w:t xml:space="preserve"> (90%</w:t>
      </w:r>
      <w:r w:rsidR="008F5D6A">
        <w:rPr>
          <w:rFonts w:cs="Arial"/>
        </w:rPr>
        <w:t>-</w:t>
      </w:r>
      <w:r w:rsidRPr="004173F2">
        <w:rPr>
          <w:rFonts w:cs="Arial"/>
        </w:rPr>
        <w:t>95% of patients).</w:t>
      </w:r>
      <w:r w:rsidR="00213DCE" w:rsidRPr="004173F2">
        <w:rPr>
          <w:rFonts w:cs="Arial"/>
        </w:rPr>
        <w:t xml:space="preserve"> It should be emphasized that </w:t>
      </w:r>
      <w:r w:rsidR="00F81ACA" w:rsidRPr="004173F2">
        <w:rPr>
          <w:rFonts w:cs="Arial"/>
        </w:rPr>
        <w:t>there</w:t>
      </w:r>
      <w:r w:rsidR="00213DCE" w:rsidRPr="004173F2">
        <w:rPr>
          <w:rFonts w:cs="Arial"/>
        </w:rPr>
        <w:t xml:space="preserve"> are numerous other </w:t>
      </w:r>
      <w:r w:rsidR="00213DCE" w:rsidRPr="004173F2">
        <w:rPr>
          <w:rFonts w:cs="Arial"/>
          <w:i/>
        </w:rPr>
        <w:t>EWSR1</w:t>
      </w:r>
      <w:r w:rsidR="00213DCE" w:rsidRPr="004173F2">
        <w:rPr>
          <w:rFonts w:cs="Arial"/>
        </w:rPr>
        <w:t xml:space="preserve"> gene partners that occur in a minority (5</w:t>
      </w:r>
      <w:r w:rsidR="00E7677A" w:rsidRPr="004173F2">
        <w:rPr>
          <w:rFonts w:cs="Arial"/>
        </w:rPr>
        <w:t>%</w:t>
      </w:r>
      <w:r w:rsidR="008F5D6A">
        <w:rPr>
          <w:rFonts w:cs="Arial"/>
        </w:rPr>
        <w:t>-</w:t>
      </w:r>
      <w:r w:rsidR="00213DCE" w:rsidRPr="004173F2">
        <w:rPr>
          <w:rFonts w:cs="Arial"/>
        </w:rPr>
        <w:t>10%) of ES.</w:t>
      </w:r>
      <w:r w:rsidR="002E2DA3" w:rsidRPr="004173F2">
        <w:rPr>
          <w:rFonts w:cs="Arial"/>
        </w:rPr>
        <w:t xml:space="preserve"> </w:t>
      </w:r>
      <w:r w:rsidR="00213DCE" w:rsidRPr="004173F2">
        <w:rPr>
          <w:rFonts w:cs="Arial"/>
        </w:rPr>
        <w:t xml:space="preserve">The failure to identify an </w:t>
      </w:r>
      <w:r w:rsidR="00213DCE" w:rsidRPr="004173F2">
        <w:rPr>
          <w:rFonts w:cs="Arial"/>
          <w:i/>
        </w:rPr>
        <w:t>EWSR1-FLI</w:t>
      </w:r>
      <w:r w:rsidR="00213DCE" w:rsidRPr="004173F2">
        <w:rPr>
          <w:rFonts w:cs="Arial"/>
        </w:rPr>
        <w:t xml:space="preserve"> or </w:t>
      </w:r>
      <w:r w:rsidR="00213DCE" w:rsidRPr="004173F2">
        <w:rPr>
          <w:rFonts w:cs="Arial"/>
          <w:i/>
        </w:rPr>
        <w:t>EW</w:t>
      </w:r>
      <w:r w:rsidR="00DB5E0D" w:rsidRPr="004173F2">
        <w:rPr>
          <w:rFonts w:cs="Arial"/>
          <w:i/>
        </w:rPr>
        <w:t>S</w:t>
      </w:r>
      <w:r w:rsidR="00213DCE" w:rsidRPr="004173F2">
        <w:rPr>
          <w:rFonts w:cs="Arial"/>
          <w:i/>
        </w:rPr>
        <w:t>R1-ERG</w:t>
      </w:r>
      <w:r w:rsidR="00213DCE" w:rsidRPr="004173F2">
        <w:rPr>
          <w:rFonts w:cs="Arial"/>
        </w:rPr>
        <w:t xml:space="preserve"> translocation by RT-PCR or cytogenetics does not exclude ES from the diagnosis. Cytogenetic studies are important for identif</w:t>
      </w:r>
      <w:r w:rsidR="00222B7C" w:rsidRPr="004173F2">
        <w:rPr>
          <w:rFonts w:cs="Arial"/>
        </w:rPr>
        <w:t>ication of</w:t>
      </w:r>
      <w:r w:rsidR="00213DCE" w:rsidRPr="004173F2">
        <w:rPr>
          <w:rFonts w:cs="Arial"/>
        </w:rPr>
        <w:t xml:space="preserve"> the </w:t>
      </w:r>
      <w:r w:rsidR="002E2DA3" w:rsidRPr="004173F2">
        <w:rPr>
          <w:rFonts w:cs="Arial"/>
        </w:rPr>
        <w:t xml:space="preserve">less common and rare ES translocations and </w:t>
      </w:r>
      <w:r w:rsidR="00E7677A" w:rsidRPr="004173F2">
        <w:rPr>
          <w:rFonts w:cs="Arial"/>
        </w:rPr>
        <w:t xml:space="preserve">for </w:t>
      </w:r>
      <w:r w:rsidR="002E2DA3" w:rsidRPr="004173F2">
        <w:rPr>
          <w:rFonts w:cs="Arial"/>
        </w:rPr>
        <w:t xml:space="preserve">discovering novel </w:t>
      </w:r>
      <w:r w:rsidR="002E2DA3" w:rsidRPr="004173F2">
        <w:rPr>
          <w:rFonts w:cs="Arial"/>
          <w:i/>
        </w:rPr>
        <w:t>EWSR1</w:t>
      </w:r>
      <w:r w:rsidR="002E2DA3" w:rsidRPr="004173F2">
        <w:rPr>
          <w:rFonts w:cs="Arial"/>
        </w:rPr>
        <w:t xml:space="preserve"> translocations in ES. FISH analysis for </w:t>
      </w:r>
      <w:r w:rsidR="002E2DA3" w:rsidRPr="004173F2">
        <w:rPr>
          <w:rFonts w:cs="Arial"/>
          <w:i/>
        </w:rPr>
        <w:t>EWSR1</w:t>
      </w:r>
      <w:r w:rsidR="002E2DA3" w:rsidRPr="004173F2">
        <w:rPr>
          <w:rFonts w:cs="Arial"/>
        </w:rPr>
        <w:t xml:space="preserve"> is he</w:t>
      </w:r>
      <w:r w:rsidR="00222B7C" w:rsidRPr="004173F2">
        <w:rPr>
          <w:rFonts w:cs="Arial"/>
        </w:rPr>
        <w:t>l</w:t>
      </w:r>
      <w:r w:rsidR="002E2DA3" w:rsidRPr="004173F2">
        <w:rPr>
          <w:rFonts w:cs="Arial"/>
        </w:rPr>
        <w:t xml:space="preserve">pful as a </w:t>
      </w:r>
      <w:r w:rsidR="00222B7C" w:rsidRPr="004173F2">
        <w:rPr>
          <w:rFonts w:cs="Arial"/>
        </w:rPr>
        <w:t>first</w:t>
      </w:r>
      <w:r w:rsidR="002E2DA3" w:rsidRPr="004173F2">
        <w:rPr>
          <w:rFonts w:cs="Arial"/>
        </w:rPr>
        <w:t xml:space="preserve"> step and may confirm the diagnosis in those tumors with histomorphologic features and immunohistochemical phenotype</w:t>
      </w:r>
      <w:r w:rsidR="00222B7C" w:rsidRPr="004173F2">
        <w:rPr>
          <w:rFonts w:cs="Arial"/>
        </w:rPr>
        <w:t>s</w:t>
      </w:r>
      <w:r w:rsidR="002E2DA3" w:rsidRPr="004173F2">
        <w:rPr>
          <w:rFonts w:cs="Arial"/>
        </w:rPr>
        <w:t xml:space="preserve"> of ES. </w:t>
      </w:r>
      <w:r w:rsidR="00566439" w:rsidRPr="004173F2">
        <w:rPr>
          <w:rFonts w:cs="Arial"/>
        </w:rPr>
        <w:t xml:space="preserve">Because other small round cell tumors of childhood can have </w:t>
      </w:r>
      <w:r w:rsidR="00566439" w:rsidRPr="004173F2">
        <w:rPr>
          <w:rFonts w:cs="Arial"/>
          <w:i/>
        </w:rPr>
        <w:t>EWSR1</w:t>
      </w:r>
      <w:r w:rsidR="00566439" w:rsidRPr="004173F2">
        <w:rPr>
          <w:rFonts w:cs="Arial"/>
        </w:rPr>
        <w:t xml:space="preserve"> rearrangements with specific tumor-defining partners, </w:t>
      </w:r>
      <w:r w:rsidR="00566439" w:rsidRPr="004173F2">
        <w:rPr>
          <w:rFonts w:cs="Arial"/>
          <w:i/>
        </w:rPr>
        <w:t>EWSR1</w:t>
      </w:r>
      <w:r w:rsidR="00566439" w:rsidRPr="004173F2">
        <w:rPr>
          <w:rFonts w:cs="Arial"/>
        </w:rPr>
        <w:t xml:space="preserve"> FISH positivity </w:t>
      </w:r>
      <w:r w:rsidR="00834EA7">
        <w:rPr>
          <w:rFonts w:cs="Arial"/>
        </w:rPr>
        <w:t xml:space="preserve">alone is not diagnostic of ES. </w:t>
      </w:r>
      <w:r w:rsidR="00566439" w:rsidRPr="004173F2">
        <w:rPr>
          <w:rFonts w:cs="Arial"/>
        </w:rPr>
        <w:t xml:space="preserve">Some of these tumors with </w:t>
      </w:r>
      <w:r w:rsidR="00566439" w:rsidRPr="004173F2">
        <w:rPr>
          <w:rFonts w:cs="Arial"/>
          <w:i/>
        </w:rPr>
        <w:t>EWSR1</w:t>
      </w:r>
      <w:r w:rsidR="00566439" w:rsidRPr="004173F2">
        <w:rPr>
          <w:rFonts w:cs="Arial"/>
        </w:rPr>
        <w:t xml:space="preserve"> rearrangement include angiomatoid fibrous histiocytoma, clear cell sarcoma of soft parts, desmoplastic round cell tumor, and extraskeletal myxoid chondrosarcoma, as well as a subset of myxoid liposarcoma</w:t>
      </w:r>
      <w:r w:rsidR="00DE1063">
        <w:rPr>
          <w:rFonts w:cs="Arial"/>
        </w:rPr>
        <w:t xml:space="preserve">s and myoepithelial carcinoma. </w:t>
      </w:r>
      <w:r w:rsidR="00566439" w:rsidRPr="004173F2">
        <w:rPr>
          <w:rFonts w:cs="Arial"/>
        </w:rPr>
        <w:t>This underscores the necessity for histologic and immunohistochemical correlation with FISH and/or cytogenetic data</w:t>
      </w:r>
      <w:r w:rsidR="00C52D1A" w:rsidRPr="004173F2">
        <w:rPr>
          <w:rFonts w:cs="Arial"/>
        </w:rPr>
        <w:t>.</w:t>
      </w:r>
      <w:r w:rsidR="009C516B">
        <w:rPr>
          <w:rFonts w:cs="Arial"/>
          <w:vertAlign w:val="superscript"/>
        </w:rPr>
        <w:t>5</w:t>
      </w:r>
      <w:r w:rsidR="006A4DE1" w:rsidRPr="004173F2">
        <w:rPr>
          <w:rFonts w:cs="Arial"/>
        </w:rPr>
        <w:t xml:space="preserve"> </w:t>
      </w:r>
    </w:p>
    <w:p w14:paraId="25084A80" w14:textId="77777777" w:rsidR="00182043" w:rsidRPr="004173F2" w:rsidRDefault="00182043" w:rsidP="00834EA7">
      <w:pPr>
        <w:pStyle w:val="Footer"/>
        <w:tabs>
          <w:tab w:val="clear" w:pos="4320"/>
          <w:tab w:val="clear" w:pos="8640"/>
        </w:tabs>
        <w:rPr>
          <w:rFonts w:cs="Arial"/>
        </w:rPr>
      </w:pPr>
    </w:p>
    <w:p w14:paraId="4A1ECF37" w14:textId="1FB6BB46" w:rsidR="00182043" w:rsidRPr="004173F2" w:rsidRDefault="002E2DA3" w:rsidP="00834EA7">
      <w:pPr>
        <w:pStyle w:val="Footer"/>
        <w:tabs>
          <w:tab w:val="clear" w:pos="4320"/>
          <w:tab w:val="clear" w:pos="8640"/>
        </w:tabs>
        <w:rPr>
          <w:rFonts w:cs="Arial"/>
        </w:rPr>
      </w:pPr>
      <w:r w:rsidRPr="004173F2">
        <w:rPr>
          <w:rFonts w:cs="Arial"/>
        </w:rPr>
        <w:t>Some of the less common ES</w:t>
      </w:r>
      <w:r w:rsidR="00182043" w:rsidRPr="004173F2">
        <w:rPr>
          <w:rFonts w:cs="Arial"/>
        </w:rPr>
        <w:t xml:space="preserve"> translocations</w:t>
      </w:r>
      <w:r w:rsidR="009C516B">
        <w:rPr>
          <w:rFonts w:cs="Arial"/>
        </w:rPr>
        <w:t xml:space="preserve"> substitute </w:t>
      </w:r>
      <w:r w:rsidR="009C516B" w:rsidRPr="00DA4B7F">
        <w:rPr>
          <w:rFonts w:cs="Arial"/>
          <w:i/>
        </w:rPr>
        <w:t>FUS</w:t>
      </w:r>
      <w:r w:rsidR="009C516B">
        <w:rPr>
          <w:rFonts w:cs="Arial"/>
        </w:rPr>
        <w:t xml:space="preserve"> (ch16) for </w:t>
      </w:r>
      <w:r w:rsidR="009C516B" w:rsidRPr="00DA4B7F">
        <w:rPr>
          <w:rFonts w:cs="Arial"/>
          <w:i/>
        </w:rPr>
        <w:t>EWSR1</w:t>
      </w:r>
      <w:r w:rsidR="009C516B">
        <w:rPr>
          <w:rFonts w:cs="Arial"/>
        </w:rPr>
        <w:t xml:space="preserve">, or involve other ETS partners including </w:t>
      </w:r>
      <w:r w:rsidR="009C516B" w:rsidRPr="004173F2">
        <w:rPr>
          <w:rFonts w:cs="Arial"/>
          <w:i/>
        </w:rPr>
        <w:t>ETV1</w:t>
      </w:r>
      <w:r w:rsidR="009C516B">
        <w:rPr>
          <w:rFonts w:cs="Arial"/>
        </w:rPr>
        <w:t xml:space="preserve">, </w:t>
      </w:r>
      <w:r w:rsidR="009C516B" w:rsidRPr="00DA4B7F">
        <w:rPr>
          <w:rFonts w:cs="Arial"/>
          <w:i/>
        </w:rPr>
        <w:t>ETV4</w:t>
      </w:r>
      <w:r w:rsidR="009C516B">
        <w:rPr>
          <w:rFonts w:cs="Arial"/>
        </w:rPr>
        <w:t xml:space="preserve">, or </w:t>
      </w:r>
      <w:r w:rsidR="009C516B" w:rsidRPr="004173F2">
        <w:rPr>
          <w:rFonts w:cs="Arial"/>
          <w:i/>
        </w:rPr>
        <w:t>FEV</w:t>
      </w:r>
      <w:r w:rsidR="009C516B" w:rsidRPr="004173F2">
        <w:rPr>
          <w:rFonts w:cs="Arial"/>
        </w:rPr>
        <w:t>.</w:t>
      </w:r>
      <w:r w:rsidR="009C516B">
        <w:rPr>
          <w:rFonts w:cs="Arial"/>
        </w:rPr>
        <w:t xml:space="preserve"> Whether tumors with </w:t>
      </w:r>
      <w:r w:rsidR="009C516B" w:rsidRPr="00320764">
        <w:t>EWSR1</w:t>
      </w:r>
      <w:r w:rsidR="009C516B">
        <w:rPr>
          <w:rFonts w:cs="Arial"/>
        </w:rPr>
        <w:t xml:space="preserve"> fusion and a non-ETS partner (ie. </w:t>
      </w:r>
      <w:r w:rsidR="009C516B" w:rsidRPr="00DA4B7F">
        <w:rPr>
          <w:rFonts w:cs="Arial"/>
          <w:i/>
        </w:rPr>
        <w:t>EWSR1-NFATC2</w:t>
      </w:r>
      <w:r w:rsidR="009C516B">
        <w:rPr>
          <w:rFonts w:cs="Arial"/>
        </w:rPr>
        <w:t xml:space="preserve">) represent Ewing sarcoma remains a matter of some debate. However, </w:t>
      </w:r>
      <w:r w:rsidR="009C516B" w:rsidRPr="004173F2">
        <w:rPr>
          <w:rFonts w:cs="Arial"/>
        </w:rPr>
        <w:t xml:space="preserve">ES-like tumors with </w:t>
      </w:r>
      <w:r w:rsidR="009C516B" w:rsidRPr="004173F2">
        <w:rPr>
          <w:rFonts w:cs="Arial"/>
          <w:i/>
        </w:rPr>
        <w:t>CIC-DUX4</w:t>
      </w:r>
      <w:r w:rsidR="009C516B" w:rsidRPr="004173F2">
        <w:rPr>
          <w:rFonts w:cs="Arial"/>
        </w:rPr>
        <w:t xml:space="preserve"> and </w:t>
      </w:r>
      <w:r w:rsidR="009C516B" w:rsidRPr="004173F2">
        <w:rPr>
          <w:rStyle w:val="Emphasis"/>
          <w:rFonts w:cs="Arial"/>
        </w:rPr>
        <w:t>BCOR–CCNB3</w:t>
      </w:r>
      <w:r w:rsidR="009C516B">
        <w:rPr>
          <w:rStyle w:val="Emphasis"/>
          <w:rFonts w:cs="Arial"/>
        </w:rPr>
        <w:t xml:space="preserve"> </w:t>
      </w:r>
      <w:r w:rsidR="009C516B">
        <w:rPr>
          <w:rStyle w:val="Emphasis"/>
          <w:rFonts w:cs="Arial"/>
          <w:i w:val="0"/>
        </w:rPr>
        <w:t>are generally considered separate diagnostic entities and these tumors should not be reported using this protocol.</w:t>
      </w:r>
      <w:r w:rsidR="009C516B">
        <w:rPr>
          <w:rFonts w:cs="Arial"/>
          <w:vertAlign w:val="superscript"/>
        </w:rPr>
        <w:t>6</w:t>
      </w:r>
    </w:p>
    <w:p w14:paraId="1B004C19" w14:textId="77777777" w:rsidR="000827B3" w:rsidRPr="004173F2" w:rsidRDefault="000827B3" w:rsidP="00834EA7">
      <w:pPr>
        <w:pStyle w:val="Footer"/>
        <w:tabs>
          <w:tab w:val="clear" w:pos="4320"/>
          <w:tab w:val="clear" w:pos="8640"/>
        </w:tabs>
        <w:rPr>
          <w:rFonts w:cs="Arial"/>
        </w:rPr>
      </w:pPr>
    </w:p>
    <w:p w14:paraId="757409C2" w14:textId="4C0A4AD3" w:rsidR="000827B3" w:rsidRPr="004173F2" w:rsidRDefault="000827B3" w:rsidP="00834EA7">
      <w:pPr>
        <w:pStyle w:val="Footer"/>
        <w:tabs>
          <w:tab w:val="clear" w:pos="4320"/>
          <w:tab w:val="clear" w:pos="8640"/>
        </w:tabs>
        <w:rPr>
          <w:rFonts w:cs="Arial"/>
        </w:rPr>
      </w:pPr>
      <w:r w:rsidRPr="004173F2">
        <w:rPr>
          <w:rFonts w:cs="Arial"/>
        </w:rPr>
        <w:t>The diagnosis of ES is not depen</w:t>
      </w:r>
      <w:r w:rsidR="001F57A8" w:rsidRPr="004173F2">
        <w:rPr>
          <w:rFonts w:cs="Arial"/>
        </w:rPr>
        <w:t>d</w:t>
      </w:r>
      <w:r w:rsidRPr="004173F2">
        <w:rPr>
          <w:rFonts w:cs="Arial"/>
        </w:rPr>
        <w:t>ent upon identifying a “tumor-defining” translocation</w:t>
      </w:r>
      <w:r w:rsidR="0050723D" w:rsidRPr="004173F2">
        <w:rPr>
          <w:rFonts w:cs="Arial"/>
        </w:rPr>
        <w:t xml:space="preserve"> and may be rendered with the appropriate histomorphologic and immunohistochemical features. The specific </w:t>
      </w:r>
      <w:r w:rsidR="0050723D" w:rsidRPr="004173F2">
        <w:rPr>
          <w:rFonts w:cs="Arial"/>
          <w:i/>
        </w:rPr>
        <w:t>EWSR1</w:t>
      </w:r>
      <w:r w:rsidR="0050723D" w:rsidRPr="004173F2">
        <w:rPr>
          <w:rFonts w:cs="Arial"/>
        </w:rPr>
        <w:t xml:space="preserve"> translocation and subtype based upon exon fusion type do not influence treatment, prognosis</w:t>
      </w:r>
      <w:r w:rsidR="00E7677A" w:rsidRPr="004173F2">
        <w:rPr>
          <w:rFonts w:cs="Arial"/>
        </w:rPr>
        <w:t>,</w:t>
      </w:r>
      <w:r w:rsidR="0050723D" w:rsidRPr="004173F2">
        <w:rPr>
          <w:rFonts w:cs="Arial"/>
        </w:rPr>
        <w:t xml:space="preserve"> or outcome.</w:t>
      </w:r>
      <w:r w:rsidR="009C516B">
        <w:rPr>
          <w:rFonts w:cs="Arial"/>
          <w:vertAlign w:val="superscript"/>
        </w:rPr>
        <w:t>7</w:t>
      </w:r>
    </w:p>
    <w:p w14:paraId="7FA75DE5" w14:textId="77777777" w:rsidR="00182043" w:rsidRPr="004173F2" w:rsidRDefault="00182043" w:rsidP="00834EA7">
      <w:pPr>
        <w:pStyle w:val="Footer"/>
        <w:tabs>
          <w:tab w:val="clear" w:pos="4320"/>
          <w:tab w:val="clear" w:pos="8640"/>
        </w:tabs>
        <w:rPr>
          <w:rFonts w:cs="Arial"/>
        </w:rPr>
      </w:pPr>
    </w:p>
    <w:p w14:paraId="2FAEBEC5" w14:textId="20547830" w:rsidR="0089127C" w:rsidRPr="0014015F" w:rsidRDefault="0089127C" w:rsidP="00834EA7">
      <w:pPr>
        <w:rPr>
          <w:rFonts w:cs="Arial"/>
        </w:rPr>
      </w:pPr>
      <w:r w:rsidRPr="0014015F">
        <w:rPr>
          <w:rFonts w:cs="Arial"/>
        </w:rPr>
        <w:t>References</w:t>
      </w:r>
    </w:p>
    <w:p w14:paraId="0936AAF6" w14:textId="77777777" w:rsidR="008B3FD8" w:rsidRPr="004173F2" w:rsidRDefault="008B3FD8" w:rsidP="008B3FD8">
      <w:pPr>
        <w:pStyle w:val="References"/>
        <w:numPr>
          <w:ilvl w:val="0"/>
          <w:numId w:val="10"/>
        </w:numPr>
        <w:tabs>
          <w:tab w:val="clear" w:pos="450"/>
          <w:tab w:val="num" w:pos="360"/>
        </w:tabs>
        <w:ind w:left="360" w:hanging="360"/>
        <w:rPr>
          <w:rFonts w:cs="Arial"/>
        </w:rPr>
      </w:pPr>
      <w:proofErr w:type="spellStart"/>
      <w:r w:rsidRPr="004173F2">
        <w:rPr>
          <w:rFonts w:cs="Arial"/>
        </w:rPr>
        <w:t>Ambros</w:t>
      </w:r>
      <w:proofErr w:type="spellEnd"/>
      <w:r w:rsidRPr="004173F2">
        <w:rPr>
          <w:rFonts w:cs="Arial"/>
        </w:rPr>
        <w:t xml:space="preserve"> IM, </w:t>
      </w:r>
      <w:proofErr w:type="spellStart"/>
      <w:r w:rsidRPr="004173F2">
        <w:rPr>
          <w:rFonts w:cs="Arial"/>
        </w:rPr>
        <w:t>Ambros</w:t>
      </w:r>
      <w:proofErr w:type="spellEnd"/>
      <w:r w:rsidRPr="004173F2">
        <w:rPr>
          <w:rFonts w:cs="Arial"/>
        </w:rPr>
        <w:t xml:space="preserve"> PF, </w:t>
      </w:r>
      <w:proofErr w:type="spellStart"/>
      <w:r w:rsidRPr="004173F2">
        <w:rPr>
          <w:rFonts w:cs="Arial"/>
        </w:rPr>
        <w:t>Strehl</w:t>
      </w:r>
      <w:proofErr w:type="spellEnd"/>
      <w:r w:rsidRPr="004173F2">
        <w:rPr>
          <w:rFonts w:cs="Arial"/>
        </w:rPr>
        <w:t xml:space="preserve"> S, Kovar H, </w:t>
      </w:r>
      <w:proofErr w:type="spellStart"/>
      <w:r w:rsidRPr="004173F2">
        <w:rPr>
          <w:rFonts w:cs="Arial"/>
        </w:rPr>
        <w:t>Gadner</w:t>
      </w:r>
      <w:proofErr w:type="spellEnd"/>
      <w:r w:rsidRPr="004173F2">
        <w:rPr>
          <w:rFonts w:cs="Arial"/>
        </w:rPr>
        <w:t xml:space="preserve"> H, </w:t>
      </w:r>
      <w:proofErr w:type="spellStart"/>
      <w:r w:rsidRPr="004173F2">
        <w:rPr>
          <w:rFonts w:cs="Arial"/>
        </w:rPr>
        <w:t>Salzer-Kuntschik</w:t>
      </w:r>
      <w:proofErr w:type="spellEnd"/>
      <w:r w:rsidRPr="004173F2">
        <w:rPr>
          <w:rFonts w:cs="Arial"/>
        </w:rPr>
        <w:t xml:space="preserve"> M. MIC2 is a specific marker for Ewing’s sarcoma and peripheral primitive neuroectodermal tumor: evidence for a common histogenesis of Ewing’s sarcoma and peripheral neuroectodermal tumors from MIC2 expression and specific chromosome aberration. </w:t>
      </w:r>
      <w:r w:rsidRPr="004173F2">
        <w:rPr>
          <w:rFonts w:cs="Arial"/>
          <w:i/>
        </w:rPr>
        <w:t>Cancer.</w:t>
      </w:r>
      <w:r w:rsidRPr="004173F2">
        <w:rPr>
          <w:rFonts w:cs="Arial"/>
        </w:rPr>
        <w:t xml:space="preserve"> 1992;67:1886-1893.</w:t>
      </w:r>
    </w:p>
    <w:p w14:paraId="11495A1D" w14:textId="77777777" w:rsidR="008B3FD8" w:rsidRPr="004173F2" w:rsidRDefault="008B3FD8" w:rsidP="008B3FD8">
      <w:pPr>
        <w:pStyle w:val="References"/>
        <w:numPr>
          <w:ilvl w:val="0"/>
          <w:numId w:val="10"/>
        </w:numPr>
        <w:tabs>
          <w:tab w:val="clear" w:pos="450"/>
          <w:tab w:val="num" w:pos="360"/>
        </w:tabs>
        <w:ind w:left="360" w:hanging="360"/>
        <w:rPr>
          <w:rFonts w:cs="Arial"/>
        </w:rPr>
      </w:pPr>
      <w:proofErr w:type="spellStart"/>
      <w:r w:rsidRPr="004173F2">
        <w:rPr>
          <w:rFonts w:cs="Arial"/>
        </w:rPr>
        <w:t>Collini</w:t>
      </w:r>
      <w:proofErr w:type="spellEnd"/>
      <w:r w:rsidRPr="004173F2">
        <w:rPr>
          <w:rFonts w:cs="Arial"/>
        </w:rPr>
        <w:t xml:space="preserve"> P, </w:t>
      </w:r>
      <w:proofErr w:type="spellStart"/>
      <w:r w:rsidRPr="004173F2">
        <w:rPr>
          <w:rFonts w:cs="Arial"/>
        </w:rPr>
        <w:t>Sampietro</w:t>
      </w:r>
      <w:proofErr w:type="spellEnd"/>
      <w:r w:rsidRPr="004173F2">
        <w:rPr>
          <w:rFonts w:cs="Arial"/>
        </w:rPr>
        <w:t xml:space="preserve"> G, </w:t>
      </w:r>
      <w:proofErr w:type="spellStart"/>
      <w:r w:rsidRPr="004173F2">
        <w:rPr>
          <w:rFonts w:cs="Arial"/>
        </w:rPr>
        <w:t>Bertulli</w:t>
      </w:r>
      <w:proofErr w:type="spellEnd"/>
      <w:r w:rsidRPr="004173F2">
        <w:rPr>
          <w:rFonts w:cs="Arial"/>
        </w:rPr>
        <w:t xml:space="preserve"> R, et al. Cytokeratin immunoreactivity in 41 cases of Ewing sarcoma/primitive neuroectodermal tumor confirmed by molecular diagnostic studies. </w:t>
      </w:r>
      <w:r w:rsidRPr="004173F2">
        <w:rPr>
          <w:rFonts w:cs="Arial"/>
          <w:i/>
        </w:rPr>
        <w:t xml:space="preserve">Am J Surg </w:t>
      </w:r>
      <w:proofErr w:type="spellStart"/>
      <w:r w:rsidRPr="004173F2">
        <w:rPr>
          <w:rFonts w:cs="Arial"/>
          <w:i/>
        </w:rPr>
        <w:t>Pathol</w:t>
      </w:r>
      <w:proofErr w:type="spellEnd"/>
      <w:r w:rsidRPr="004173F2">
        <w:rPr>
          <w:rFonts w:cs="Arial"/>
          <w:i/>
        </w:rPr>
        <w:t>.</w:t>
      </w:r>
      <w:r w:rsidRPr="004173F2">
        <w:rPr>
          <w:rFonts w:cs="Arial"/>
        </w:rPr>
        <w:t xml:space="preserve"> 2001;25:273-274.</w:t>
      </w:r>
    </w:p>
    <w:p w14:paraId="4612CD99" w14:textId="77777777" w:rsidR="008B3FD8" w:rsidRDefault="008B3FD8" w:rsidP="008B3FD8">
      <w:pPr>
        <w:pStyle w:val="References"/>
        <w:numPr>
          <w:ilvl w:val="0"/>
          <w:numId w:val="10"/>
        </w:numPr>
        <w:tabs>
          <w:tab w:val="clear" w:pos="450"/>
          <w:tab w:val="num" w:pos="360"/>
        </w:tabs>
        <w:ind w:left="360" w:hanging="360"/>
        <w:rPr>
          <w:rFonts w:cs="Arial"/>
        </w:rPr>
      </w:pPr>
      <w:r w:rsidRPr="004173F2">
        <w:rPr>
          <w:rFonts w:cs="Arial"/>
        </w:rPr>
        <w:t xml:space="preserve">Folpe AL, Goldblum JR, Rubin BP, Shehata BM, Liu W, Dei </w:t>
      </w:r>
      <w:proofErr w:type="spellStart"/>
      <w:r w:rsidRPr="004173F2">
        <w:rPr>
          <w:rFonts w:cs="Arial"/>
        </w:rPr>
        <w:t>Tos</w:t>
      </w:r>
      <w:proofErr w:type="spellEnd"/>
      <w:r w:rsidRPr="004173F2">
        <w:rPr>
          <w:rFonts w:cs="Arial"/>
        </w:rPr>
        <w:t xml:space="preserve"> AP, Weiss SW. Morphologic and immunophenotypic diversity in Ewing family tumors: a study of 66 genetically confirmed cases. </w:t>
      </w:r>
      <w:r w:rsidRPr="004173F2">
        <w:rPr>
          <w:rFonts w:cs="Arial"/>
          <w:i/>
        </w:rPr>
        <w:t xml:space="preserve">Am J Surg </w:t>
      </w:r>
      <w:proofErr w:type="spellStart"/>
      <w:r w:rsidRPr="004173F2">
        <w:rPr>
          <w:rFonts w:cs="Arial"/>
          <w:i/>
        </w:rPr>
        <w:t>Pathol</w:t>
      </w:r>
      <w:proofErr w:type="spellEnd"/>
      <w:r w:rsidRPr="004173F2">
        <w:rPr>
          <w:rFonts w:cs="Arial"/>
          <w:i/>
        </w:rPr>
        <w:t>.</w:t>
      </w:r>
      <w:r w:rsidRPr="004173F2">
        <w:rPr>
          <w:rFonts w:cs="Arial"/>
        </w:rPr>
        <w:t xml:space="preserve"> 2005;29:1025-1033.</w:t>
      </w:r>
    </w:p>
    <w:p w14:paraId="3B460DA0" w14:textId="78D9F3FC" w:rsidR="009C516B" w:rsidRPr="00CC110C" w:rsidRDefault="009C516B" w:rsidP="0014015F">
      <w:pPr>
        <w:numPr>
          <w:ilvl w:val="0"/>
          <w:numId w:val="10"/>
        </w:numPr>
        <w:tabs>
          <w:tab w:val="clear" w:pos="450"/>
          <w:tab w:val="num" w:pos="360"/>
        </w:tabs>
        <w:ind w:left="360" w:hanging="360"/>
        <w:rPr>
          <w:rFonts w:cs="Arial"/>
        </w:rPr>
      </w:pPr>
      <w:r>
        <w:rPr>
          <w:rFonts w:cs="Arial"/>
        </w:rPr>
        <w:t xml:space="preserve">Machado I, Yoshida A, Lopez-Guerrero JA, Nieto MG, Navarro S, </w:t>
      </w:r>
      <w:proofErr w:type="spellStart"/>
      <w:r>
        <w:rPr>
          <w:rFonts w:cs="Arial"/>
        </w:rPr>
        <w:t>Picci</w:t>
      </w:r>
      <w:proofErr w:type="spellEnd"/>
      <w:r>
        <w:rPr>
          <w:rFonts w:cs="Arial"/>
        </w:rPr>
        <w:t xml:space="preserve"> P, </w:t>
      </w:r>
      <w:proofErr w:type="spellStart"/>
      <w:r>
        <w:rPr>
          <w:rFonts w:cs="Arial"/>
        </w:rPr>
        <w:t>Llombart</w:t>
      </w:r>
      <w:proofErr w:type="spellEnd"/>
      <w:r>
        <w:rPr>
          <w:rFonts w:cs="Arial"/>
        </w:rPr>
        <w:t xml:space="preserve">-Bosch A. Immunohistochemical analysis of NKX2.2, ETV4 and BCOR in a large series of genetically confirmed Ewing sarcoma family tumors. </w:t>
      </w:r>
      <w:proofErr w:type="spellStart"/>
      <w:r>
        <w:rPr>
          <w:rFonts w:cs="Arial"/>
        </w:rPr>
        <w:t>Pathol</w:t>
      </w:r>
      <w:proofErr w:type="spellEnd"/>
      <w:r>
        <w:rPr>
          <w:rFonts w:cs="Arial"/>
        </w:rPr>
        <w:t xml:space="preserve"> Res </w:t>
      </w:r>
      <w:proofErr w:type="spellStart"/>
      <w:r>
        <w:rPr>
          <w:rFonts w:cs="Arial"/>
        </w:rPr>
        <w:t>Pract</w:t>
      </w:r>
      <w:proofErr w:type="spellEnd"/>
      <w:r>
        <w:rPr>
          <w:rFonts w:cs="Arial"/>
        </w:rPr>
        <w:t xml:space="preserve"> 2017;213(9):1048-1053.</w:t>
      </w:r>
    </w:p>
    <w:p w14:paraId="5A662FDC" w14:textId="77777777" w:rsidR="008B3FD8" w:rsidRPr="004173F2" w:rsidRDefault="008B3FD8" w:rsidP="008B3FD8">
      <w:pPr>
        <w:numPr>
          <w:ilvl w:val="0"/>
          <w:numId w:val="10"/>
        </w:numPr>
        <w:tabs>
          <w:tab w:val="clear" w:pos="450"/>
          <w:tab w:val="num" w:pos="360"/>
        </w:tabs>
        <w:ind w:left="360" w:hanging="360"/>
        <w:rPr>
          <w:rFonts w:cs="Arial"/>
        </w:rPr>
      </w:pPr>
      <w:proofErr w:type="spellStart"/>
      <w:r w:rsidRPr="004173F2">
        <w:rPr>
          <w:rFonts w:cs="Arial"/>
        </w:rPr>
        <w:t>Tsokos</w:t>
      </w:r>
      <w:proofErr w:type="spellEnd"/>
      <w:r w:rsidRPr="004173F2">
        <w:rPr>
          <w:rFonts w:cs="Arial"/>
        </w:rPr>
        <w:t xml:space="preserve"> M, </w:t>
      </w:r>
      <w:proofErr w:type="spellStart"/>
      <w:r w:rsidRPr="004173F2">
        <w:rPr>
          <w:rFonts w:cs="Arial"/>
        </w:rPr>
        <w:t>Allagio</w:t>
      </w:r>
      <w:proofErr w:type="spellEnd"/>
      <w:r w:rsidRPr="004173F2">
        <w:rPr>
          <w:rFonts w:cs="Arial"/>
        </w:rPr>
        <w:t xml:space="preserve"> RD, </w:t>
      </w:r>
      <w:proofErr w:type="spellStart"/>
      <w:r w:rsidRPr="004173F2">
        <w:rPr>
          <w:rFonts w:cs="Arial"/>
        </w:rPr>
        <w:t>Dehner</w:t>
      </w:r>
      <w:proofErr w:type="spellEnd"/>
      <w:r w:rsidRPr="004173F2">
        <w:rPr>
          <w:rFonts w:cs="Arial"/>
        </w:rPr>
        <w:t xml:space="preserve"> LP</w:t>
      </w:r>
      <w:r w:rsidRPr="00282699">
        <w:t xml:space="preserve">, et al. </w:t>
      </w:r>
      <w:r w:rsidRPr="004173F2">
        <w:rPr>
          <w:rFonts w:cs="Arial"/>
        </w:rPr>
        <w:t xml:space="preserve">Ewing sarcoma/peripheral neuroectodermal tumor and related tumors. </w:t>
      </w:r>
      <w:proofErr w:type="spellStart"/>
      <w:r w:rsidRPr="004173F2">
        <w:rPr>
          <w:rFonts w:cs="Arial"/>
          <w:i/>
        </w:rPr>
        <w:t>Pediatr</w:t>
      </w:r>
      <w:proofErr w:type="spellEnd"/>
      <w:r w:rsidRPr="004173F2">
        <w:rPr>
          <w:rFonts w:cs="Arial"/>
          <w:i/>
        </w:rPr>
        <w:t xml:space="preserve"> Dev </w:t>
      </w:r>
      <w:proofErr w:type="spellStart"/>
      <w:r w:rsidRPr="004173F2">
        <w:rPr>
          <w:rFonts w:cs="Arial"/>
          <w:i/>
        </w:rPr>
        <w:t>Pathol</w:t>
      </w:r>
      <w:proofErr w:type="spellEnd"/>
      <w:r w:rsidRPr="004173F2">
        <w:rPr>
          <w:rFonts w:cs="Arial"/>
          <w:i/>
        </w:rPr>
        <w:t>.</w:t>
      </w:r>
      <w:r w:rsidRPr="004173F2">
        <w:rPr>
          <w:rFonts w:cs="Arial"/>
        </w:rPr>
        <w:t xml:space="preserve"> 2012;15(1 suppl):108-126.</w:t>
      </w:r>
    </w:p>
    <w:p w14:paraId="1D46FD7D" w14:textId="77777777" w:rsidR="008B3FD8" w:rsidRPr="004173F2" w:rsidRDefault="008B3FD8" w:rsidP="008B3FD8">
      <w:pPr>
        <w:numPr>
          <w:ilvl w:val="0"/>
          <w:numId w:val="10"/>
        </w:numPr>
        <w:tabs>
          <w:tab w:val="clear" w:pos="450"/>
          <w:tab w:val="num" w:pos="360"/>
        </w:tabs>
        <w:ind w:left="360" w:hanging="360"/>
        <w:rPr>
          <w:rFonts w:cs="Arial"/>
        </w:rPr>
      </w:pPr>
      <w:proofErr w:type="spellStart"/>
      <w:r w:rsidRPr="004173F2">
        <w:rPr>
          <w:rFonts w:cs="Arial"/>
        </w:rPr>
        <w:t>Antonescu</w:t>
      </w:r>
      <w:proofErr w:type="spellEnd"/>
      <w:r w:rsidRPr="004173F2">
        <w:rPr>
          <w:rFonts w:cs="Arial"/>
        </w:rPr>
        <w:t xml:space="preserve"> C. Round cell sarcomas beyond Ewing: emerging entities. Histopathology 2014;64:26-37.</w:t>
      </w:r>
    </w:p>
    <w:p w14:paraId="7802D93A" w14:textId="1C8664C8" w:rsidR="0089127C" w:rsidRPr="008B3FD8" w:rsidRDefault="008B3FD8" w:rsidP="008B3FD8">
      <w:pPr>
        <w:pStyle w:val="Footer"/>
        <w:numPr>
          <w:ilvl w:val="0"/>
          <w:numId w:val="10"/>
        </w:numPr>
        <w:tabs>
          <w:tab w:val="clear" w:pos="450"/>
          <w:tab w:val="clear" w:pos="4320"/>
          <w:tab w:val="clear" w:pos="8640"/>
          <w:tab w:val="num" w:pos="360"/>
        </w:tabs>
        <w:ind w:left="360" w:hanging="360"/>
        <w:rPr>
          <w:rFonts w:cs="Arial"/>
        </w:rPr>
      </w:pPr>
      <w:r w:rsidRPr="008B3FD8">
        <w:rPr>
          <w:rFonts w:cs="Arial"/>
        </w:rPr>
        <w:t xml:space="preserve">Van </w:t>
      </w:r>
      <w:proofErr w:type="spellStart"/>
      <w:r w:rsidRPr="008B3FD8">
        <w:rPr>
          <w:rFonts w:cs="Arial"/>
        </w:rPr>
        <w:t>Doorninck</w:t>
      </w:r>
      <w:proofErr w:type="spellEnd"/>
      <w:r w:rsidRPr="008B3FD8">
        <w:rPr>
          <w:rFonts w:cs="Arial"/>
        </w:rPr>
        <w:t xml:space="preserve"> JA, Ji L, Schaub B, et al. Current treatment protocols have eliminated the prognostic advantage of Type 1 fusions in Ewing sarcoma: a report from the Children’s Oncology Group. </w:t>
      </w:r>
      <w:r w:rsidRPr="008B3FD8">
        <w:rPr>
          <w:rFonts w:cs="Arial"/>
          <w:i/>
        </w:rPr>
        <w:t>J Clin Oncol.</w:t>
      </w:r>
      <w:r w:rsidRPr="00D500F2">
        <w:rPr>
          <w:rFonts w:cs="Arial"/>
        </w:rPr>
        <w:t xml:space="preserve"> 2010;28:</w:t>
      </w:r>
      <w:r w:rsidRPr="00FA4B7D">
        <w:rPr>
          <w:rFonts w:cs="Arial"/>
        </w:rPr>
        <w:t>1989-19</w:t>
      </w:r>
      <w:r w:rsidRPr="008B3FD8">
        <w:rPr>
          <w:rFonts w:cs="Arial"/>
        </w:rPr>
        <w:t>94.</w:t>
      </w:r>
    </w:p>
    <w:p w14:paraId="10B08B4B" w14:textId="77777777" w:rsidR="00182043" w:rsidRPr="004173F2" w:rsidRDefault="00182043" w:rsidP="00320764">
      <w:pPr>
        <w:rPr>
          <w:rFonts w:cs="Arial"/>
        </w:rPr>
      </w:pPr>
      <w:bookmarkStart w:id="2" w:name="_GoBack"/>
      <w:bookmarkEnd w:id="2"/>
    </w:p>
    <w:sectPr w:rsidR="00182043" w:rsidRPr="004173F2" w:rsidSect="00A35F5F">
      <w:headerReference w:type="even" r:id="rId19"/>
      <w:headerReference w:type="default" r:id="rId20"/>
      <w:footerReference w:type="even" r:id="rId21"/>
      <w:footerReference w:type="default" r:id="rId22"/>
      <w:pgSz w:w="12240" w:h="15840" w:code="1"/>
      <w:pgMar w:top="1440" w:right="1080" w:bottom="1440" w:left="1080" w:header="720" w:footer="9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58B723" w14:textId="77777777" w:rsidR="0014015F" w:rsidRDefault="0014015F">
      <w:r>
        <w:separator/>
      </w:r>
    </w:p>
  </w:endnote>
  <w:endnote w:type="continuationSeparator" w:id="0">
    <w:p w14:paraId="1EC89A20" w14:textId="77777777" w:rsidR="0014015F" w:rsidRDefault="0014015F">
      <w:r>
        <w:continuationSeparator/>
      </w:r>
    </w:p>
  </w:endnote>
  <w:endnote w:type="continuationNotice" w:id="1">
    <w:p w14:paraId="373064D2" w14:textId="77777777" w:rsidR="0014015F" w:rsidRDefault="001401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751546" w14:textId="77777777" w:rsidR="00AC2606" w:rsidRDefault="00AC260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1DBE1C62" w14:textId="77777777" w:rsidR="00AC2606" w:rsidRDefault="00AC2606">
    <w:pPr>
      <w:pStyle w:val="Footer"/>
      <w:ind w:right="36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0DAC2" w14:textId="77777777" w:rsidR="00AC2606" w:rsidRPr="007E3FA3" w:rsidRDefault="00AC2606">
    <w:pPr>
      <w:pStyle w:val="Footer"/>
      <w:framePr w:wrap="around" w:vAnchor="text" w:hAnchor="margin" w:xAlign="right" w:y="1"/>
      <w:rPr>
        <w:rStyle w:val="PageNumber"/>
      </w:rPr>
    </w:pPr>
    <w:r w:rsidRPr="007E3FA3">
      <w:rPr>
        <w:rStyle w:val="PageNumber"/>
      </w:rPr>
      <w:fldChar w:fldCharType="begin"/>
    </w:r>
    <w:r w:rsidRPr="007E3FA3">
      <w:rPr>
        <w:rStyle w:val="PageNumber"/>
      </w:rPr>
      <w:instrText xml:space="preserve">PAGE  </w:instrText>
    </w:r>
    <w:r w:rsidRPr="007E3FA3">
      <w:rPr>
        <w:rStyle w:val="PageNumber"/>
      </w:rPr>
      <w:fldChar w:fldCharType="separate"/>
    </w:r>
    <w:r w:rsidR="0014015F">
      <w:rPr>
        <w:rStyle w:val="PageNumber"/>
        <w:noProof/>
      </w:rPr>
      <w:t>2</w:t>
    </w:r>
    <w:r w:rsidRPr="007E3FA3">
      <w:rPr>
        <w:rStyle w:val="PageNumber"/>
      </w:rPr>
      <w:fldChar w:fldCharType="end"/>
    </w:r>
  </w:p>
  <w:p w14:paraId="6A8505D0" w14:textId="77777777" w:rsidR="00AC2606" w:rsidRDefault="00AC2606" w:rsidP="0028269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4AB9BE" w14:textId="4267848A" w:rsidR="00AC2606" w:rsidRPr="002665D2" w:rsidRDefault="00AC2606" w:rsidP="002665D2">
    <w:pPr>
      <w:widowControl w:val="0"/>
      <w:autoSpaceDE w:val="0"/>
      <w:autoSpaceDN w:val="0"/>
      <w:adjustRightInd w:val="0"/>
      <w:rPr>
        <w:rFonts w:cs="Arial"/>
        <w:color w:val="1F497D"/>
        <w:sz w:val="16"/>
        <w:szCs w:val="16"/>
      </w:rPr>
    </w:pPr>
    <w:r w:rsidRPr="002665D2">
      <w:rPr>
        <w:rFonts w:cs="Arial"/>
        <w:b/>
        <w:sz w:val="16"/>
        <w:szCs w:val="16"/>
      </w:rPr>
      <w:t>© 201</w:t>
    </w:r>
    <w:r>
      <w:rPr>
        <w:rFonts w:cs="Arial"/>
        <w:b/>
        <w:sz w:val="16"/>
        <w:szCs w:val="16"/>
      </w:rPr>
      <w:t>9</w:t>
    </w:r>
    <w:r w:rsidRPr="002665D2">
      <w:rPr>
        <w:rFonts w:cs="Arial"/>
        <w:b/>
        <w:sz w:val="16"/>
        <w:szCs w:val="16"/>
      </w:rPr>
      <w:t xml:space="preserve"> College of American Pathologists (CAP). All rights reserved.</w:t>
    </w:r>
    <w:r w:rsidRPr="002665D2">
      <w:rPr>
        <w:rFonts w:cs="Arial"/>
        <w:color w:val="1F497D"/>
        <w:sz w:val="16"/>
        <w:szCs w:val="16"/>
      </w:rPr>
      <w:t xml:space="preserve"> </w:t>
    </w:r>
  </w:p>
  <w:p w14:paraId="2FE4D94D" w14:textId="22C51F40" w:rsidR="00AC2606" w:rsidRDefault="00AC2606" w:rsidP="002665D2">
    <w:pPr>
      <w:widowControl w:val="0"/>
      <w:autoSpaceDE w:val="0"/>
      <w:autoSpaceDN w:val="0"/>
      <w:adjustRightInd w:val="0"/>
    </w:pPr>
    <w:r w:rsidRPr="002665D2">
      <w:rPr>
        <w:rFonts w:cs="Arial"/>
        <w:color w:val="000000"/>
        <w:sz w:val="16"/>
        <w:szCs w:val="16"/>
      </w:rPr>
      <w:t xml:space="preserve">For Terms of Use please visit </w:t>
    </w:r>
    <w:hyperlink r:id="rId1" w:history="1">
      <w:r w:rsidRPr="002665D2">
        <w:rPr>
          <w:rFonts w:cs="Arial"/>
          <w:color w:val="000000"/>
          <w:sz w:val="16"/>
          <w:szCs w:val="16"/>
          <w:u w:val="single"/>
        </w:rPr>
        <w:t>www.cap.org/cancerprotocols</w:t>
      </w:r>
    </w:hyperlink>
    <w:r w:rsidRPr="002665D2">
      <w:rPr>
        <w:rFonts w:cs="Arial"/>
        <w:color w:val="000000"/>
        <w:sz w:val="16"/>
        <w:szCs w:val="16"/>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3DEB2" w14:textId="77777777" w:rsidR="00AC2606" w:rsidRDefault="00AC260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44234C46" w14:textId="77777777" w:rsidR="00AC2606" w:rsidRDefault="00AC2606">
    <w:pPr>
      <w:pStyle w:val="Footer"/>
      <w:ind w:right="360" w:firstLine="360"/>
      <w:jc w:val="right"/>
    </w:pPr>
    <w:r>
      <w:rPr>
        <w:sz w:val="18"/>
      </w:rPr>
      <w:t xml:space="preserve">* Data elements </w:t>
    </w:r>
    <w:r>
      <w:rPr>
        <w:b/>
        <w:i/>
        <w:sz w:val="18"/>
      </w:rPr>
      <w:t>with asterisks</w:t>
    </w:r>
    <w:r>
      <w:rPr>
        <w:sz w:val="18"/>
      </w:rPr>
      <w:t xml:space="preserve"> are </w:t>
    </w:r>
    <w:r>
      <w:rPr>
        <w:b/>
        <w:i/>
        <w:sz w:val="18"/>
      </w:rPr>
      <w:t>not required</w:t>
    </w:r>
    <w:r>
      <w:rPr>
        <w:sz w:val="18"/>
      </w:rPr>
      <w:t xml:space="preserve"> for accreditation purposes for</w:t>
    </w:r>
    <w:r>
      <w:rPr>
        <w:sz w:val="18"/>
      </w:rPr>
      <w:br/>
      <w:t>the Commission on Cancer. These elements may be clinically important,</w:t>
    </w:r>
    <w:r>
      <w:rPr>
        <w:sz w:val="18"/>
      </w:rPr>
      <w:br/>
      <w:t>but are not yet validated or regularly used in patient management.</w:t>
    </w:r>
    <w:r>
      <w:rPr>
        <w:sz w:val="18"/>
      </w:rPr>
      <w:br/>
      <w:t>Alternatively, the necessary data may not be available to the pathologist</w:t>
    </w:r>
    <w:r>
      <w:rPr>
        <w:sz w:val="18"/>
      </w:rPr>
      <w:br/>
      <w:t>at the time of pathologic assessment of this specimen.</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2C1CCD" w14:textId="77777777" w:rsidR="00AC2606" w:rsidRDefault="00AC260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C7B1F">
      <w:rPr>
        <w:rStyle w:val="PageNumber"/>
        <w:noProof/>
      </w:rPr>
      <w:t>2</w:t>
    </w:r>
    <w:r>
      <w:rPr>
        <w:rStyle w:val="PageNumber"/>
      </w:rPr>
      <w:fldChar w:fldCharType="end"/>
    </w:r>
  </w:p>
  <w:p w14:paraId="5659B817" w14:textId="1BECBB1E" w:rsidR="00AC2606" w:rsidRPr="00B33E64" w:rsidRDefault="00AC2606" w:rsidP="0014015F">
    <w:pPr>
      <w:rPr>
        <w:sz w:val="16"/>
        <w:szCs w:val="16"/>
      </w:rPr>
    </w:pPr>
    <w:r w:rsidRPr="007721CD">
      <w:rPr>
        <w:rFonts w:cs="Arial"/>
        <w:sz w:val="16"/>
        <w:szCs w:val="16"/>
      </w:rPr>
      <w:t>The routinely reported core data elements are bolded.</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F2695A" w14:textId="77777777" w:rsidR="00AC2606" w:rsidRDefault="00AC2606" w:rsidP="0018204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68C07384" w14:textId="77777777" w:rsidR="00AC2606" w:rsidRDefault="00AC2606">
    <w:pPr>
      <w:pStyle w:val="Footer"/>
      <w:ind w:right="360" w:firstLine="360"/>
      <w:jc w:val="righ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F26E23" w14:textId="77777777" w:rsidR="00AC2606" w:rsidRPr="007E3FA3" w:rsidRDefault="00AC2606" w:rsidP="00182043">
    <w:pPr>
      <w:pStyle w:val="Footer"/>
      <w:framePr w:wrap="around" w:vAnchor="text" w:hAnchor="margin" w:xAlign="right" w:y="1"/>
      <w:rPr>
        <w:rStyle w:val="PageNumber"/>
      </w:rPr>
    </w:pPr>
    <w:r w:rsidRPr="007E3FA3">
      <w:rPr>
        <w:rStyle w:val="PageNumber"/>
      </w:rPr>
      <w:fldChar w:fldCharType="begin"/>
    </w:r>
    <w:r w:rsidRPr="007E3FA3">
      <w:rPr>
        <w:rStyle w:val="PageNumber"/>
      </w:rPr>
      <w:instrText xml:space="preserve">PAGE  </w:instrText>
    </w:r>
    <w:r w:rsidRPr="007E3FA3">
      <w:rPr>
        <w:rStyle w:val="PageNumber"/>
      </w:rPr>
      <w:fldChar w:fldCharType="separate"/>
    </w:r>
    <w:r w:rsidR="009C7B1F">
      <w:rPr>
        <w:rStyle w:val="PageNumber"/>
        <w:noProof/>
      </w:rPr>
      <w:t>6</w:t>
    </w:r>
    <w:r w:rsidRPr="007E3FA3">
      <w:rPr>
        <w:rStyle w:val="PageNumber"/>
      </w:rPr>
      <w:fldChar w:fldCharType="end"/>
    </w:r>
  </w:p>
  <w:p w14:paraId="1F782795" w14:textId="77777777" w:rsidR="00AC2606" w:rsidRDefault="00AC2606">
    <w:pPr>
      <w:pStyle w:val="BodyTextIndent"/>
      <w:ind w:left="180" w:right="360" w:firstLine="360"/>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43DE5F" w14:textId="77777777" w:rsidR="0014015F" w:rsidRDefault="0014015F">
      <w:r>
        <w:separator/>
      </w:r>
    </w:p>
  </w:footnote>
  <w:footnote w:type="continuationSeparator" w:id="0">
    <w:p w14:paraId="3EABD48F" w14:textId="77777777" w:rsidR="0014015F" w:rsidRDefault="0014015F">
      <w:r>
        <w:continuationSeparator/>
      </w:r>
    </w:p>
  </w:footnote>
  <w:footnote w:type="continuationNotice" w:id="1">
    <w:p w14:paraId="48BBDFE2" w14:textId="77777777" w:rsidR="0014015F" w:rsidRDefault="0014015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1A505D" w14:textId="77777777" w:rsidR="00AC2606" w:rsidRDefault="00AC2606">
    <w:pPr>
      <w:pStyle w:val="Header"/>
    </w:pPr>
    <w:r>
      <w:t>PNET/ Ewing Sarcoma • Pediatric; Other</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59FC3" w14:textId="77777777" w:rsidR="00AC2606" w:rsidRPr="00B33E64" w:rsidRDefault="00AC2606" w:rsidP="00B33E64">
    <w:pPr>
      <w:pStyle w:val="Header"/>
      <w:tabs>
        <w:tab w:val="clear" w:pos="8640"/>
        <w:tab w:val="right" w:pos="10080"/>
      </w:tabs>
    </w:pPr>
    <w:r w:rsidRPr="00B33E64">
      <w:tab/>
      <w:t>Pediatric • Ewing Sarcoma</w:t>
    </w:r>
  </w:p>
  <w:p w14:paraId="034EDAA1" w14:textId="77777777" w:rsidR="00AC2606" w:rsidRPr="00B33E64" w:rsidRDefault="00AC2606" w:rsidP="00182043">
    <w:pPr>
      <w:pStyle w:val="Header"/>
      <w:jc w:val="right"/>
      <w:rPr>
        <w:b w:val="0"/>
        <w:sz w:val="18"/>
        <w:szCs w:val="18"/>
      </w:rPr>
    </w:pPr>
    <w:r w:rsidRPr="00B33E64">
      <w:rPr>
        <w:rFonts w:cs="Verdana"/>
        <w:b w:val="0"/>
        <w:sz w:val="18"/>
        <w:szCs w:val="18"/>
      </w:rPr>
      <w:t>EwingSarcoma 3.</w:t>
    </w:r>
    <w:r>
      <w:rPr>
        <w:rFonts w:cs="Verdana"/>
        <w:b w:val="0"/>
        <w:sz w:val="18"/>
        <w:szCs w:val="18"/>
      </w:rPr>
      <w:t>2</w:t>
    </w:r>
    <w:r w:rsidRPr="00B33E64">
      <w:rPr>
        <w:rFonts w:cs="Verdana"/>
        <w:b w:val="0"/>
        <w:sz w:val="18"/>
        <w:szCs w:val="18"/>
      </w:rPr>
      <w:t>.0.</w:t>
    </w:r>
    <w:r>
      <w:rPr>
        <w:rFonts w:cs="Verdana"/>
        <w:b w:val="0"/>
        <w:sz w:val="18"/>
        <w:szCs w:val="18"/>
      </w:rPr>
      <w:t>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8E53A" w14:textId="39E7FF53" w:rsidR="00AC2606" w:rsidRDefault="00AC2606">
    <w:pPr>
      <w:pStyle w:val="Header"/>
    </w:pPr>
    <w:r>
      <w:rPr>
        <w:noProof/>
      </w:rPr>
      <w:drawing>
        <wp:inline distT="0" distB="0" distL="0" distR="0" wp14:anchorId="10CE98FB" wp14:editId="293A6B00">
          <wp:extent cx="2914650" cy="504825"/>
          <wp:effectExtent l="0" t="0" r="0" b="9525"/>
          <wp:docPr id="1" name="Picture 1" descr="Macintosh HD:Users:ctursky:Documents:CT_Publications:CAP_Logo_2015:CAP_logo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tursky:Documents:CT_Publications:CAP_Logo_2015:CAP_logo_cmy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14650" cy="504825"/>
                  </a:xfrm>
                  <a:prstGeom prst="rect">
                    <a:avLst/>
                  </a:prstGeom>
                  <a:noFill/>
                  <a:ln>
                    <a:noFill/>
                  </a:ln>
                </pic:spPr>
              </pic:pic>
            </a:graphicData>
          </a:graphic>
        </wp:inline>
      </w:drawing>
    </w:r>
  </w:p>
  <w:p w14:paraId="66F18246" w14:textId="77777777" w:rsidR="00AC2606" w:rsidRPr="006D18E6" w:rsidRDefault="00AC2606">
    <w:pPr>
      <w:pStyle w:val="Header"/>
      <w:rPr>
        <w:sz w:val="48"/>
        <w:szCs w:val="4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618C2A" w14:textId="77777777" w:rsidR="00AC2606" w:rsidRDefault="00AC2606">
    <w:pPr>
      <w:pStyle w:val="Header"/>
    </w:pPr>
    <w:r>
      <w:t>PNET / Ewing Sarcoma • Pediatric; Other</w:t>
    </w:r>
    <w:r>
      <w:tab/>
      <w:t>CAP Approved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85BA6" w14:textId="1400EB9F" w:rsidR="00AC2606" w:rsidRPr="00B33E64" w:rsidRDefault="00AC2606" w:rsidP="00B33E64">
    <w:pPr>
      <w:pStyle w:val="Header"/>
      <w:tabs>
        <w:tab w:val="clear" w:pos="8640"/>
        <w:tab w:val="right" w:pos="10080"/>
      </w:tabs>
    </w:pPr>
    <w:r w:rsidRPr="00B33E64">
      <w:t>CAP Approved</w:t>
    </w:r>
    <w:r w:rsidRPr="00B33E64">
      <w:tab/>
      <w:t>Pediatric • Ewing Sarcoma</w:t>
    </w:r>
    <w:r>
      <w:t xml:space="preserve"> 4.0.0.0</w:t>
    </w:r>
  </w:p>
  <w:p w14:paraId="6BB0C758" w14:textId="7237A42E" w:rsidR="00AC2606" w:rsidRPr="00716C4E" w:rsidRDefault="00AC2606" w:rsidP="00182043">
    <w:pPr>
      <w:pStyle w:val="Header"/>
      <w:jc w:val="right"/>
      <w:rPr>
        <w:sz w:val="18"/>
        <w:szCs w:val="18"/>
      </w:rPr>
    </w:pPr>
    <w:r w:rsidRPr="00716C4E">
      <w:rPr>
        <w:rFonts w:cs="Verdana"/>
        <w:sz w:val="18"/>
        <w:szCs w:val="18"/>
      </w:rPr>
      <w:t>Biopsy</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A7B4C3" w14:textId="77777777" w:rsidR="00AC2606" w:rsidRDefault="00AC2606">
    <w:pPr>
      <w:pStyle w:val="Header"/>
    </w:pPr>
    <w:r>
      <w:t>PNET / Ewing Sarcoma • Pediatric; Other</w:t>
    </w:r>
    <w:r>
      <w:tab/>
      <w:t>For Information Only</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050A63" w14:textId="50EE29E6" w:rsidR="00AC2606" w:rsidRPr="00B33E64" w:rsidRDefault="00AC2606" w:rsidP="00B33E64">
    <w:pPr>
      <w:pStyle w:val="Header"/>
      <w:tabs>
        <w:tab w:val="clear" w:pos="8640"/>
        <w:tab w:val="right" w:pos="10080"/>
      </w:tabs>
    </w:pPr>
    <w:r w:rsidRPr="00B33E64">
      <w:t>Background Documentation</w:t>
    </w:r>
    <w:r w:rsidRPr="00B33E64">
      <w:tab/>
      <w:t>Pediatric • Ewing Sarcoma</w:t>
    </w:r>
    <w:r>
      <w:t xml:space="preserve"> 4.0.0.0</w:t>
    </w:r>
  </w:p>
  <w:p w14:paraId="676C33D5" w14:textId="26AFF39F" w:rsidR="00AC2606" w:rsidRPr="00716C4E" w:rsidRDefault="00AC2606" w:rsidP="00182043">
    <w:pPr>
      <w:pStyle w:val="Header"/>
      <w:jc w:val="right"/>
      <w:rPr>
        <w:sz w:val="18"/>
        <w:szCs w:val="18"/>
      </w:rPr>
    </w:pPr>
    <w:r w:rsidRPr="00716C4E">
      <w:rPr>
        <w:rFonts w:cs="Verdana"/>
        <w:sz w:val="18"/>
        <w:szCs w:val="18"/>
      </w:rPr>
      <w:t>Biopsy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B9CE5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335F4C"/>
    <w:multiLevelType w:val="singleLevel"/>
    <w:tmpl w:val="9886CEE0"/>
    <w:lvl w:ilvl="0">
      <w:start w:val="2"/>
      <w:numFmt w:val="upperLetter"/>
      <w:pStyle w:val="Heading7"/>
      <w:lvlText w:val="%1."/>
      <w:lvlJc w:val="left"/>
      <w:pPr>
        <w:tabs>
          <w:tab w:val="num" w:pos="360"/>
        </w:tabs>
        <w:ind w:left="360" w:hanging="360"/>
      </w:pPr>
      <w:rPr>
        <w:rFonts w:hint="default"/>
      </w:rPr>
    </w:lvl>
  </w:abstractNum>
  <w:abstractNum w:abstractNumId="2" w15:restartNumberingAfterBreak="0">
    <w:nsid w:val="0E4B0261"/>
    <w:multiLevelType w:val="hybridMultilevel"/>
    <w:tmpl w:val="3B94F9D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B178D5"/>
    <w:multiLevelType w:val="singleLevel"/>
    <w:tmpl w:val="4D6A5364"/>
    <w:lvl w:ilvl="0">
      <w:start w:val="1"/>
      <w:numFmt w:val="decimal"/>
      <w:lvlText w:val="%1."/>
      <w:lvlJc w:val="left"/>
      <w:pPr>
        <w:tabs>
          <w:tab w:val="num" w:pos="450"/>
        </w:tabs>
        <w:ind w:left="450" w:hanging="450"/>
      </w:pPr>
      <w:rPr>
        <w:rFonts w:hint="default"/>
      </w:rPr>
    </w:lvl>
  </w:abstractNum>
  <w:abstractNum w:abstractNumId="4" w15:restartNumberingAfterBreak="0">
    <w:nsid w:val="35C44E9D"/>
    <w:multiLevelType w:val="singleLevel"/>
    <w:tmpl w:val="4D6A5364"/>
    <w:lvl w:ilvl="0">
      <w:start w:val="1"/>
      <w:numFmt w:val="decimal"/>
      <w:lvlText w:val="%1."/>
      <w:lvlJc w:val="left"/>
      <w:pPr>
        <w:tabs>
          <w:tab w:val="num" w:pos="450"/>
        </w:tabs>
        <w:ind w:left="450" w:hanging="450"/>
      </w:pPr>
      <w:rPr>
        <w:rFonts w:hint="default"/>
      </w:rPr>
    </w:lvl>
  </w:abstractNum>
  <w:abstractNum w:abstractNumId="5" w15:restartNumberingAfterBreak="0">
    <w:nsid w:val="400C3B7D"/>
    <w:multiLevelType w:val="singleLevel"/>
    <w:tmpl w:val="4D6A5364"/>
    <w:lvl w:ilvl="0">
      <w:start w:val="1"/>
      <w:numFmt w:val="decimal"/>
      <w:lvlText w:val="%1."/>
      <w:lvlJc w:val="left"/>
      <w:pPr>
        <w:tabs>
          <w:tab w:val="num" w:pos="450"/>
        </w:tabs>
        <w:ind w:left="450" w:hanging="450"/>
      </w:pPr>
      <w:rPr>
        <w:rFonts w:hint="default"/>
      </w:rPr>
    </w:lvl>
  </w:abstractNum>
  <w:abstractNum w:abstractNumId="6" w15:restartNumberingAfterBreak="0">
    <w:nsid w:val="43387F5A"/>
    <w:multiLevelType w:val="hybridMultilevel"/>
    <w:tmpl w:val="D092F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386389"/>
    <w:multiLevelType w:val="hybridMultilevel"/>
    <w:tmpl w:val="AFAE5B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8" w15:restartNumberingAfterBreak="0">
    <w:nsid w:val="6AD408A6"/>
    <w:multiLevelType w:val="singleLevel"/>
    <w:tmpl w:val="4D6A5364"/>
    <w:lvl w:ilvl="0">
      <w:start w:val="1"/>
      <w:numFmt w:val="decimal"/>
      <w:lvlText w:val="%1."/>
      <w:lvlJc w:val="left"/>
      <w:pPr>
        <w:tabs>
          <w:tab w:val="num" w:pos="450"/>
        </w:tabs>
        <w:ind w:left="450" w:hanging="450"/>
      </w:pPr>
      <w:rPr>
        <w:rFonts w:hint="default"/>
      </w:rPr>
    </w:lvl>
  </w:abstractNum>
  <w:abstractNum w:abstractNumId="9" w15:restartNumberingAfterBreak="0">
    <w:nsid w:val="7A4C10A5"/>
    <w:multiLevelType w:val="singleLevel"/>
    <w:tmpl w:val="4D6A5364"/>
    <w:lvl w:ilvl="0">
      <w:start w:val="1"/>
      <w:numFmt w:val="decimal"/>
      <w:lvlText w:val="%1."/>
      <w:lvlJc w:val="left"/>
      <w:pPr>
        <w:tabs>
          <w:tab w:val="num" w:pos="450"/>
        </w:tabs>
        <w:ind w:left="450" w:hanging="450"/>
      </w:pPr>
      <w:rPr>
        <w:rFonts w:hint="default"/>
      </w:rPr>
    </w:lvl>
  </w:abstractNum>
  <w:num w:numId="1">
    <w:abstractNumId w:val="1"/>
  </w:num>
  <w:num w:numId="2">
    <w:abstractNumId w:val="4"/>
  </w:num>
  <w:num w:numId="3">
    <w:abstractNumId w:val="2"/>
  </w:num>
  <w:num w:numId="4">
    <w:abstractNumId w:val="6"/>
  </w:num>
  <w:num w:numId="5">
    <w:abstractNumId w:val="0"/>
  </w:num>
  <w:num w:numId="6">
    <w:abstractNumId w:val="7"/>
  </w:num>
  <w:num w:numId="7">
    <w:abstractNumId w:val="9"/>
  </w:num>
  <w:num w:numId="8">
    <w:abstractNumId w:val="3"/>
  </w:num>
  <w:num w:numId="9">
    <w:abstractNumId w:val="5"/>
  </w:num>
  <w:num w:numId="10">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6625"/>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6713"/>
    <w:rsid w:val="00000734"/>
    <w:rsid w:val="00005269"/>
    <w:rsid w:val="00007630"/>
    <w:rsid w:val="00011246"/>
    <w:rsid w:val="00017D07"/>
    <w:rsid w:val="00023B7D"/>
    <w:rsid w:val="00032D44"/>
    <w:rsid w:val="00040560"/>
    <w:rsid w:val="00047239"/>
    <w:rsid w:val="00050C2A"/>
    <w:rsid w:val="00065662"/>
    <w:rsid w:val="00066B18"/>
    <w:rsid w:val="00066C5B"/>
    <w:rsid w:val="00067F62"/>
    <w:rsid w:val="00082391"/>
    <w:rsid w:val="000827B3"/>
    <w:rsid w:val="00083F89"/>
    <w:rsid w:val="00087A3F"/>
    <w:rsid w:val="000974FE"/>
    <w:rsid w:val="000A1160"/>
    <w:rsid w:val="000A6D0E"/>
    <w:rsid w:val="000A70A3"/>
    <w:rsid w:val="000C6753"/>
    <w:rsid w:val="000C6A08"/>
    <w:rsid w:val="000F0E49"/>
    <w:rsid w:val="000F76B3"/>
    <w:rsid w:val="001016E9"/>
    <w:rsid w:val="0011269F"/>
    <w:rsid w:val="00113E5B"/>
    <w:rsid w:val="0011595E"/>
    <w:rsid w:val="001235C4"/>
    <w:rsid w:val="00124FE0"/>
    <w:rsid w:val="00134FA7"/>
    <w:rsid w:val="00135DA3"/>
    <w:rsid w:val="0014015F"/>
    <w:rsid w:val="00140DDC"/>
    <w:rsid w:val="001449C0"/>
    <w:rsid w:val="00153F40"/>
    <w:rsid w:val="00160172"/>
    <w:rsid w:val="00161141"/>
    <w:rsid w:val="00173C8F"/>
    <w:rsid w:val="00175A99"/>
    <w:rsid w:val="00176D6C"/>
    <w:rsid w:val="00182043"/>
    <w:rsid w:val="0018798F"/>
    <w:rsid w:val="001907A0"/>
    <w:rsid w:val="00192E24"/>
    <w:rsid w:val="001950A4"/>
    <w:rsid w:val="0019664E"/>
    <w:rsid w:val="001A2FE0"/>
    <w:rsid w:val="001C29DB"/>
    <w:rsid w:val="001C489E"/>
    <w:rsid w:val="001C6A4A"/>
    <w:rsid w:val="001D12FC"/>
    <w:rsid w:val="001D3A11"/>
    <w:rsid w:val="001E1451"/>
    <w:rsid w:val="001E579C"/>
    <w:rsid w:val="001F57A8"/>
    <w:rsid w:val="00203395"/>
    <w:rsid w:val="00207680"/>
    <w:rsid w:val="00213DCE"/>
    <w:rsid w:val="00221E90"/>
    <w:rsid w:val="00222B7C"/>
    <w:rsid w:val="00233970"/>
    <w:rsid w:val="00234940"/>
    <w:rsid w:val="002530CF"/>
    <w:rsid w:val="0025690F"/>
    <w:rsid w:val="00261424"/>
    <w:rsid w:val="00263A40"/>
    <w:rsid w:val="002665D2"/>
    <w:rsid w:val="00270E5F"/>
    <w:rsid w:val="0027158A"/>
    <w:rsid w:val="0027216C"/>
    <w:rsid w:val="00282699"/>
    <w:rsid w:val="00286DBB"/>
    <w:rsid w:val="002968D0"/>
    <w:rsid w:val="002A09E4"/>
    <w:rsid w:val="002B1D88"/>
    <w:rsid w:val="002C3B88"/>
    <w:rsid w:val="002C4853"/>
    <w:rsid w:val="002D135F"/>
    <w:rsid w:val="002E128F"/>
    <w:rsid w:val="002E236F"/>
    <w:rsid w:val="002E2DA3"/>
    <w:rsid w:val="002F0AB6"/>
    <w:rsid w:val="002F11E6"/>
    <w:rsid w:val="002F5D24"/>
    <w:rsid w:val="002F6B4F"/>
    <w:rsid w:val="003029A5"/>
    <w:rsid w:val="00307103"/>
    <w:rsid w:val="0031732E"/>
    <w:rsid w:val="003178B7"/>
    <w:rsid w:val="00320764"/>
    <w:rsid w:val="003366EB"/>
    <w:rsid w:val="00336A4D"/>
    <w:rsid w:val="00343442"/>
    <w:rsid w:val="00346032"/>
    <w:rsid w:val="00356FD4"/>
    <w:rsid w:val="00363C94"/>
    <w:rsid w:val="00371155"/>
    <w:rsid w:val="00373978"/>
    <w:rsid w:val="00380465"/>
    <w:rsid w:val="00386071"/>
    <w:rsid w:val="00387A3C"/>
    <w:rsid w:val="00391D09"/>
    <w:rsid w:val="003B02EA"/>
    <w:rsid w:val="003B5561"/>
    <w:rsid w:val="003D7383"/>
    <w:rsid w:val="003E7958"/>
    <w:rsid w:val="004059CB"/>
    <w:rsid w:val="0041140F"/>
    <w:rsid w:val="004118C0"/>
    <w:rsid w:val="00412086"/>
    <w:rsid w:val="00413329"/>
    <w:rsid w:val="004173F2"/>
    <w:rsid w:val="00421F8B"/>
    <w:rsid w:val="004257CD"/>
    <w:rsid w:val="0043329D"/>
    <w:rsid w:val="004359DF"/>
    <w:rsid w:val="00443932"/>
    <w:rsid w:val="004540FA"/>
    <w:rsid w:val="0045429C"/>
    <w:rsid w:val="00455545"/>
    <w:rsid w:val="004570AC"/>
    <w:rsid w:val="00465F22"/>
    <w:rsid w:val="004667CA"/>
    <w:rsid w:val="004670A5"/>
    <w:rsid w:val="0047161E"/>
    <w:rsid w:val="00481336"/>
    <w:rsid w:val="00481C7C"/>
    <w:rsid w:val="00484DFD"/>
    <w:rsid w:val="004904AA"/>
    <w:rsid w:val="004914CA"/>
    <w:rsid w:val="004921D1"/>
    <w:rsid w:val="004930A4"/>
    <w:rsid w:val="004B27E8"/>
    <w:rsid w:val="004B4CEA"/>
    <w:rsid w:val="004C15F7"/>
    <w:rsid w:val="004C1C67"/>
    <w:rsid w:val="004C53D4"/>
    <w:rsid w:val="004D14FC"/>
    <w:rsid w:val="004D3E93"/>
    <w:rsid w:val="004E247A"/>
    <w:rsid w:val="004F0615"/>
    <w:rsid w:val="004F6434"/>
    <w:rsid w:val="004F650F"/>
    <w:rsid w:val="00502E8D"/>
    <w:rsid w:val="00503E3F"/>
    <w:rsid w:val="0050723D"/>
    <w:rsid w:val="00507860"/>
    <w:rsid w:val="0051160A"/>
    <w:rsid w:val="00516B95"/>
    <w:rsid w:val="005270D9"/>
    <w:rsid w:val="00527DBA"/>
    <w:rsid w:val="00537124"/>
    <w:rsid w:val="0053799A"/>
    <w:rsid w:val="00551800"/>
    <w:rsid w:val="00555183"/>
    <w:rsid w:val="005638B7"/>
    <w:rsid w:val="00566439"/>
    <w:rsid w:val="00570B38"/>
    <w:rsid w:val="005731CD"/>
    <w:rsid w:val="00584C6F"/>
    <w:rsid w:val="005975C7"/>
    <w:rsid w:val="005A7538"/>
    <w:rsid w:val="005B1B4A"/>
    <w:rsid w:val="005B440A"/>
    <w:rsid w:val="005C0DFE"/>
    <w:rsid w:val="005C67F5"/>
    <w:rsid w:val="005E04C7"/>
    <w:rsid w:val="005E12E8"/>
    <w:rsid w:val="005F18D9"/>
    <w:rsid w:val="00610262"/>
    <w:rsid w:val="0062219D"/>
    <w:rsid w:val="0062289F"/>
    <w:rsid w:val="00643047"/>
    <w:rsid w:val="00656640"/>
    <w:rsid w:val="00664FF2"/>
    <w:rsid w:val="0066508A"/>
    <w:rsid w:val="00672735"/>
    <w:rsid w:val="006811E8"/>
    <w:rsid w:val="006A4DE1"/>
    <w:rsid w:val="006B23C8"/>
    <w:rsid w:val="006B2F3B"/>
    <w:rsid w:val="006B5D0C"/>
    <w:rsid w:val="006C10A5"/>
    <w:rsid w:val="006C1604"/>
    <w:rsid w:val="006D18E6"/>
    <w:rsid w:val="006E74BB"/>
    <w:rsid w:val="006F3F6C"/>
    <w:rsid w:val="006F535B"/>
    <w:rsid w:val="00703CCD"/>
    <w:rsid w:val="00712C1C"/>
    <w:rsid w:val="007130A6"/>
    <w:rsid w:val="0071326E"/>
    <w:rsid w:val="007154DE"/>
    <w:rsid w:val="00716C4E"/>
    <w:rsid w:val="00717404"/>
    <w:rsid w:val="00724C39"/>
    <w:rsid w:val="00727EC8"/>
    <w:rsid w:val="00732E8E"/>
    <w:rsid w:val="00732FE2"/>
    <w:rsid w:val="00734728"/>
    <w:rsid w:val="00737E67"/>
    <w:rsid w:val="00743178"/>
    <w:rsid w:val="00747D9E"/>
    <w:rsid w:val="00792FA2"/>
    <w:rsid w:val="007954F9"/>
    <w:rsid w:val="007A08EB"/>
    <w:rsid w:val="007C1A7B"/>
    <w:rsid w:val="007C4493"/>
    <w:rsid w:val="007C45E8"/>
    <w:rsid w:val="007C4F11"/>
    <w:rsid w:val="007D129E"/>
    <w:rsid w:val="007D2C3C"/>
    <w:rsid w:val="007D7850"/>
    <w:rsid w:val="007E3FA3"/>
    <w:rsid w:val="007F03DB"/>
    <w:rsid w:val="007F3586"/>
    <w:rsid w:val="007F58FE"/>
    <w:rsid w:val="007F7AF0"/>
    <w:rsid w:val="00811A8B"/>
    <w:rsid w:val="0081669E"/>
    <w:rsid w:val="00825687"/>
    <w:rsid w:val="00827FD7"/>
    <w:rsid w:val="00830FF7"/>
    <w:rsid w:val="00833052"/>
    <w:rsid w:val="008333F5"/>
    <w:rsid w:val="00834EA7"/>
    <w:rsid w:val="00835468"/>
    <w:rsid w:val="0083742A"/>
    <w:rsid w:val="008400AF"/>
    <w:rsid w:val="00847ABB"/>
    <w:rsid w:val="00852205"/>
    <w:rsid w:val="00852B99"/>
    <w:rsid w:val="00852B9D"/>
    <w:rsid w:val="00853F44"/>
    <w:rsid w:val="00857824"/>
    <w:rsid w:val="00863741"/>
    <w:rsid w:val="0086469A"/>
    <w:rsid w:val="0087106B"/>
    <w:rsid w:val="00871173"/>
    <w:rsid w:val="0087256D"/>
    <w:rsid w:val="0088182C"/>
    <w:rsid w:val="008821B4"/>
    <w:rsid w:val="00882903"/>
    <w:rsid w:val="00886A8A"/>
    <w:rsid w:val="0089127C"/>
    <w:rsid w:val="008913E4"/>
    <w:rsid w:val="00892BD6"/>
    <w:rsid w:val="008A13BF"/>
    <w:rsid w:val="008A28A5"/>
    <w:rsid w:val="008B20CE"/>
    <w:rsid w:val="008B3FD8"/>
    <w:rsid w:val="008C7A7C"/>
    <w:rsid w:val="008D6C98"/>
    <w:rsid w:val="008F38F2"/>
    <w:rsid w:val="008F3BD1"/>
    <w:rsid w:val="008F3CFD"/>
    <w:rsid w:val="008F57E3"/>
    <w:rsid w:val="008F5D6A"/>
    <w:rsid w:val="00900B68"/>
    <w:rsid w:val="00902091"/>
    <w:rsid w:val="00905351"/>
    <w:rsid w:val="00911290"/>
    <w:rsid w:val="00914314"/>
    <w:rsid w:val="00923213"/>
    <w:rsid w:val="00931842"/>
    <w:rsid w:val="00945BB3"/>
    <w:rsid w:val="00961103"/>
    <w:rsid w:val="00962FCB"/>
    <w:rsid w:val="00966779"/>
    <w:rsid w:val="00966A18"/>
    <w:rsid w:val="00974094"/>
    <w:rsid w:val="00982605"/>
    <w:rsid w:val="009846E7"/>
    <w:rsid w:val="00990937"/>
    <w:rsid w:val="00997C81"/>
    <w:rsid w:val="00997FEB"/>
    <w:rsid w:val="009B3DA8"/>
    <w:rsid w:val="009B3F5A"/>
    <w:rsid w:val="009C516B"/>
    <w:rsid w:val="009C7B1F"/>
    <w:rsid w:val="009D7187"/>
    <w:rsid w:val="009E081B"/>
    <w:rsid w:val="009E516A"/>
    <w:rsid w:val="009F1E75"/>
    <w:rsid w:val="00A21874"/>
    <w:rsid w:val="00A228EE"/>
    <w:rsid w:val="00A24C63"/>
    <w:rsid w:val="00A25174"/>
    <w:rsid w:val="00A27B85"/>
    <w:rsid w:val="00A35F5F"/>
    <w:rsid w:val="00A36148"/>
    <w:rsid w:val="00A42C0A"/>
    <w:rsid w:val="00A43E4D"/>
    <w:rsid w:val="00A44D27"/>
    <w:rsid w:val="00A46060"/>
    <w:rsid w:val="00A5669E"/>
    <w:rsid w:val="00A618B3"/>
    <w:rsid w:val="00A62260"/>
    <w:rsid w:val="00A67030"/>
    <w:rsid w:val="00A679D0"/>
    <w:rsid w:val="00A76EE2"/>
    <w:rsid w:val="00A82E6E"/>
    <w:rsid w:val="00A85F73"/>
    <w:rsid w:val="00AB21B3"/>
    <w:rsid w:val="00AC0E46"/>
    <w:rsid w:val="00AC2606"/>
    <w:rsid w:val="00AC28A6"/>
    <w:rsid w:val="00AC55A0"/>
    <w:rsid w:val="00AC6973"/>
    <w:rsid w:val="00AE1F14"/>
    <w:rsid w:val="00AF3C91"/>
    <w:rsid w:val="00AF404A"/>
    <w:rsid w:val="00B020DA"/>
    <w:rsid w:val="00B06713"/>
    <w:rsid w:val="00B300F0"/>
    <w:rsid w:val="00B33E64"/>
    <w:rsid w:val="00B368CC"/>
    <w:rsid w:val="00B521E9"/>
    <w:rsid w:val="00B77B4C"/>
    <w:rsid w:val="00B8394B"/>
    <w:rsid w:val="00B94594"/>
    <w:rsid w:val="00B9698A"/>
    <w:rsid w:val="00BA4A6A"/>
    <w:rsid w:val="00BA6D43"/>
    <w:rsid w:val="00BB30CA"/>
    <w:rsid w:val="00BB7FA8"/>
    <w:rsid w:val="00BC03F0"/>
    <w:rsid w:val="00BC13B3"/>
    <w:rsid w:val="00BC6226"/>
    <w:rsid w:val="00BD15F0"/>
    <w:rsid w:val="00BD163D"/>
    <w:rsid w:val="00BD24BC"/>
    <w:rsid w:val="00BD680D"/>
    <w:rsid w:val="00BD780D"/>
    <w:rsid w:val="00BE6E7A"/>
    <w:rsid w:val="00BF4AAF"/>
    <w:rsid w:val="00BF5E4B"/>
    <w:rsid w:val="00BF6895"/>
    <w:rsid w:val="00BF6A00"/>
    <w:rsid w:val="00C0073D"/>
    <w:rsid w:val="00C0186C"/>
    <w:rsid w:val="00C05AD6"/>
    <w:rsid w:val="00C07384"/>
    <w:rsid w:val="00C2415F"/>
    <w:rsid w:val="00C24D58"/>
    <w:rsid w:val="00C253A0"/>
    <w:rsid w:val="00C36D10"/>
    <w:rsid w:val="00C46C06"/>
    <w:rsid w:val="00C5263C"/>
    <w:rsid w:val="00C52D1A"/>
    <w:rsid w:val="00C545D1"/>
    <w:rsid w:val="00C56AFB"/>
    <w:rsid w:val="00C63827"/>
    <w:rsid w:val="00C64F08"/>
    <w:rsid w:val="00C6525E"/>
    <w:rsid w:val="00C73154"/>
    <w:rsid w:val="00C73FA1"/>
    <w:rsid w:val="00C74DAA"/>
    <w:rsid w:val="00C75FB9"/>
    <w:rsid w:val="00C813E8"/>
    <w:rsid w:val="00C85203"/>
    <w:rsid w:val="00C95AF3"/>
    <w:rsid w:val="00CA222E"/>
    <w:rsid w:val="00CA5225"/>
    <w:rsid w:val="00CC110C"/>
    <w:rsid w:val="00CC3297"/>
    <w:rsid w:val="00CC3FCB"/>
    <w:rsid w:val="00CC4BAC"/>
    <w:rsid w:val="00CC6BF9"/>
    <w:rsid w:val="00CD32FE"/>
    <w:rsid w:val="00CF2CDB"/>
    <w:rsid w:val="00CF2D89"/>
    <w:rsid w:val="00D0426D"/>
    <w:rsid w:val="00D1419E"/>
    <w:rsid w:val="00D2191A"/>
    <w:rsid w:val="00D32A06"/>
    <w:rsid w:val="00D34B2E"/>
    <w:rsid w:val="00D457B5"/>
    <w:rsid w:val="00D500F2"/>
    <w:rsid w:val="00D577C2"/>
    <w:rsid w:val="00D606D1"/>
    <w:rsid w:val="00D6223C"/>
    <w:rsid w:val="00D671DC"/>
    <w:rsid w:val="00D72DA5"/>
    <w:rsid w:val="00D81455"/>
    <w:rsid w:val="00D94BC0"/>
    <w:rsid w:val="00DA3A05"/>
    <w:rsid w:val="00DA49E9"/>
    <w:rsid w:val="00DA5703"/>
    <w:rsid w:val="00DB0AEE"/>
    <w:rsid w:val="00DB120D"/>
    <w:rsid w:val="00DB5B27"/>
    <w:rsid w:val="00DB5E0D"/>
    <w:rsid w:val="00DC30DF"/>
    <w:rsid w:val="00DC6388"/>
    <w:rsid w:val="00DD336E"/>
    <w:rsid w:val="00DD693F"/>
    <w:rsid w:val="00DD714F"/>
    <w:rsid w:val="00DE1063"/>
    <w:rsid w:val="00E14B14"/>
    <w:rsid w:val="00E37B98"/>
    <w:rsid w:val="00E469C8"/>
    <w:rsid w:val="00E527EC"/>
    <w:rsid w:val="00E57193"/>
    <w:rsid w:val="00E64A5F"/>
    <w:rsid w:val="00E71231"/>
    <w:rsid w:val="00E71B80"/>
    <w:rsid w:val="00E72413"/>
    <w:rsid w:val="00E73372"/>
    <w:rsid w:val="00E7677A"/>
    <w:rsid w:val="00E80636"/>
    <w:rsid w:val="00E87273"/>
    <w:rsid w:val="00E91F19"/>
    <w:rsid w:val="00E9765C"/>
    <w:rsid w:val="00EA5DC9"/>
    <w:rsid w:val="00EB27F9"/>
    <w:rsid w:val="00EC53D8"/>
    <w:rsid w:val="00EC631C"/>
    <w:rsid w:val="00ED43F7"/>
    <w:rsid w:val="00EE2BAB"/>
    <w:rsid w:val="00EF1439"/>
    <w:rsid w:val="00EF5D4D"/>
    <w:rsid w:val="00F0706A"/>
    <w:rsid w:val="00F16D76"/>
    <w:rsid w:val="00F20DAF"/>
    <w:rsid w:val="00F24CA0"/>
    <w:rsid w:val="00F25EE1"/>
    <w:rsid w:val="00F27BB3"/>
    <w:rsid w:val="00F35AAD"/>
    <w:rsid w:val="00F40BF5"/>
    <w:rsid w:val="00F40DA4"/>
    <w:rsid w:val="00F418D2"/>
    <w:rsid w:val="00F42EC5"/>
    <w:rsid w:val="00F45C64"/>
    <w:rsid w:val="00F56E42"/>
    <w:rsid w:val="00F64CAF"/>
    <w:rsid w:val="00F71A83"/>
    <w:rsid w:val="00F7337E"/>
    <w:rsid w:val="00F7534E"/>
    <w:rsid w:val="00F8014F"/>
    <w:rsid w:val="00F81ACA"/>
    <w:rsid w:val="00FA13BB"/>
    <w:rsid w:val="00FA44F6"/>
    <w:rsid w:val="00FA4B7D"/>
    <w:rsid w:val="00FA6E71"/>
    <w:rsid w:val="00FA6EF7"/>
    <w:rsid w:val="00FB2B49"/>
    <w:rsid w:val="00FB7C36"/>
    <w:rsid w:val="00FB7F41"/>
    <w:rsid w:val="00FC332B"/>
    <w:rsid w:val="00FD22A9"/>
    <w:rsid w:val="00FD69AE"/>
    <w:rsid w:val="00FE22D5"/>
    <w:rsid w:val="00FE495D"/>
    <w:rsid w:val="00FF0697"/>
    <w:rsid w:val="00FF2F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5"/>
    <o:shapelayout v:ext="edit">
      <o:idmap v:ext="edit" data="1"/>
    </o:shapelayout>
  </w:shapeDefaults>
  <w:decimalSymbol w:val="."/>
  <w:listSeparator w:val=","/>
  <w14:docId w14:val="5F9ECA9B"/>
  <w15:docId w15:val="{DDCC1063-4B5A-495D-897D-7CC98B6AB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20DAF"/>
    <w:rPr>
      <w:rFonts w:ascii="Arial" w:hAnsi="Arial"/>
    </w:rPr>
  </w:style>
  <w:style w:type="paragraph" w:styleId="Heading1">
    <w:name w:val="heading 1"/>
    <w:basedOn w:val="Normal"/>
    <w:next w:val="Normal"/>
    <w:qFormat/>
    <w:rsid w:val="00F20DAF"/>
    <w:pPr>
      <w:tabs>
        <w:tab w:val="left" w:pos="360"/>
      </w:tabs>
      <w:outlineLvl w:val="0"/>
    </w:pPr>
    <w:rPr>
      <w:b/>
      <w:kern w:val="28"/>
    </w:rPr>
  </w:style>
  <w:style w:type="paragraph" w:styleId="Heading2">
    <w:name w:val="heading 2"/>
    <w:basedOn w:val="Normal"/>
    <w:next w:val="Normal"/>
    <w:qFormat/>
    <w:rsid w:val="00F20DAF"/>
    <w:pPr>
      <w:keepNext/>
      <w:tabs>
        <w:tab w:val="left" w:pos="360"/>
      </w:tabs>
      <w:outlineLvl w:val="1"/>
    </w:pPr>
    <w:rPr>
      <w:b/>
    </w:rPr>
  </w:style>
  <w:style w:type="paragraph" w:styleId="Heading3">
    <w:name w:val="heading 3"/>
    <w:basedOn w:val="Normal"/>
    <w:next w:val="Normal"/>
    <w:qFormat/>
    <w:rsid w:val="00F20DAF"/>
    <w:pPr>
      <w:keepNext/>
      <w:outlineLvl w:val="2"/>
    </w:pPr>
    <w:rPr>
      <w:u w:val="single"/>
    </w:rPr>
  </w:style>
  <w:style w:type="paragraph" w:styleId="Heading4">
    <w:name w:val="heading 4"/>
    <w:basedOn w:val="Normal"/>
    <w:next w:val="Normal"/>
    <w:qFormat/>
    <w:rsid w:val="00F20DAF"/>
    <w:pPr>
      <w:keepNext/>
      <w:jc w:val="center"/>
      <w:outlineLvl w:val="3"/>
    </w:pPr>
    <w:rPr>
      <w:b/>
    </w:rPr>
  </w:style>
  <w:style w:type="paragraph" w:styleId="Heading5">
    <w:name w:val="heading 5"/>
    <w:basedOn w:val="Normal"/>
    <w:next w:val="Normal"/>
    <w:qFormat/>
    <w:rsid w:val="00F20DAF"/>
    <w:pPr>
      <w:keepNext/>
      <w:outlineLvl w:val="4"/>
    </w:pPr>
    <w:rPr>
      <w:sz w:val="24"/>
    </w:rPr>
  </w:style>
  <w:style w:type="paragraph" w:styleId="Heading6">
    <w:name w:val="heading 6"/>
    <w:basedOn w:val="Normal"/>
    <w:next w:val="Normal"/>
    <w:qFormat/>
    <w:rsid w:val="00F20DAF"/>
    <w:pPr>
      <w:keepNext/>
      <w:outlineLvl w:val="5"/>
    </w:pPr>
    <w:rPr>
      <w:b/>
      <w:sz w:val="24"/>
    </w:rPr>
  </w:style>
  <w:style w:type="paragraph" w:styleId="Heading7">
    <w:name w:val="heading 7"/>
    <w:basedOn w:val="Normal"/>
    <w:next w:val="Normal"/>
    <w:qFormat/>
    <w:rsid w:val="00F20DAF"/>
    <w:pPr>
      <w:keepNext/>
      <w:numPr>
        <w:numId w:val="1"/>
      </w:numPr>
      <w:outlineLvl w:val="6"/>
    </w:pPr>
    <w:rPr>
      <w:b/>
      <w:sz w:val="24"/>
    </w:rPr>
  </w:style>
  <w:style w:type="paragraph" w:styleId="Heading8">
    <w:name w:val="heading 8"/>
    <w:basedOn w:val="Normal"/>
    <w:next w:val="Normal"/>
    <w:qFormat/>
    <w:rsid w:val="00F20DAF"/>
    <w:pPr>
      <w:keepNext/>
      <w:ind w:left="360"/>
      <w:outlineLvl w:val="7"/>
    </w:pPr>
    <w:rPr>
      <w:sz w:val="24"/>
    </w:rPr>
  </w:style>
  <w:style w:type="paragraph" w:styleId="Heading9">
    <w:name w:val="heading 9"/>
    <w:basedOn w:val="Normal"/>
    <w:next w:val="Normal"/>
    <w:qFormat/>
    <w:rsid w:val="00F20DAF"/>
    <w:pPr>
      <w:keepNext/>
      <w:spacing w:line="360" w:lineRule="auto"/>
      <w:jc w:val="center"/>
      <w:outlineLvl w:val="8"/>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F20DAF"/>
  </w:style>
  <w:style w:type="paragraph" w:styleId="BodyTextIndent">
    <w:name w:val="Body Text Indent"/>
    <w:basedOn w:val="Normal"/>
    <w:semiHidden/>
    <w:rsid w:val="00F20DAF"/>
    <w:pPr>
      <w:ind w:left="360"/>
    </w:pPr>
    <w:rPr>
      <w:sz w:val="24"/>
    </w:rPr>
  </w:style>
  <w:style w:type="paragraph" w:styleId="BodyTextIndent2">
    <w:name w:val="Body Text Indent 2"/>
    <w:basedOn w:val="Normal"/>
    <w:semiHidden/>
    <w:rsid w:val="00F20DAF"/>
    <w:pPr>
      <w:ind w:left="360" w:hanging="360"/>
    </w:pPr>
    <w:rPr>
      <w:sz w:val="24"/>
    </w:rPr>
  </w:style>
  <w:style w:type="character" w:styleId="Hyperlink">
    <w:name w:val="Hyperlink"/>
    <w:semiHidden/>
    <w:rsid w:val="00A82E6E"/>
    <w:rPr>
      <w:color w:val="0000FF"/>
      <w:u w:val="single"/>
    </w:rPr>
  </w:style>
  <w:style w:type="paragraph" w:styleId="BodyTextIndent3">
    <w:name w:val="Body Text Indent 3"/>
    <w:basedOn w:val="Normal"/>
    <w:semiHidden/>
    <w:rsid w:val="00F20DAF"/>
    <w:pPr>
      <w:ind w:left="342"/>
    </w:pPr>
    <w:rPr>
      <w:sz w:val="24"/>
    </w:rPr>
  </w:style>
  <w:style w:type="paragraph" w:styleId="Footer">
    <w:name w:val="footer"/>
    <w:basedOn w:val="Normal"/>
    <w:rsid w:val="00F20DAF"/>
    <w:pPr>
      <w:tabs>
        <w:tab w:val="center" w:pos="4320"/>
        <w:tab w:val="right" w:pos="8640"/>
      </w:tabs>
    </w:pPr>
  </w:style>
  <w:style w:type="character" w:styleId="PageNumber">
    <w:name w:val="page number"/>
    <w:semiHidden/>
    <w:rsid w:val="00F20DAF"/>
    <w:rPr>
      <w:rFonts w:ascii="Arial" w:hAnsi="Arial"/>
      <w:sz w:val="20"/>
    </w:rPr>
  </w:style>
  <w:style w:type="paragraph" w:styleId="Header">
    <w:name w:val="header"/>
    <w:basedOn w:val="Normal"/>
    <w:semiHidden/>
    <w:rsid w:val="00F20DAF"/>
    <w:pPr>
      <w:tabs>
        <w:tab w:val="right" w:pos="8640"/>
      </w:tabs>
    </w:pPr>
    <w:rPr>
      <w:b/>
    </w:rPr>
  </w:style>
  <w:style w:type="paragraph" w:customStyle="1" w:styleId="Head">
    <w:name w:val="Head"/>
    <w:basedOn w:val="Normal"/>
    <w:rsid w:val="00F20DAF"/>
    <w:pPr>
      <w:keepNext/>
      <w:spacing w:after="180"/>
    </w:pPr>
    <w:rPr>
      <w:b/>
      <w:sz w:val="32"/>
    </w:rPr>
  </w:style>
  <w:style w:type="paragraph" w:styleId="BodyText2">
    <w:name w:val="Body Text 2"/>
    <w:basedOn w:val="Normal"/>
    <w:semiHidden/>
    <w:rsid w:val="00F20DAF"/>
    <w:pPr>
      <w:spacing w:before="60" w:after="60"/>
    </w:pPr>
    <w:rPr>
      <w:sz w:val="22"/>
    </w:rPr>
  </w:style>
  <w:style w:type="paragraph" w:customStyle="1" w:styleId="1">
    <w:name w:val="1."/>
    <w:basedOn w:val="Normal"/>
    <w:rsid w:val="00F20DAF"/>
    <w:pPr>
      <w:ind w:left="720" w:hanging="360"/>
    </w:pPr>
  </w:style>
  <w:style w:type="paragraph" w:customStyle="1" w:styleId="a">
    <w:name w:val="a."/>
    <w:basedOn w:val="Normal"/>
    <w:rsid w:val="00F20DAF"/>
    <w:pPr>
      <w:ind w:left="1080" w:hanging="360"/>
    </w:pPr>
  </w:style>
  <w:style w:type="paragraph" w:customStyle="1" w:styleId="10">
    <w:name w:val="(1)"/>
    <w:basedOn w:val="Normal"/>
    <w:rsid w:val="00F20DAF"/>
    <w:pPr>
      <w:ind w:left="1526" w:hanging="446"/>
    </w:pPr>
  </w:style>
  <w:style w:type="paragraph" w:styleId="BodyText3">
    <w:name w:val="Body Text 3"/>
    <w:basedOn w:val="Normal"/>
    <w:semiHidden/>
    <w:rsid w:val="00F20DAF"/>
    <w:rPr>
      <w:b/>
    </w:rPr>
  </w:style>
  <w:style w:type="character" w:styleId="FollowedHyperlink">
    <w:name w:val="FollowedHyperlink"/>
    <w:semiHidden/>
    <w:rsid w:val="00A82E6E"/>
    <w:rPr>
      <w:color w:val="800080"/>
      <w:u w:val="single"/>
    </w:rPr>
  </w:style>
  <w:style w:type="paragraph" w:customStyle="1" w:styleId="References">
    <w:name w:val="References"/>
    <w:basedOn w:val="Normal"/>
    <w:rsid w:val="00F20DAF"/>
    <w:pPr>
      <w:ind w:left="446" w:hanging="446"/>
    </w:pPr>
  </w:style>
  <w:style w:type="paragraph" w:styleId="BalloonText">
    <w:name w:val="Balloon Text"/>
    <w:basedOn w:val="Normal"/>
    <w:link w:val="BalloonTextChar"/>
    <w:uiPriority w:val="99"/>
    <w:semiHidden/>
    <w:unhideWhenUsed/>
    <w:rsid w:val="00B06713"/>
    <w:rPr>
      <w:rFonts w:ascii="Tahoma" w:hAnsi="Tahoma"/>
      <w:sz w:val="16"/>
      <w:szCs w:val="16"/>
    </w:rPr>
  </w:style>
  <w:style w:type="paragraph" w:customStyle="1" w:styleId="Head3">
    <w:name w:val="Head 3"/>
    <w:basedOn w:val="Normal"/>
    <w:rsid w:val="00F20DAF"/>
    <w:pPr>
      <w:jc w:val="right"/>
    </w:pPr>
    <w:rPr>
      <w:i/>
    </w:rPr>
  </w:style>
  <w:style w:type="paragraph" w:customStyle="1" w:styleId="Head2">
    <w:name w:val="Head 2"/>
    <w:basedOn w:val="Normal"/>
    <w:rsid w:val="00F20DAF"/>
    <w:pPr>
      <w:keepNext/>
      <w:pBdr>
        <w:bottom w:val="single" w:sz="4" w:space="1" w:color="auto"/>
      </w:pBdr>
      <w:spacing w:after="60"/>
    </w:pPr>
    <w:rPr>
      <w:b/>
      <w:sz w:val="26"/>
    </w:rPr>
  </w:style>
  <w:style w:type="character" w:customStyle="1" w:styleId="BalloonTextChar">
    <w:name w:val="Balloon Text Char"/>
    <w:link w:val="BalloonText"/>
    <w:uiPriority w:val="99"/>
    <w:semiHidden/>
    <w:rsid w:val="00B06713"/>
    <w:rPr>
      <w:rFonts w:ascii="Tahoma" w:hAnsi="Tahoma" w:cs="Tahoma"/>
      <w:sz w:val="16"/>
      <w:szCs w:val="16"/>
    </w:rPr>
  </w:style>
  <w:style w:type="paragraph" w:styleId="DocumentMap">
    <w:name w:val="Document Map"/>
    <w:basedOn w:val="Normal"/>
    <w:semiHidden/>
    <w:rsid w:val="001368EA"/>
    <w:pPr>
      <w:shd w:val="clear" w:color="auto" w:fill="000080"/>
    </w:pPr>
    <w:rPr>
      <w:rFonts w:ascii="Tahoma" w:hAnsi="Tahoma" w:cs="Tahoma"/>
    </w:rPr>
  </w:style>
  <w:style w:type="character" w:styleId="CommentReference">
    <w:name w:val="annotation reference"/>
    <w:semiHidden/>
    <w:rsid w:val="001B56C5"/>
    <w:rPr>
      <w:sz w:val="16"/>
      <w:szCs w:val="16"/>
    </w:rPr>
  </w:style>
  <w:style w:type="paragraph" w:styleId="CommentText">
    <w:name w:val="annotation text"/>
    <w:basedOn w:val="Normal"/>
    <w:semiHidden/>
    <w:rsid w:val="00F20DAF"/>
  </w:style>
  <w:style w:type="paragraph" w:styleId="CommentSubject">
    <w:name w:val="annotation subject"/>
    <w:basedOn w:val="CommentText"/>
    <w:next w:val="CommentText"/>
    <w:semiHidden/>
    <w:rsid w:val="00F20DAF"/>
    <w:rPr>
      <w:b/>
      <w:bCs/>
    </w:rPr>
  </w:style>
  <w:style w:type="character" w:customStyle="1" w:styleId="highlight">
    <w:name w:val="highlight"/>
    <w:rsid w:val="006C1604"/>
  </w:style>
  <w:style w:type="character" w:customStyle="1" w:styleId="apple-converted-space">
    <w:name w:val="apple-converted-space"/>
    <w:rsid w:val="006C1604"/>
  </w:style>
  <w:style w:type="character" w:styleId="Emphasis">
    <w:name w:val="Emphasis"/>
    <w:basedOn w:val="DefaultParagraphFont"/>
    <w:uiPriority w:val="20"/>
    <w:qFormat/>
    <w:rsid w:val="001D12FC"/>
    <w:rPr>
      <w:i/>
      <w:iCs/>
    </w:rPr>
  </w:style>
  <w:style w:type="paragraph" w:styleId="Revision">
    <w:name w:val="Revision"/>
    <w:hidden/>
    <w:uiPriority w:val="99"/>
    <w:semiHidden/>
    <w:rsid w:val="00BA4A6A"/>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08858">
      <w:bodyDiv w:val="1"/>
      <w:marLeft w:val="0"/>
      <w:marRight w:val="0"/>
      <w:marTop w:val="0"/>
      <w:marBottom w:val="0"/>
      <w:divBdr>
        <w:top w:val="none" w:sz="0" w:space="0" w:color="auto"/>
        <w:left w:val="none" w:sz="0" w:space="0" w:color="auto"/>
        <w:bottom w:val="none" w:sz="0" w:space="0" w:color="auto"/>
        <w:right w:val="none" w:sz="0" w:space="0" w:color="auto"/>
      </w:divBdr>
    </w:div>
    <w:div w:id="255021723">
      <w:bodyDiv w:val="1"/>
      <w:marLeft w:val="0"/>
      <w:marRight w:val="0"/>
      <w:marTop w:val="0"/>
      <w:marBottom w:val="0"/>
      <w:divBdr>
        <w:top w:val="none" w:sz="0" w:space="0" w:color="auto"/>
        <w:left w:val="none" w:sz="0" w:space="0" w:color="auto"/>
        <w:bottom w:val="none" w:sz="0" w:space="0" w:color="auto"/>
        <w:right w:val="none" w:sz="0" w:space="0" w:color="auto"/>
      </w:divBdr>
    </w:div>
    <w:div w:id="311907085">
      <w:bodyDiv w:val="1"/>
      <w:marLeft w:val="0"/>
      <w:marRight w:val="0"/>
      <w:marTop w:val="0"/>
      <w:marBottom w:val="0"/>
      <w:divBdr>
        <w:top w:val="none" w:sz="0" w:space="0" w:color="auto"/>
        <w:left w:val="none" w:sz="0" w:space="0" w:color="auto"/>
        <w:bottom w:val="none" w:sz="0" w:space="0" w:color="auto"/>
        <w:right w:val="none" w:sz="0" w:space="0" w:color="auto"/>
      </w:divBdr>
    </w:div>
    <w:div w:id="891186266">
      <w:bodyDiv w:val="1"/>
      <w:marLeft w:val="0"/>
      <w:marRight w:val="0"/>
      <w:marTop w:val="0"/>
      <w:marBottom w:val="0"/>
      <w:divBdr>
        <w:top w:val="none" w:sz="0" w:space="0" w:color="auto"/>
        <w:left w:val="none" w:sz="0" w:space="0" w:color="auto"/>
        <w:bottom w:val="none" w:sz="0" w:space="0" w:color="auto"/>
        <w:right w:val="none" w:sz="0" w:space="0" w:color="auto"/>
      </w:divBdr>
    </w:div>
    <w:div w:id="1009522418">
      <w:bodyDiv w:val="1"/>
      <w:marLeft w:val="0"/>
      <w:marRight w:val="0"/>
      <w:marTop w:val="0"/>
      <w:marBottom w:val="0"/>
      <w:divBdr>
        <w:top w:val="none" w:sz="0" w:space="0" w:color="auto"/>
        <w:left w:val="none" w:sz="0" w:space="0" w:color="auto"/>
        <w:bottom w:val="none" w:sz="0" w:space="0" w:color="auto"/>
        <w:right w:val="none" w:sz="0" w:space="0" w:color="auto"/>
      </w:divBdr>
    </w:div>
    <w:div w:id="1239444879">
      <w:bodyDiv w:val="1"/>
      <w:marLeft w:val="0"/>
      <w:marRight w:val="0"/>
      <w:marTop w:val="0"/>
      <w:marBottom w:val="0"/>
      <w:divBdr>
        <w:top w:val="none" w:sz="0" w:space="0" w:color="auto"/>
        <w:left w:val="none" w:sz="0" w:space="0" w:color="auto"/>
        <w:bottom w:val="none" w:sz="0" w:space="0" w:color="auto"/>
        <w:right w:val="none" w:sz="0" w:space="0" w:color="auto"/>
      </w:divBdr>
    </w:div>
    <w:div w:id="1240481623">
      <w:bodyDiv w:val="1"/>
      <w:marLeft w:val="0"/>
      <w:marRight w:val="0"/>
      <w:marTop w:val="0"/>
      <w:marBottom w:val="0"/>
      <w:divBdr>
        <w:top w:val="none" w:sz="0" w:space="0" w:color="auto"/>
        <w:left w:val="none" w:sz="0" w:space="0" w:color="auto"/>
        <w:bottom w:val="none" w:sz="0" w:space="0" w:color="auto"/>
        <w:right w:val="none" w:sz="0" w:space="0" w:color="auto"/>
      </w:divBdr>
    </w:div>
    <w:div w:id="1689520660">
      <w:bodyDiv w:val="1"/>
      <w:marLeft w:val="0"/>
      <w:marRight w:val="0"/>
      <w:marTop w:val="0"/>
      <w:marBottom w:val="0"/>
      <w:divBdr>
        <w:top w:val="none" w:sz="0" w:space="0" w:color="auto"/>
        <w:left w:val="none" w:sz="0" w:space="0" w:color="auto"/>
        <w:bottom w:val="none" w:sz="0" w:space="0" w:color="auto"/>
        <w:right w:val="none" w:sz="0" w:space="0" w:color="auto"/>
      </w:divBdr>
    </w:div>
    <w:div w:id="2085377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jpeg"/><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F7F1EB-4495-45CD-9F11-E4D9B3D67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6</Pages>
  <Words>2413</Words>
  <Characters>13760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Cytologic material</vt:lpstr>
    </vt:vector>
  </TitlesOfParts>
  <Company>CRI</Company>
  <LinksUpToDate>false</LinksUpToDate>
  <CharactersWithSpaces>16141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Cytologic material</dc:title>
  <dc:creator>CRI</dc:creator>
  <cp:lastModifiedBy>Elaine Haney (s)</cp:lastModifiedBy>
  <cp:revision>16</cp:revision>
  <cp:lastPrinted>2018-08-06T19:39:00Z</cp:lastPrinted>
  <dcterms:created xsi:type="dcterms:W3CDTF">2018-11-01T20:35:00Z</dcterms:created>
  <dcterms:modified xsi:type="dcterms:W3CDTF">2019-02-20T19:35:00Z</dcterms:modified>
</cp:coreProperties>
</file>