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2F5233"/>
          <w:sz w:val="64"/>
          <w:szCs w:val="64"/>
        </w:rPr>
        <w:t xml:space="preserve">MANA</w:t>
      </w:r>
    </w:p>
    <w:p>
      <w:pPr>
        <w:spacing w:after="400"/>
      </w:pPr>
      <w:r>
        <w:rPr>
          <w:i/>
          <w:iCs/>
          <w:color w:val="666666"/>
          <w:sz w:val="22"/>
          <w:szCs w:val="22"/>
        </w:rPr>
        <w:t xml:space="preserve">Working name — subject to change</w:t>
      </w:r>
    </w:p>
    <w:p>
      <w:pPr>
        <w:spacing w:after="100"/>
      </w:pPr>
      <w:r>
        <w:rPr>
          <w:b/>
          <w:bCs/>
          <w:color w:val="8C6D1F"/>
          <w:sz w:val="36"/>
          <w:szCs w:val="36"/>
        </w:rPr>
        <w:t xml:space="preserve">Agricultural Surplus Coordination Platform</w:t>
      </w:r>
    </w:p>
    <w:p>
      <w:pPr>
        <w:spacing w:after="600"/>
      </w:pPr>
      <w:r>
        <w:rPr>
          <w:color w:val="333333"/>
          <w:sz w:val="28"/>
          <w:szCs w:val="28"/>
        </w:rPr>
        <w:t xml:space="preserve">Business Model Document</w:t>
      </w:r>
    </w:p>
    <w:p>
      <w:pPr>
        <w:spacing w:after="80"/>
      </w:pPr>
      <w:r>
        <w:rPr>
          <w:sz w:val="22"/>
          <w:szCs w:val="22"/>
        </w:rPr>
        <w:t xml:space="preserve">Prepared for: Rhulani (Lani) Maluleke</w:t>
      </w:r>
    </w:p>
    <w:p>
      <w:pPr>
        <w:spacing w:after="80"/>
      </w:pPr>
      <w:r>
        <w:rPr>
          <w:sz w:val="22"/>
          <w:szCs w:val="22"/>
        </w:rPr>
        <w:t xml:space="preserve">July 2026</w:t>
      </w:r>
    </w:p>
    <w:p>
      <w:pPr>
        <w:spacing w:after="800"/>
      </w:pPr>
      <w:r>
        <w:rPr>
          <w:i/>
          <w:iCs/>
          <w:color w:val="666666"/>
          <w:sz w:val="20"/>
          <w:szCs w:val="20"/>
        </w:rPr>
        <w:t xml:space="preserve">Status: Concept / pre-validation — for internal use and future fundraising reference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Mana is a coordinated agricultural network connecting small-scale and backyard farmers — starting in Limpopo — to formal markets through a technology coordination layer, community aggregation hubs, quality assurance and grading, value-added processing, and farmer training. It is not a marketplace app. It is a supply chain company that owns coordination, quality, and logistics for produce that currently never reaches a formal buyer.</w:t>
      </w:r>
    </w:p>
    <w:p>
      <w:pPr>
        <w:spacing w:after="160"/>
      </w:pPr>
      <w:r>
        <w:t xml:space="preserve">The core insight: the constraint on small-scale farmers isn't demand — restaurants, supermarkets, and institutions buy fresh produce every week. The constraint is consistency, volume, grading, and logistics. No single backyard farmer can supply a retailer reliably. Aggregated across a village or district, that same group can.</w:t>
      </w:r>
    </w:p>
    <w:p>
      <w:pPr>
        <w:spacing w:after="160"/>
      </w:pPr>
      <w:r>
        <w:t xml:space="preserve">Mana is built in five phases, each becoming its own revenue-generating business unit once mature:</w:t>
      </w:r>
    </w:p>
    <w:p>
      <w:pPr>
        <w:pStyle w:val="ListParagraph"/>
        <w:numPr>
          <w:ilvl w:val="0"/>
          <w:numId w:val="2"/>
        </w:numPr>
        <w:spacing w:after="80"/>
      </w:pPr>
      <w:r>
        <w:t xml:space="preserve">Farmer Network — registration, land/crop data, harvest reporting via app, WhatsApp, and USSD</w:t>
      </w:r>
    </w:p>
    <w:p>
      <w:pPr>
        <w:pStyle w:val="ListParagraph"/>
        <w:numPr>
          <w:ilvl w:val="0"/>
          <w:numId w:val="2"/>
        </w:numPr>
        <w:spacing w:after="80"/>
      </w:pPr>
      <w:r>
        <w:t xml:space="preserve">Agri-Hub — community drop-off points for sorting, grading, quality checks, and packaging</w:t>
      </w:r>
    </w:p>
    <w:p>
      <w:pPr>
        <w:pStyle w:val="ListParagraph"/>
        <w:numPr>
          <w:ilvl w:val="0"/>
          <w:numId w:val="2"/>
        </w:numPr>
        <w:spacing w:after="80"/>
      </w:pPr>
      <w:r>
        <w:t xml:space="preserve">Agri-Processing — turning surplus and below-grade produce into oils, sauces, meal, and other packaged goods</w:t>
      </w:r>
    </w:p>
    <w:p>
      <w:pPr>
        <w:pStyle w:val="ListParagraph"/>
        <w:numPr>
          <w:ilvl w:val="0"/>
          <w:numId w:val="2"/>
        </w:numPr>
        <w:spacing w:after="80"/>
      </w:pPr>
      <w:r>
        <w:t xml:space="preserve">Farming Academy — training farmers to produce higher-grade, higher-volume crops and specialise by region/soil type</w:t>
      </w:r>
    </w:p>
    <w:p>
      <w:pPr>
        <w:pStyle w:val="ListParagraph"/>
        <w:numPr>
          <w:ilvl w:val="0"/>
          <w:numId w:val="2"/>
        </w:numPr>
        <w:spacing w:after="80"/>
      </w:pPr>
      <w:r>
        <w:t xml:space="preserve">Platform Monetisation — freemium coordination app with ads, lead generation, and subscriptions once adoption scales</w:t>
      </w:r>
    </w:p>
    <w:p>
      <w:pPr>
        <w:spacing w:after="200" w:before="100"/>
      </w:pPr>
      <w:r>
        <w:rPr>
          <w:i/>
          <w:iCs/>
          <w:color w:val="555555"/>
          <w:sz w:val="20"/>
          <w:szCs w:val="20"/>
        </w:rPr>
        <w:t xml:space="preserve">This document consolidates the full business model as discussed, plus additional revenue streams, stakeholders, and risks worth building in from day one. Treat it as a living reference, not a final plan — validate assumptions with real buyers and farmers before heavy investment.</w:t>
      </w:r>
    </w:p>
    <w:p>
      <w:pPr>
        <w:pStyle w:val="Heading1"/>
        <w:spacing w:after="200" w:before="400"/>
      </w:pPr>
      <w:r>
        <w:t xml:space="preserve">2. The Problem</w:t>
      </w:r>
    </w:p>
    <w:p>
      <w:pPr>
        <w:spacing w:after="160"/>
      </w:pPr>
      <w:r>
        <w:t xml:space="preserve">Across Limpopo (and much of rural/peri-urban South Africa), households commonly have backyard space large enough to grow maize, avocados, mangoes, tomatoes, and other fruit and vegetables. Most households plant only enough for personal consumption, and any surplus is sold informally on the street or exchanged directly between neighbours.</w:t>
      </w:r>
    </w:p>
    <w:p>
      <w:pPr>
        <w:spacing w:after="160"/>
      </w:pPr>
      <w:r>
        <w:t xml:space="preserve">Some households have enough land to produce genuine sellable surplus, but face structural barriers to reaching formal markets:</w:t>
      </w:r>
    </w:p>
    <w:p>
      <w:pPr>
        <w:pStyle w:val="ListParagraph"/>
        <w:numPr>
          <w:ilvl w:val="0"/>
          <w:numId w:val="2"/>
        </w:numPr>
        <w:spacing w:after="80"/>
      </w:pPr>
      <w:r>
        <w:t xml:space="preserve">No aggregation — a single household's surplus is too small for formal buyers to deal with directly</w:t>
      </w:r>
    </w:p>
    <w:p>
      <w:pPr>
        <w:pStyle w:val="ListParagraph"/>
        <w:numPr>
          <w:ilvl w:val="0"/>
          <w:numId w:val="2"/>
        </w:numPr>
        <w:spacing w:after="80"/>
      </w:pPr>
      <w:r>
        <w:t xml:space="preserve">No consistency — supply is seasonal, unpredictable, and unreported</w:t>
      </w:r>
    </w:p>
    <w:p>
      <w:pPr>
        <w:pStyle w:val="ListParagraph"/>
        <w:numPr>
          <w:ilvl w:val="0"/>
          <w:numId w:val="2"/>
        </w:numPr>
        <w:spacing w:after="80"/>
      </w:pPr>
      <w:r>
        <w:t xml:space="preserve">No quality grading or packaging standards</w:t>
      </w:r>
    </w:p>
    <w:p>
      <w:pPr>
        <w:pStyle w:val="ListParagraph"/>
        <w:numPr>
          <w:ilvl w:val="0"/>
          <w:numId w:val="2"/>
        </w:numPr>
        <w:spacing w:after="80"/>
      </w:pPr>
      <w:r>
        <w:t xml:space="preserve">No logistics — no affordable way to move produce from backyard to buyer</w:t>
      </w:r>
    </w:p>
    <w:p>
      <w:pPr>
        <w:pStyle w:val="ListParagraph"/>
        <w:numPr>
          <w:ilvl w:val="0"/>
          <w:numId w:val="2"/>
        </w:numPr>
        <w:spacing w:after="80"/>
      </w:pPr>
      <w:r>
        <w:t xml:space="preserve">No market information — farmers don't know what buyers want, when, or at what price</w:t>
      </w:r>
    </w:p>
    <w:p>
      <w:pPr>
        <w:pStyle w:val="ListParagraph"/>
        <w:numPr>
          <w:ilvl w:val="0"/>
          <w:numId w:val="2"/>
        </w:numPr>
        <w:spacing w:after="80"/>
      </w:pPr>
      <w:r>
        <w:t xml:space="preserve">No negotiating power — individual sellers can't set or defend fair prices</w:t>
      </w:r>
    </w:p>
    <w:p>
      <w:pPr>
        <w:spacing w:after="160"/>
      </w:pPr>
      <w:r>
        <w:t xml:space="preserve">Mana exists to remove these barriers — not by replacing the farmer, but by coordinating many farmers into one reliable commercial supply.</w:t>
      </w:r>
    </w:p>
    <w:p>
      <w:pPr>
        <w:pStyle w:val="Heading1"/>
        <w:spacing w:after="200" w:before="400"/>
      </w:pPr>
      <w:r>
        <w:t xml:space="preserve">3. Business Model Overview — Five Layers</w:t>
      </w:r>
    </w:p>
    <w:p>
      <w:pPr>
        <w:spacing w:after="160"/>
      </w:pPr>
      <w:r>
        <w:t xml:space="preserve">Rather than treating this as three sequential phases, it's more useful to think of five interlocking business units. Each layer makes the others more valuable and harder for a competitor to copy, because a newcomer would need to replicate the whole stack, not just the app.</w:t>
      </w:r>
    </w:p>
    <w:p>
      <w:pPr>
        <w:pStyle w:val="Heading2"/>
        <w:spacing w:after="150" w:before="300"/>
      </w:pPr>
      <w:r>
        <w:t xml:space="preserve">3.1 Farmer Network (the coordination platform)</w:t>
      </w:r>
    </w:p>
    <w:p>
      <w:pPr>
        <w:spacing w:after="160"/>
      </w:pPr>
      <w:r>
        <w:t xml:space="preserve">The foundational layer. Farmers register and provide:</w:t>
      </w:r>
    </w:p>
    <w:p>
      <w:pPr>
        <w:pStyle w:val="ListParagraph"/>
        <w:numPr>
          <w:ilvl w:val="0"/>
          <w:numId w:val="2"/>
        </w:numPr>
        <w:spacing w:after="80"/>
      </w:pPr>
      <w:r>
        <w:t xml:space="preserve">Location and land size available for cultivation</w:t>
      </w:r>
    </w:p>
    <w:p>
      <w:pPr>
        <w:pStyle w:val="ListParagraph"/>
        <w:numPr>
          <w:ilvl w:val="0"/>
          <w:numId w:val="2"/>
        </w:numPr>
        <w:spacing w:after="80"/>
      </w:pPr>
      <w:r>
        <w:t xml:space="preserve">Current crops planted and planned</w:t>
      </w:r>
    </w:p>
    <w:p>
      <w:pPr>
        <w:pStyle w:val="ListParagraph"/>
        <w:numPr>
          <w:ilvl w:val="0"/>
          <w:numId w:val="2"/>
        </w:numPr>
        <w:spacing w:after="80"/>
      </w:pPr>
      <w:r>
        <w:t xml:space="preserve">Expected harvest volumes and dates</w:t>
      </w:r>
    </w:p>
    <w:p>
      <w:pPr>
        <w:pStyle w:val="ListParagraph"/>
        <w:numPr>
          <w:ilvl w:val="0"/>
          <w:numId w:val="2"/>
        </w:numPr>
        <w:spacing w:after="80"/>
      </w:pPr>
      <w:r>
        <w:t xml:space="preserve">End-of-season reports: what was kept for household use vs. what's available to sell</w:t>
      </w:r>
    </w:p>
    <w:p>
      <w:pPr>
        <w:spacing w:after="160"/>
      </w:pPr>
      <w:r>
        <w:t xml:space="preserve">A dashboard aggregates this into cumulative crop volume per location (not per farmer) — this is the number that matters to a buyer. Access channels: mobile app (primary), WhatsApp chatbot, and USSD for farmers without smartphones.</w:t>
      </w:r>
    </w:p>
    <w:p>
      <w:pPr>
        <w:spacing w:after="200" w:before="100"/>
      </w:pPr>
      <w:r>
        <w:rPr>
          <w:i/>
          <w:iCs/>
          <w:color w:val="555555"/>
          <w:sz w:val="20"/>
          <w:szCs w:val="20"/>
        </w:rPr>
        <w:t xml:space="preserve">Suggested improvement: track the whole season, not just post-harvest reports. If a farmer logs 300 tomato plants at planting, the system can estimate expected yield and harvest week before harvest happens — allowing buyers to reserve stock in advance rather than waiting for a report after the fact.</w:t>
      </w:r>
    </w:p>
    <w:p>
      <w:pPr>
        <w:pStyle w:val="Heading2"/>
        <w:spacing w:after="150" w:before="300"/>
      </w:pPr>
      <w:r>
        <w:t xml:space="preserve">3.2 Agri-Hub (aggregation, grading, logistics)</w:t>
      </w:r>
    </w:p>
    <w:p>
      <w:pPr>
        <w:spacing w:after="160"/>
      </w:pPr>
      <w:r>
        <w:t xml:space="preserve">A physical, central community collection point. This is the most operationally important part of the business, because it's where trust and quality are actually created. Functions:</w:t>
      </w:r>
    </w:p>
    <w:p>
      <w:pPr>
        <w:pStyle w:val="ListParagraph"/>
        <w:numPr>
          <w:ilvl w:val="0"/>
          <w:numId w:val="2"/>
        </w:numPr>
        <w:spacing w:after="80"/>
      </w:pPr>
      <w:r>
        <w:t xml:space="preserve">Weighing and intake of dropped-off produce</w:t>
      </w:r>
    </w:p>
    <w:p>
      <w:pPr>
        <w:pStyle w:val="ListParagraph"/>
        <w:numPr>
          <w:ilvl w:val="0"/>
          <w:numId w:val="2"/>
        </w:numPr>
        <w:spacing w:after="80"/>
      </w:pPr>
      <w:r>
        <w:t xml:space="preserve">Sorting and grading by quality</w:t>
      </w:r>
    </w:p>
    <w:p>
      <w:pPr>
        <w:pStyle w:val="ListParagraph"/>
        <w:numPr>
          <w:ilvl w:val="0"/>
          <w:numId w:val="2"/>
        </w:numPr>
        <w:spacing w:after="80"/>
      </w:pPr>
      <w:r>
        <w:t xml:space="preserve">Packaging to buyer specification</w:t>
      </w:r>
    </w:p>
    <w:p>
      <w:pPr>
        <w:pStyle w:val="ListParagraph"/>
        <w:numPr>
          <w:ilvl w:val="0"/>
          <w:numId w:val="2"/>
        </w:numPr>
        <w:spacing w:after="80"/>
      </w:pPr>
      <w:r>
        <w:t xml:space="preserve">Basic food safety and compliance checks</w:t>
      </w:r>
    </w:p>
    <w:p>
      <w:pPr>
        <w:pStyle w:val="ListParagraph"/>
        <w:numPr>
          <w:ilvl w:val="0"/>
          <w:numId w:val="2"/>
        </w:numPr>
        <w:spacing w:after="80"/>
      </w:pPr>
      <w:r>
        <w:t xml:space="preserve">Storage (with cold storage as a priority upgrade — post-harvest loss in fresh produce is a major, avoidable cost)</w:t>
      </w:r>
    </w:p>
    <w:p>
      <w:pPr>
        <w:spacing w:after="160"/>
      </w:pPr>
      <w:r>
        <w:t xml:space="preserve">Community members are paid on drop-off for what meets grade, turning them into small-scale entrepreneurs rather than passive suppliers. Market-grade produce moves to buyers as packaged goods; everything else moves to the processing unit.</w:t>
      </w:r>
    </w:p>
    <w:p>
      <w:pPr>
        <w:pStyle w:val="Heading2"/>
        <w:spacing w:after="150" w:before="300"/>
      </w:pPr>
      <w:r>
        <w:t xml:space="preserve">3.3 Market Access</w:t>
      </w:r>
    </w:p>
    <w:p>
      <w:pPr>
        <w:spacing w:after="160"/>
      </w:pPr>
      <w:r>
        <w:t xml:space="preserve">This is where revenue is actually captured. The customer base is far broader than "supermarkets":</w:t>
      </w:r>
    </w:p>
    <w:p>
      <w:pPr>
        <w:pStyle w:val="ListParagraph"/>
        <w:numPr>
          <w:ilvl w:val="0"/>
          <w:numId w:val="2"/>
        </w:numPr>
        <w:spacing w:after="80"/>
      </w:pPr>
      <w:r>
        <w:t xml:space="preserve">Supermarkets and independent grocers</w:t>
      </w:r>
    </w:p>
    <w:p>
      <w:pPr>
        <w:pStyle w:val="ListParagraph"/>
        <w:numPr>
          <w:ilvl w:val="0"/>
          <w:numId w:val="2"/>
        </w:numPr>
        <w:spacing w:after="80"/>
      </w:pPr>
      <w:r>
        <w:t xml:space="preserve">Restaurants and hotels</w:t>
      </w:r>
    </w:p>
    <w:p>
      <w:pPr>
        <w:pStyle w:val="ListParagraph"/>
        <w:numPr>
          <w:ilvl w:val="0"/>
          <w:numId w:val="2"/>
        </w:numPr>
        <w:spacing w:after="80"/>
      </w:pPr>
      <w:r>
        <w:t xml:space="preserve">Hospitals and clinics (institutional catering)</w:t>
      </w:r>
    </w:p>
    <w:p>
      <w:pPr>
        <w:pStyle w:val="ListParagraph"/>
        <w:numPr>
          <w:ilvl w:val="0"/>
          <w:numId w:val="2"/>
        </w:numPr>
        <w:spacing w:after="80"/>
      </w:pPr>
      <w:r>
        <w:t xml:space="preserve">Schools and universities (feeding schemes)</w:t>
      </w:r>
    </w:p>
    <w:p>
      <w:pPr>
        <w:pStyle w:val="ListParagraph"/>
        <w:numPr>
          <w:ilvl w:val="0"/>
          <w:numId w:val="2"/>
        </w:numPr>
        <w:spacing w:after="80"/>
      </w:pPr>
      <w:r>
        <w:t xml:space="preserve">Government feeding/nutrition programmes</w:t>
      </w:r>
    </w:p>
    <w:p>
      <w:pPr>
        <w:pStyle w:val="ListParagraph"/>
        <w:numPr>
          <w:ilvl w:val="0"/>
          <w:numId w:val="2"/>
        </w:numPr>
        <w:spacing w:after="80"/>
      </w:pPr>
      <w:r>
        <w:t xml:space="preserve">Mines (large on-site catering operations)</w:t>
      </w:r>
    </w:p>
    <w:p>
      <w:pPr>
        <w:pStyle w:val="ListParagraph"/>
        <w:numPr>
          <w:ilvl w:val="0"/>
          <w:numId w:val="2"/>
        </w:numPr>
        <w:spacing w:after="80"/>
      </w:pPr>
      <w:r>
        <w:t xml:space="preserve">Wholesalers and fresh produce markets</w:t>
      </w:r>
    </w:p>
    <w:p>
      <w:pPr>
        <w:pStyle w:val="ListParagraph"/>
        <w:numPr>
          <w:ilvl w:val="0"/>
          <w:numId w:val="2"/>
        </w:numPr>
        <w:spacing w:after="80"/>
      </w:pPr>
      <w:r>
        <w:t xml:space="preserve">Agro-processing companies buying in bulk</w:t>
      </w:r>
    </w:p>
    <w:p>
      <w:pPr>
        <w:pStyle w:val="ListParagraph"/>
        <w:numPr>
          <w:ilvl w:val="0"/>
          <w:numId w:val="2"/>
        </w:numPr>
        <w:spacing w:after="80"/>
      </w:pPr>
      <w:r>
        <w:t xml:space="preserve">Exporters (longer-term, once grading/compliance is export-ready)</w:t>
      </w:r>
    </w:p>
    <w:p>
      <w:pPr>
        <w:spacing w:after="200" w:before="100"/>
      </w:pPr>
      <w:r>
        <w:rPr>
          <w:i/>
          <w:iCs/>
          <w:color w:val="555555"/>
          <w:sz w:val="20"/>
          <w:szCs w:val="20"/>
        </w:rPr>
        <w:t xml:space="preserve">Institutional buyers value consistency over price. A hospital or mine kitchen buying weekly is a better first customer than a supermarket chasing the lowest cost — validate with these buyers before building the tech.</w:t>
      </w:r>
    </w:p>
    <w:p>
      <w:pPr>
        <w:pStyle w:val="Heading2"/>
        <w:spacing w:after="150" w:before="300"/>
      </w:pPr>
      <w:r>
        <w:t xml:space="preserve">3.4 Agri-Processing</w:t>
      </w:r>
    </w:p>
    <w:p>
      <w:pPr>
        <w:spacing w:after="160"/>
      </w:pPr>
      <w:r>
        <w:t xml:space="preserve">Surplus and below-grade produce (too small, too ripe, cosmetically imperfect, or simply in excess) is converted into shelf-stable, sellable products rather than wasted: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233" w:color="auto" w:val="clear"/>
            <w:vAlign w:val="center"/>
          </w:tcPr>
          <w:p>
            <w:r>
              <w:rPr>
                <w:b/>
                <w:bCs/>
                <w:color w:val="FFFFFF"/>
                <w:sz w:val="22"/>
                <w:szCs w:val="22"/>
              </w:rPr>
              <w:t xml:space="preserve">Raw Produce</w:t>
            </w:r>
          </w:p>
        </w:tc>
        <w:tc>
          <w:tcPr>
            <w:tcW w:type="dxa" w:w="4680"/>
            <w:shd w:fill="2F5233" w:color="auto" w:val="clear"/>
            <w:vAlign w:val="center"/>
          </w:tcPr>
          <w:p>
            <w:r>
              <w:rPr>
                <w:b/>
                <w:bCs/>
                <w:color w:val="FFFFFF"/>
                <w:sz w:val="22"/>
                <w:szCs w:val="22"/>
              </w:rPr>
              <w:t xml:space="preserve">Processed Product</w:t>
            </w:r>
          </w:p>
        </w:tc>
      </w:tr>
      <w:tr>
        <w:tc>
          <w:tcPr>
            <w:tcW w:type="dxa" w:w="4680"/>
            <w:vAlign w:val="center"/>
          </w:tcPr>
          <w:p>
            <w:r>
              <w:rPr>
                <w:b w:val="false"/>
                <w:bCs w:val="false"/>
                <w:color w:val="000000"/>
                <w:sz w:val="22"/>
                <w:szCs w:val="22"/>
              </w:rPr>
              <w:t xml:space="preserve">Avocados</w:t>
            </w:r>
          </w:p>
        </w:tc>
        <w:tc>
          <w:tcPr>
            <w:tcW w:type="dxa" w:w="4680"/>
            <w:vAlign w:val="center"/>
          </w:tcPr>
          <w:p>
            <w:r>
              <w:rPr>
                <w:b w:val="false"/>
                <w:bCs w:val="false"/>
                <w:color w:val="000000"/>
                <w:sz w:val="22"/>
                <w:szCs w:val="22"/>
              </w:rPr>
              <w:t xml:space="preserve">Avocado oil</w:t>
            </w:r>
          </w:p>
        </w:tc>
      </w:tr>
      <w:tr>
        <w:tc>
          <w:tcPr>
            <w:tcW w:type="dxa" w:w="4680"/>
            <w:vAlign w:val="center"/>
          </w:tcPr>
          <w:p>
            <w:r>
              <w:rPr>
                <w:b w:val="false"/>
                <w:bCs w:val="false"/>
                <w:color w:val="000000"/>
                <w:sz w:val="22"/>
                <w:szCs w:val="22"/>
              </w:rPr>
              <w:t xml:space="preserve">Tomatoes</w:t>
            </w:r>
          </w:p>
        </w:tc>
        <w:tc>
          <w:tcPr>
            <w:tcW w:type="dxa" w:w="4680"/>
            <w:vAlign w:val="center"/>
          </w:tcPr>
          <w:p>
            <w:r>
              <w:rPr>
                <w:b w:val="false"/>
                <w:bCs w:val="false"/>
                <w:color w:val="000000"/>
                <w:sz w:val="22"/>
                <w:szCs w:val="22"/>
              </w:rPr>
              <w:t xml:space="preserve">Tomato sauce / passata</w:t>
            </w:r>
          </w:p>
        </w:tc>
      </w:tr>
      <w:tr>
        <w:tc>
          <w:tcPr>
            <w:tcW w:type="dxa" w:w="4680"/>
            <w:vAlign w:val="center"/>
          </w:tcPr>
          <w:p>
            <w:r>
              <w:rPr>
                <w:b w:val="false"/>
                <w:bCs w:val="false"/>
                <w:color w:val="000000"/>
                <w:sz w:val="22"/>
                <w:szCs w:val="22"/>
              </w:rPr>
              <w:t xml:space="preserve">Maize</w:t>
            </w:r>
          </w:p>
        </w:tc>
        <w:tc>
          <w:tcPr>
            <w:tcW w:type="dxa" w:w="4680"/>
            <w:vAlign w:val="center"/>
          </w:tcPr>
          <w:p>
            <w:r>
              <w:rPr>
                <w:b w:val="false"/>
                <w:bCs w:val="false"/>
                <w:color w:val="000000"/>
                <w:sz w:val="22"/>
                <w:szCs w:val="22"/>
              </w:rPr>
              <w:t xml:space="preserve">Maize meal</w:t>
            </w:r>
          </w:p>
        </w:tc>
      </w:tr>
      <w:tr>
        <w:tc>
          <w:tcPr>
            <w:tcW w:type="dxa" w:w="4680"/>
            <w:vAlign w:val="center"/>
          </w:tcPr>
          <w:p>
            <w:r>
              <w:rPr>
                <w:b w:val="false"/>
                <w:bCs w:val="false"/>
                <w:color w:val="000000"/>
                <w:sz w:val="22"/>
                <w:szCs w:val="22"/>
              </w:rPr>
              <w:t xml:space="preserve">Mangoes</w:t>
            </w:r>
          </w:p>
        </w:tc>
        <w:tc>
          <w:tcPr>
            <w:tcW w:type="dxa" w:w="4680"/>
            <w:vAlign w:val="center"/>
          </w:tcPr>
          <w:p>
            <w:r>
              <w:rPr>
                <w:b w:val="false"/>
                <w:bCs w:val="false"/>
                <w:color w:val="000000"/>
                <w:sz w:val="22"/>
                <w:szCs w:val="22"/>
              </w:rPr>
              <w:t xml:space="preserve">Dried mango / mango pulp</w:t>
            </w:r>
          </w:p>
        </w:tc>
      </w:tr>
      <w:tr>
        <w:tc>
          <w:tcPr>
            <w:tcW w:type="dxa" w:w="4680"/>
            <w:vAlign w:val="center"/>
          </w:tcPr>
          <w:p>
            <w:r>
              <w:rPr>
                <w:b w:val="false"/>
                <w:bCs w:val="false"/>
                <w:color w:val="000000"/>
                <w:sz w:val="22"/>
                <w:szCs w:val="22"/>
              </w:rPr>
              <w:t xml:space="preserve">Leafy greens</w:t>
            </w:r>
          </w:p>
        </w:tc>
        <w:tc>
          <w:tcPr>
            <w:tcW w:type="dxa" w:w="4680"/>
            <w:vAlign w:val="center"/>
          </w:tcPr>
          <w:p>
            <w:r>
              <w:rPr>
                <w:b w:val="false"/>
                <w:bCs w:val="false"/>
                <w:color w:val="000000"/>
                <w:sz w:val="22"/>
                <w:szCs w:val="22"/>
              </w:rPr>
              <w:t xml:space="preserve">Frozen or blanched greens</w:t>
            </w:r>
          </w:p>
        </w:tc>
      </w:tr>
      <w:tr>
        <w:tc>
          <w:tcPr>
            <w:tcW w:type="dxa" w:w="4680"/>
            <w:vAlign w:val="center"/>
          </w:tcPr>
          <w:p>
            <w:r>
              <w:rPr>
                <w:b w:val="false"/>
                <w:bCs w:val="false"/>
                <w:color w:val="000000"/>
                <w:sz w:val="22"/>
                <w:szCs w:val="22"/>
              </w:rPr>
              <w:t xml:space="preserve">Peppers/chillies</w:t>
            </w:r>
          </w:p>
        </w:tc>
        <w:tc>
          <w:tcPr>
            <w:tcW w:type="dxa" w:w="4680"/>
            <w:vAlign w:val="center"/>
          </w:tcPr>
          <w:p>
            <w:r>
              <w:rPr>
                <w:b w:val="false"/>
                <w:bCs w:val="false"/>
                <w:color w:val="000000"/>
                <w:sz w:val="22"/>
                <w:szCs w:val="22"/>
              </w:rPr>
              <w:t xml:space="preserve">Spice powders / relishes</w:t>
            </w:r>
          </w:p>
        </w:tc>
      </w:tr>
    </w:tbl>
    <w:p>
      <w:pPr>
        <w:spacing w:after="160"/>
      </w:pPr>
      <w:r>
        <w:t xml:space="preserve">Organic waste from this process feeds a manure/compost line, and non-sellable but edible surplus is routed to food banks and donation partners — both a social good and a potential CSR/ESG partnership angle with corporates.</w:t>
      </w:r>
    </w:p>
    <w:p>
      <w:pPr>
        <w:pStyle w:val="Heading2"/>
        <w:spacing w:after="150" w:before="300"/>
      </w:pPr>
      <w:r>
        <w:t xml:space="preserve">3.5 Farming Academy</w:t>
      </w:r>
    </w:p>
    <w:p>
      <w:pPr>
        <w:spacing w:after="160"/>
      </w:pPr>
      <w:r>
        <w:t xml:space="preserve">Once the network and hub are operating, training becomes the multiplier. Courses cover soil testing and maintenance, pest and disease management, crop planning, climate-smart agriculture, and eventually certification pathways. Over time, this enables regional specialisation — one community's soil and training focus on tomatoes, another on leafy greens — increasing aggregate volume and quality per region rather than every farmer growing the same crops in competition with each other.</w:t>
      </w:r>
    </w:p>
    <w:p>
      <w:pPr>
        <w:pStyle w:val="Heading1"/>
        <w:spacing w:after="200" w:before="400"/>
      </w:pPr>
      <w:r>
        <w:t xml:space="preserve">4. Additional Business Units Worth Building In</w:t>
      </w:r>
    </w:p>
    <w:p>
      <w:pPr>
        <w:spacing w:after="160"/>
      </w:pPr>
      <w:r>
        <w:t xml:space="preserve">Beyond the five layers above, these extensions strengthen the model and were not part of the original three-phase framing but follow naturally from the data and trust the platform accumulates.</w:t>
      </w:r>
    </w:p>
    <w:p>
      <w:pPr>
        <w:pStyle w:val="Heading2"/>
        <w:spacing w:after="150" w:before="300"/>
      </w:pPr>
      <w:r>
        <w:t xml:space="preserve">4.1 Input Marketplace</w:t>
      </w:r>
    </w:p>
    <w:p>
      <w:pPr>
        <w:spacing w:after="160"/>
      </w:pPr>
      <w:r>
        <w:t xml:space="preserve">Farmers repeatedly need seeds, fertiliser, pesticides, irrigation equipment, and basic tools. Aggregated demand across thousands of registered farmers allows Mana to negotiate wholesale input pricing and resell at a margin — cheaper for farmers, profitable for Mana.</w:t>
      </w:r>
    </w:p>
    <w:p>
      <w:pPr>
        <w:pStyle w:val="Heading2"/>
        <w:spacing w:after="150" w:before="300"/>
      </w:pPr>
      <w:r>
        <w:t xml:space="preserve">4.2 Agricultural Financing (partnership, not direct lending)</w:t>
      </w:r>
    </w:p>
    <w:p>
      <w:pPr>
        <w:spacing w:after="160"/>
      </w:pPr>
      <w:r>
        <w:t xml:space="preserve">Banks are typically reluctant to lend to small-scale farmers due to lack of production records. Mana's platform data — land size, planting history, harvest volume, buyer relationships — is exactly the record banks need. Longer-term, Mana can become a referral/data partner to financial institutions rather than a lender itself.</w:t>
      </w:r>
    </w:p>
    <w:p>
      <w:pPr>
        <w:pStyle w:val="Heading2"/>
        <w:spacing w:after="150" w:before="300"/>
      </w:pPr>
      <w:r>
        <w:t xml:space="preserve">4.3 Crop Insurance Partnerships</w:t>
      </w:r>
    </w:p>
    <w:p>
      <w:pPr>
        <w:spacing w:after="160"/>
      </w:pPr>
      <w:r>
        <w:t xml:space="preserve">Similarly, insurers price risk poorly without data. Planting dates, location, rainfall history, and harvest outcomes captured on the platform could support partnerships with insurers, with Mana earning referral or data-licensing fees.</w:t>
      </w:r>
    </w:p>
    <w:p>
      <w:pPr>
        <w:pStyle w:val="Heading2"/>
        <w:spacing w:after="150" w:before="300"/>
      </w:pPr>
      <w:r>
        <w:t xml:space="preserve">4.4 Carbon Credits (long-term)</w:t>
      </w:r>
    </w:p>
    <w:p>
      <w:pPr>
        <w:spacing w:after="160"/>
      </w:pPr>
      <w:r>
        <w:t xml:space="preserve">If farmers adopt composting, regenerative practices, or tree planting through the Academy, there may eventually be access to carbon credit markets. Multi-year horizon — worth tracking, not building for yet.</w:t>
      </w:r>
    </w:p>
    <w:p>
      <w:pPr>
        <w:pStyle w:val="Heading2"/>
        <w:spacing w:after="150" w:before="300"/>
      </w:pPr>
      <w:r>
        <w:t xml:space="preserve">4.5 Supply Forecasting / Data Licensing</w:t>
      </w:r>
    </w:p>
    <w:p>
      <w:pPr>
        <w:spacing w:after="160"/>
      </w:pPr>
      <w:r>
        <w:t xml:space="preserve">A dashboard showing expected volumes by crop and region before harvest is genuinely valuable to fertiliser companies, buyers, and government planning bodies. This is a data business that emerges naturally from the coordination layer without extra build cost.</w:t>
      </w:r>
    </w:p>
    <w:p>
      <w:pPr>
        <w:pStyle w:val="Heading1"/>
        <w:spacing w:after="200" w:before="400"/>
      </w:pPr>
      <w:r>
        <w:t xml:space="preserve">5.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shd w:fill="2F5233" w:color="auto" w:val="clear"/>
            <w:vAlign w:val="center"/>
          </w:tcPr>
          <w:p>
            <w:r>
              <w:rPr>
                <w:b/>
                <w:bCs/>
                <w:color w:val="FFFFFF"/>
                <w:sz w:val="22"/>
                <w:szCs w:val="22"/>
              </w:rPr>
              <w:t xml:space="preserve">Stream</w:t>
            </w:r>
          </w:p>
        </w:tc>
        <w:tc>
          <w:tcPr>
            <w:tcW w:type="dxa" w:w="4800"/>
            <w:shd w:fill="2F5233" w:color="auto" w:val="clear"/>
            <w:vAlign w:val="center"/>
          </w:tcPr>
          <w:p>
            <w:r>
              <w:rPr>
                <w:b/>
                <w:bCs/>
                <w:color w:val="FFFFFF"/>
                <w:sz w:val="22"/>
                <w:szCs w:val="22"/>
              </w:rPr>
              <w:t xml:space="preserve">Description</w:t>
            </w:r>
          </w:p>
        </w:tc>
        <w:tc>
          <w:tcPr>
            <w:tcW w:type="dxa" w:w="1760"/>
            <w:shd w:fill="2F5233" w:color="auto" w:val="clear"/>
            <w:vAlign w:val="center"/>
          </w:tcPr>
          <w:p>
            <w:r>
              <w:rPr>
                <w:b/>
                <w:bCs/>
                <w:color w:val="FFFFFF"/>
                <w:sz w:val="22"/>
                <w:szCs w:val="22"/>
              </w:rPr>
              <w:t xml:space="preserve">Term</w:t>
            </w:r>
          </w:p>
        </w:tc>
      </w:tr>
      <w:tr>
        <w:tc>
          <w:tcPr>
            <w:tcW w:type="dxa" w:w="2800"/>
            <w:vAlign w:val="center"/>
          </w:tcPr>
          <w:p>
            <w:r>
              <w:rPr>
                <w:b w:val="false"/>
                <w:bCs w:val="false"/>
                <w:color w:val="000000"/>
                <w:sz w:val="22"/>
                <w:szCs w:val="22"/>
              </w:rPr>
              <w:t xml:space="preserve">Commission on produce sales</w:t>
            </w:r>
          </w:p>
        </w:tc>
        <w:tc>
          <w:tcPr>
            <w:tcW w:type="dxa" w:w="4800"/>
            <w:vAlign w:val="center"/>
          </w:tcPr>
          <w:p>
            <w:r>
              <w:rPr>
                <w:b w:val="false"/>
                <w:bCs w:val="false"/>
                <w:color w:val="000000"/>
                <w:sz w:val="22"/>
                <w:szCs w:val="22"/>
              </w:rPr>
              <w:t xml:space="preserve">Percentage margin on graded/packaged produce resold to buyers</w:t>
            </w:r>
          </w:p>
        </w:tc>
        <w:tc>
          <w:tcPr>
            <w:tcW w:type="dxa" w:w="1760"/>
            <w:vAlign w:val="center"/>
          </w:tcPr>
          <w:p>
            <w:r>
              <w:rPr>
                <w:b w:val="false"/>
                <w:bCs w:val="false"/>
                <w:color w:val="000000"/>
                <w:sz w:val="22"/>
                <w:szCs w:val="22"/>
              </w:rPr>
              <w:t xml:space="preserve">Immediate — core revenue</w:t>
            </w:r>
          </w:p>
        </w:tc>
      </w:tr>
      <w:tr>
        <w:tc>
          <w:tcPr>
            <w:tcW w:type="dxa" w:w="2800"/>
            <w:vAlign w:val="center"/>
          </w:tcPr>
          <w:p>
            <w:r>
              <w:rPr>
                <w:b w:val="false"/>
                <w:bCs w:val="false"/>
                <w:color w:val="000000"/>
                <w:sz w:val="22"/>
                <w:szCs w:val="22"/>
              </w:rPr>
              <w:t xml:space="preserve">Processed product sales</w:t>
            </w:r>
          </w:p>
        </w:tc>
        <w:tc>
          <w:tcPr>
            <w:tcW w:type="dxa" w:w="4800"/>
            <w:vAlign w:val="center"/>
          </w:tcPr>
          <w:p>
            <w:r>
              <w:rPr>
                <w:b w:val="false"/>
                <w:bCs w:val="false"/>
                <w:color w:val="000000"/>
                <w:sz w:val="22"/>
                <w:szCs w:val="22"/>
              </w:rPr>
              <w:t xml:space="preserve">Direct sale of oils, sauces, meal, dried goods etc.</w:t>
            </w:r>
          </w:p>
        </w:tc>
        <w:tc>
          <w:tcPr>
            <w:tcW w:type="dxa" w:w="1760"/>
            <w:vAlign w:val="center"/>
          </w:tcPr>
          <w:p>
            <w:r>
              <w:rPr>
                <w:b w:val="false"/>
                <w:bCs w:val="false"/>
                <w:color w:val="000000"/>
                <w:sz w:val="22"/>
                <w:szCs w:val="22"/>
              </w:rPr>
              <w:t xml:space="preserve">Phase 2</w:t>
            </w:r>
          </w:p>
        </w:tc>
      </w:tr>
      <w:tr>
        <w:tc>
          <w:tcPr>
            <w:tcW w:type="dxa" w:w="2800"/>
            <w:vAlign w:val="center"/>
          </w:tcPr>
          <w:p>
            <w:r>
              <w:rPr>
                <w:b w:val="false"/>
                <w:bCs w:val="false"/>
                <w:color w:val="000000"/>
                <w:sz w:val="22"/>
                <w:szCs w:val="22"/>
              </w:rPr>
              <w:t xml:space="preserve">Platform advertising</w:t>
            </w:r>
          </w:p>
        </w:tc>
        <w:tc>
          <w:tcPr>
            <w:tcW w:type="dxa" w:w="4800"/>
            <w:vAlign w:val="center"/>
          </w:tcPr>
          <w:p>
            <w:r>
              <w:rPr>
                <w:b w:val="false"/>
                <w:bCs w:val="false"/>
                <w:color w:val="000000"/>
                <w:sz w:val="22"/>
                <w:szCs w:val="22"/>
              </w:rPr>
              <w:t xml:space="preserve">Ads on the free coordination app once adoption is high</w:t>
            </w:r>
          </w:p>
        </w:tc>
        <w:tc>
          <w:tcPr>
            <w:tcW w:type="dxa" w:w="1760"/>
            <w:vAlign w:val="center"/>
          </w:tcPr>
          <w:p>
            <w:r>
              <w:rPr>
                <w:b w:val="false"/>
                <w:bCs w:val="false"/>
                <w:color w:val="000000"/>
                <w:sz w:val="22"/>
                <w:szCs w:val="22"/>
              </w:rPr>
              <w:t xml:space="preserve">Phase 3+</w:t>
            </w:r>
          </w:p>
        </w:tc>
      </w:tr>
      <w:tr>
        <w:tc>
          <w:tcPr>
            <w:tcW w:type="dxa" w:w="2800"/>
            <w:vAlign w:val="center"/>
          </w:tcPr>
          <w:p>
            <w:r>
              <w:rPr>
                <w:b w:val="false"/>
                <w:bCs w:val="false"/>
                <w:color w:val="000000"/>
                <w:sz w:val="22"/>
                <w:szCs w:val="22"/>
              </w:rPr>
              <w:t xml:space="preserve">Lead generation</w:t>
            </w:r>
          </w:p>
        </w:tc>
        <w:tc>
          <w:tcPr>
            <w:tcW w:type="dxa" w:w="4800"/>
            <w:vAlign w:val="center"/>
          </w:tcPr>
          <w:p>
            <w:r>
              <w:rPr>
                <w:b w:val="false"/>
                <w:bCs w:val="false"/>
                <w:color w:val="000000"/>
                <w:sz w:val="22"/>
                <w:szCs w:val="22"/>
              </w:rPr>
              <w:t xml:space="preserve">Connecting input suppliers, buyers, or service providers to farmers</w:t>
            </w:r>
          </w:p>
        </w:tc>
        <w:tc>
          <w:tcPr>
            <w:tcW w:type="dxa" w:w="1760"/>
            <w:vAlign w:val="center"/>
          </w:tcPr>
          <w:p>
            <w:r>
              <w:rPr>
                <w:b w:val="false"/>
                <w:bCs w:val="false"/>
                <w:color w:val="000000"/>
                <w:sz w:val="22"/>
                <w:szCs w:val="22"/>
              </w:rPr>
              <w:t xml:space="preserve">Phase 3+</w:t>
            </w:r>
          </w:p>
        </w:tc>
      </w:tr>
      <w:tr>
        <w:tc>
          <w:tcPr>
            <w:tcW w:type="dxa" w:w="2800"/>
            <w:vAlign w:val="center"/>
          </w:tcPr>
          <w:p>
            <w:r>
              <w:rPr>
                <w:b w:val="false"/>
                <w:bCs w:val="false"/>
                <w:color w:val="000000"/>
                <w:sz w:val="22"/>
                <w:szCs w:val="22"/>
              </w:rPr>
              <w:t xml:space="preserve">Subscription fees</w:t>
            </w:r>
          </w:p>
        </w:tc>
        <w:tc>
          <w:tcPr>
            <w:tcW w:type="dxa" w:w="4800"/>
            <w:vAlign w:val="center"/>
          </w:tcPr>
          <w:p>
            <w:r>
              <w:rPr>
                <w:b w:val="false"/>
                <w:bCs w:val="false"/>
                <w:color w:val="000000"/>
                <w:sz w:val="22"/>
                <w:szCs w:val="22"/>
              </w:rPr>
              <w:t xml:space="preserve">Ad-free tier / advanced features for power users, associations, or buyers</w:t>
            </w:r>
          </w:p>
        </w:tc>
        <w:tc>
          <w:tcPr>
            <w:tcW w:type="dxa" w:w="1760"/>
            <w:vAlign w:val="center"/>
          </w:tcPr>
          <w:p>
            <w:r>
              <w:rPr>
                <w:b w:val="false"/>
                <w:bCs w:val="false"/>
                <w:color w:val="000000"/>
                <w:sz w:val="22"/>
                <w:szCs w:val="22"/>
              </w:rPr>
              <w:t xml:space="preserve">Phase 3+</w:t>
            </w:r>
          </w:p>
        </w:tc>
      </w:tr>
      <w:tr>
        <w:tc>
          <w:tcPr>
            <w:tcW w:type="dxa" w:w="2800"/>
            <w:vAlign w:val="center"/>
          </w:tcPr>
          <w:p>
            <w:r>
              <w:rPr>
                <w:b w:val="false"/>
                <w:bCs w:val="false"/>
                <w:color w:val="000000"/>
                <w:sz w:val="22"/>
                <w:szCs w:val="22"/>
              </w:rPr>
              <w:t xml:space="preserve">Input marketplace margin</w:t>
            </w:r>
          </w:p>
        </w:tc>
        <w:tc>
          <w:tcPr>
            <w:tcW w:type="dxa" w:w="4800"/>
            <w:vAlign w:val="center"/>
          </w:tcPr>
          <w:p>
            <w:r>
              <w:rPr>
                <w:b w:val="false"/>
                <w:bCs w:val="false"/>
                <w:color w:val="000000"/>
                <w:sz w:val="22"/>
                <w:szCs w:val="22"/>
              </w:rPr>
              <w:t xml:space="preserve">Markup on wholesale-negotiated seeds/fertiliser/equipment</w:t>
            </w:r>
          </w:p>
        </w:tc>
        <w:tc>
          <w:tcPr>
            <w:tcW w:type="dxa" w:w="1760"/>
            <w:vAlign w:val="center"/>
          </w:tcPr>
          <w:p>
            <w:r>
              <w:rPr>
                <w:b w:val="false"/>
                <w:bCs w:val="false"/>
                <w:color w:val="000000"/>
                <w:sz w:val="22"/>
                <w:szCs w:val="22"/>
              </w:rPr>
              <w:t xml:space="preserve">Phase 2-3</w:t>
            </w:r>
          </w:p>
        </w:tc>
      </w:tr>
      <w:tr>
        <w:tc>
          <w:tcPr>
            <w:tcW w:type="dxa" w:w="2800"/>
            <w:vAlign w:val="center"/>
          </w:tcPr>
          <w:p>
            <w:r>
              <w:rPr>
                <w:b w:val="false"/>
                <w:bCs w:val="false"/>
                <w:color w:val="000000"/>
                <w:sz w:val="22"/>
                <w:szCs w:val="22"/>
              </w:rPr>
              <w:t xml:space="preserve">Financing/insurance referral fees</w:t>
            </w:r>
          </w:p>
        </w:tc>
        <w:tc>
          <w:tcPr>
            <w:tcW w:type="dxa" w:w="4800"/>
            <w:vAlign w:val="center"/>
          </w:tcPr>
          <w:p>
            <w:r>
              <w:rPr>
                <w:b w:val="false"/>
                <w:bCs w:val="false"/>
                <w:color w:val="000000"/>
                <w:sz w:val="22"/>
                <w:szCs w:val="22"/>
              </w:rPr>
              <w:t xml:space="preserve">Partner commissions from banks/insurers using platform data</w:t>
            </w:r>
          </w:p>
        </w:tc>
        <w:tc>
          <w:tcPr>
            <w:tcW w:type="dxa" w:w="1760"/>
            <w:vAlign w:val="center"/>
          </w:tcPr>
          <w:p>
            <w:r>
              <w:rPr>
                <w:b w:val="false"/>
                <w:bCs w:val="false"/>
                <w:color w:val="000000"/>
                <w:sz w:val="22"/>
                <w:szCs w:val="22"/>
              </w:rPr>
              <w:t xml:space="preserve">Phase 3+</w:t>
            </w:r>
          </w:p>
        </w:tc>
      </w:tr>
      <w:tr>
        <w:tc>
          <w:tcPr>
            <w:tcW w:type="dxa" w:w="2800"/>
            <w:vAlign w:val="center"/>
          </w:tcPr>
          <w:p>
            <w:r>
              <w:rPr>
                <w:b w:val="false"/>
                <w:bCs w:val="false"/>
                <w:color w:val="000000"/>
                <w:sz w:val="22"/>
                <w:szCs w:val="22"/>
              </w:rPr>
              <w:t xml:space="preserve">Training/certification fees</w:t>
            </w:r>
          </w:p>
        </w:tc>
        <w:tc>
          <w:tcPr>
            <w:tcW w:type="dxa" w:w="4800"/>
            <w:vAlign w:val="center"/>
          </w:tcPr>
          <w:p>
            <w:r>
              <w:rPr>
                <w:b w:val="false"/>
                <w:bCs w:val="false"/>
                <w:color w:val="000000"/>
                <w:sz w:val="22"/>
                <w:szCs w:val="22"/>
              </w:rPr>
              <w:t xml:space="preserve">Paid tiers of the Farming Academy, or funded via grants/donors</w:t>
            </w:r>
          </w:p>
        </w:tc>
        <w:tc>
          <w:tcPr>
            <w:tcW w:type="dxa" w:w="1760"/>
            <w:vAlign w:val="center"/>
          </w:tcPr>
          <w:p>
            <w:r>
              <w:rPr>
                <w:b w:val="false"/>
                <w:bCs w:val="false"/>
                <w:color w:val="000000"/>
                <w:sz w:val="22"/>
                <w:szCs w:val="22"/>
              </w:rPr>
              <w:t xml:space="preserve">Phase 3</w:t>
            </w:r>
          </w:p>
        </w:tc>
      </w:tr>
      <w:tr>
        <w:tc>
          <w:tcPr>
            <w:tcW w:type="dxa" w:w="2800"/>
            <w:vAlign w:val="center"/>
          </w:tcPr>
          <w:p>
            <w:r>
              <w:rPr>
                <w:b w:val="false"/>
                <w:bCs w:val="false"/>
                <w:color w:val="000000"/>
                <w:sz w:val="22"/>
                <w:szCs w:val="22"/>
              </w:rPr>
              <w:t xml:space="preserve">Data licensing</w:t>
            </w:r>
          </w:p>
        </w:tc>
        <w:tc>
          <w:tcPr>
            <w:tcW w:type="dxa" w:w="4800"/>
            <w:vAlign w:val="center"/>
          </w:tcPr>
          <w:p>
            <w:r>
              <w:rPr>
                <w:b w:val="false"/>
                <w:bCs w:val="false"/>
                <w:color w:val="000000"/>
                <w:sz w:val="22"/>
                <w:szCs w:val="22"/>
              </w:rPr>
              <w:t xml:space="preserve">Aggregated (anonymised) supply forecasts sold to input companies, government</w:t>
            </w:r>
          </w:p>
        </w:tc>
        <w:tc>
          <w:tcPr>
            <w:tcW w:type="dxa" w:w="1760"/>
            <w:vAlign w:val="center"/>
          </w:tcPr>
          <w:p>
            <w:r>
              <w:rPr>
                <w:b w:val="false"/>
                <w:bCs w:val="false"/>
                <w:color w:val="000000"/>
                <w:sz w:val="22"/>
                <w:szCs w:val="22"/>
              </w:rPr>
              <w:t xml:space="preserve">Phase 3+</w:t>
            </w:r>
          </w:p>
        </w:tc>
      </w:tr>
    </w:tbl>
    <w:p>
      <w:pPr>
        <w:pStyle w:val="Heading1"/>
        <w:spacing w:after="200" w:before="400"/>
      </w:pPr>
      <w:r>
        <w:t xml:space="preserve">6. Target Customers &amp; Stakeholders</w:t>
      </w:r>
    </w:p>
    <w:p>
      <w:pPr>
        <w:pStyle w:val="Heading2"/>
        <w:spacing w:after="150" w:before="300"/>
      </w:pPr>
      <w:r>
        <w:t xml:space="preserve">6.1 Buyers (validate with these first)</w:t>
      </w:r>
    </w:p>
    <w:p>
      <w:pPr>
        <w:pStyle w:val="ListParagraph"/>
        <w:numPr>
          <w:ilvl w:val="0"/>
          <w:numId w:val="2"/>
        </w:numPr>
        <w:spacing w:after="80"/>
      </w:pPr>
      <w:r>
        <w:t xml:space="preserve">Supermarkets and independent grocers</w:t>
      </w:r>
    </w:p>
    <w:p>
      <w:pPr>
        <w:pStyle w:val="ListParagraph"/>
        <w:numPr>
          <w:ilvl w:val="0"/>
          <w:numId w:val="2"/>
        </w:numPr>
        <w:spacing w:after="80"/>
      </w:pPr>
      <w:r>
        <w:t xml:space="preserve">Restaurants, hotels, catering companies</w:t>
      </w:r>
    </w:p>
    <w:p>
      <w:pPr>
        <w:pStyle w:val="ListParagraph"/>
        <w:numPr>
          <w:ilvl w:val="0"/>
          <w:numId w:val="2"/>
        </w:numPr>
        <w:spacing w:after="80"/>
      </w:pPr>
      <w:r>
        <w:t xml:space="preserve">Hospitals, clinics, schools, universities, prisons (institutional feeding)</w:t>
      </w:r>
    </w:p>
    <w:p>
      <w:pPr>
        <w:pStyle w:val="ListParagraph"/>
        <w:numPr>
          <w:ilvl w:val="0"/>
          <w:numId w:val="2"/>
        </w:numPr>
        <w:spacing w:after="80"/>
      </w:pPr>
      <w:r>
        <w:t xml:space="preserve">Mines (on-site catering)</w:t>
      </w:r>
    </w:p>
    <w:p>
      <w:pPr>
        <w:pStyle w:val="ListParagraph"/>
        <w:numPr>
          <w:ilvl w:val="0"/>
          <w:numId w:val="2"/>
        </w:numPr>
        <w:spacing w:after="80"/>
      </w:pPr>
      <w:r>
        <w:t xml:space="preserve">Wholesalers and municipal fresh produce markets</w:t>
      </w:r>
    </w:p>
    <w:p>
      <w:pPr>
        <w:pStyle w:val="ListParagraph"/>
        <w:numPr>
          <w:ilvl w:val="0"/>
          <w:numId w:val="2"/>
        </w:numPr>
        <w:spacing w:after="80"/>
      </w:pPr>
      <w:r>
        <w:t xml:space="preserve">Agro-processing companies</w:t>
      </w:r>
    </w:p>
    <w:p>
      <w:pPr>
        <w:pStyle w:val="ListParagraph"/>
        <w:numPr>
          <w:ilvl w:val="0"/>
          <w:numId w:val="2"/>
        </w:numPr>
        <w:spacing w:after="80"/>
      </w:pPr>
      <w:r>
        <w:t xml:space="preserve">Government nutrition/feeding schemes</w:t>
      </w:r>
    </w:p>
    <w:p>
      <w:pPr>
        <w:spacing w:after="200" w:before="100"/>
      </w:pPr>
      <w:r>
        <w:rPr>
          <w:i/>
          <w:iCs/>
          <w:color w:val="555555"/>
          <w:sz w:val="20"/>
          <w:szCs w:val="20"/>
        </w:rPr>
        <w:t xml:space="preserve">Suggested first move: talk to buyers before farmers. Ask them directly what currently stops them buying from small-scale/backyard growers. Their answers should shape the grading standards, packaging, and reporting the platform is built around.</w:t>
      </w:r>
    </w:p>
    <w:p>
      <w:pPr>
        <w:pStyle w:val="Heading2"/>
        <w:spacing w:after="150" w:before="300"/>
      </w:pPr>
      <w:r>
        <w:t xml:space="preserve">6.2 Suppliers / Network Participants</w:t>
      </w:r>
    </w:p>
    <w:p>
      <w:pPr>
        <w:pStyle w:val="ListParagraph"/>
        <w:numPr>
          <w:ilvl w:val="0"/>
          <w:numId w:val="2"/>
        </w:numPr>
        <w:spacing w:after="80"/>
      </w:pPr>
      <w:r>
        <w:t xml:space="preserve">Backyard and small-scale farming households (Limpopo, expanding regionally)</w:t>
      </w:r>
    </w:p>
    <w:p>
      <w:pPr>
        <w:pStyle w:val="ListParagraph"/>
        <w:numPr>
          <w:ilvl w:val="0"/>
          <w:numId w:val="2"/>
        </w:numPr>
        <w:spacing w:after="80"/>
      </w:pPr>
      <w:r>
        <w:t xml:space="preserve">Existing informal produce sellers and street traders (potential early adopters and hub managers)</w:t>
      </w:r>
    </w:p>
    <w:p>
      <w:pPr>
        <w:pStyle w:val="ListParagraph"/>
        <w:numPr>
          <w:ilvl w:val="0"/>
          <w:numId w:val="2"/>
        </w:numPr>
        <w:spacing w:after="80"/>
      </w:pPr>
      <w:r>
        <w:t xml:space="preserve">Farmer cooperatives and associations</w:t>
      </w:r>
    </w:p>
    <w:p>
      <w:pPr>
        <w:pStyle w:val="Heading2"/>
        <w:spacing w:after="150" w:before="300"/>
      </w:pPr>
      <w:r>
        <w:t xml:space="preserve">6.3 Regulatory &amp; Institutional Stakeholders to Consult Early</w:t>
      </w:r>
    </w:p>
    <w:p>
      <w:pPr>
        <w:pStyle w:val="ListParagraph"/>
        <w:numPr>
          <w:ilvl w:val="0"/>
          <w:numId w:val="2"/>
        </w:numPr>
        <w:spacing w:after="80"/>
      </w:pPr>
      <w:r>
        <w:t xml:space="preserve">Department of Agriculture, Land Reform and Rural Development (DALRRD) — agri-processing registration</w:t>
      </w:r>
    </w:p>
    <w:p>
      <w:pPr>
        <w:pStyle w:val="ListParagraph"/>
        <w:numPr>
          <w:ilvl w:val="0"/>
          <w:numId w:val="2"/>
        </w:numPr>
        <w:spacing w:after="80"/>
      </w:pPr>
      <w:r>
        <w:t xml:space="preserve">National Regulator for Compulsory Specifications (NRCS) — grading standards for fresh produce</w:t>
      </w:r>
    </w:p>
    <w:p>
      <w:pPr>
        <w:pStyle w:val="ListParagraph"/>
        <w:numPr>
          <w:ilvl w:val="0"/>
          <w:numId w:val="2"/>
        </w:numPr>
        <w:spacing w:after="80"/>
      </w:pPr>
      <w:r>
        <w:t xml:space="preserve">Department of Health (municipal environmental health) — food safety at the hub</w:t>
      </w:r>
    </w:p>
    <w:p>
      <w:pPr>
        <w:pStyle w:val="ListParagraph"/>
        <w:numPr>
          <w:ilvl w:val="0"/>
          <w:numId w:val="2"/>
        </w:numPr>
        <w:spacing w:after="80"/>
      </w:pPr>
      <w:r>
        <w:t xml:space="preserve">Perishable Products Export Control Board (PPECB) — relevant once export volumes are considered</w:t>
      </w:r>
    </w:p>
    <w:p>
      <w:pPr>
        <w:pStyle w:val="ListParagraph"/>
        <w:numPr>
          <w:ilvl w:val="0"/>
          <w:numId w:val="2"/>
        </w:numPr>
        <w:spacing w:after="80"/>
      </w:pPr>
      <w:r>
        <w:t xml:space="preserve">Agricultural Research Council (ARC) — technical/soil expertise for the Academy</w:t>
      </w:r>
    </w:p>
    <w:p>
      <w:pPr>
        <w:pStyle w:val="ListParagraph"/>
        <w:numPr>
          <w:ilvl w:val="0"/>
          <w:numId w:val="2"/>
        </w:numPr>
        <w:spacing w:after="80"/>
      </w:pPr>
      <w:r>
        <w:t xml:space="preserve">National Agricultural Marketing Council (NAMC)</w:t>
      </w:r>
    </w:p>
    <w:p>
      <w:pPr>
        <w:pStyle w:val="ListParagraph"/>
        <w:numPr>
          <w:ilvl w:val="0"/>
          <w:numId w:val="2"/>
        </w:numPr>
        <w:spacing w:after="80"/>
      </w:pPr>
      <w:r>
        <w:t xml:space="preserve">AgriSA and local farmer cooperatives</w:t>
      </w:r>
    </w:p>
    <w:p>
      <w:pPr>
        <w:pStyle w:val="ListParagraph"/>
        <w:numPr>
          <w:ilvl w:val="0"/>
          <w:numId w:val="2"/>
        </w:numPr>
        <w:spacing w:after="80"/>
      </w:pPr>
      <w:r>
        <w:t xml:space="preserve">Municipal fresh produce market managers</w:t>
      </w:r>
    </w:p>
    <w:p>
      <w:pPr>
        <w:pStyle w:val="ListParagraph"/>
        <w:numPr>
          <w:ilvl w:val="0"/>
          <w:numId w:val="2"/>
        </w:numPr>
        <w:spacing w:after="80"/>
      </w:pPr>
      <w:r>
        <w:t xml:space="preserve">Procurement managers at supermarkets, hospitals, and restaurant groups</w:t>
      </w:r>
    </w:p>
    <w:p>
      <w:pPr>
        <w:spacing w:after="200" w:before="100"/>
      </w:pPr>
      <w:r>
        <w:rPr>
          <w:i/>
          <w:iCs/>
          <w:color w:val="555555"/>
          <w:sz w:val="20"/>
          <w:szCs w:val="20"/>
        </w:rPr>
        <w:t xml:space="preserve">A hub that grades, packages, and processes food is regulated very differently from a pure coordination app. Engage NRCS, municipal health, and DALRRD before the hub opens, not after — retrofitting compliance is expensive and slow.</w:t>
      </w:r>
    </w:p>
    <w:p>
      <w:pPr>
        <w:pStyle w:val="Heading1"/>
        <w:spacing w:after="200" w:before="400"/>
      </w:pPr>
      <w:r>
        <w:t xml:space="preserve">7. Key Risks to Design Around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2F5233" w:color="auto" w:val="clear"/>
            <w:vAlign w:val="center"/>
          </w:tcPr>
          <w:p>
            <w:r>
              <w:rPr>
                <w:b/>
                <w:bCs/>
                <w:color w:val="FFFFFF"/>
                <w:sz w:val="22"/>
                <w:szCs w:val="22"/>
              </w:rPr>
              <w:t xml:space="preserve">Risk</w:t>
            </w:r>
          </w:p>
        </w:tc>
        <w:tc>
          <w:tcPr>
            <w:tcW w:type="dxa" w:w="3300"/>
            <w:shd w:fill="2F5233" w:color="auto" w:val="clear"/>
            <w:vAlign w:val="center"/>
          </w:tcPr>
          <w:p>
            <w:r>
              <w:rPr>
                <w:b/>
                <w:bCs/>
                <w:color w:val="FFFFFF"/>
                <w:sz w:val="22"/>
                <w:szCs w:val="22"/>
              </w:rPr>
              <w:t xml:space="preserve">Why it matters</w:t>
            </w:r>
          </w:p>
        </w:tc>
        <w:tc>
          <w:tcPr>
            <w:tcW w:type="dxa" w:w="3660"/>
            <w:shd w:fill="2F5233" w:color="auto" w:val="clear"/>
            <w:vAlign w:val="center"/>
          </w:tcPr>
          <w:p>
            <w:r>
              <w:rPr>
                <w:b/>
                <w:bCs/>
                <w:color w:val="FFFFFF"/>
                <w:sz w:val="22"/>
                <w:szCs w:val="22"/>
              </w:rPr>
              <w:t xml:space="preserve">Mitigation direction</w:t>
            </w:r>
          </w:p>
        </w:tc>
      </w:tr>
      <w:tr>
        <w:tc>
          <w:tcPr>
            <w:tcW w:type="dxa" w:w="2400"/>
            <w:vAlign w:val="center"/>
          </w:tcPr>
          <w:p>
            <w:r>
              <w:rPr>
                <w:b w:val="false"/>
                <w:bCs w:val="false"/>
                <w:color w:val="000000"/>
                <w:sz w:val="22"/>
                <w:szCs w:val="22"/>
              </w:rPr>
              <w:t xml:space="preserve">Cash flow / working capital</w:t>
            </w:r>
          </w:p>
        </w:tc>
        <w:tc>
          <w:tcPr>
            <w:tcW w:type="dxa" w:w="3300"/>
            <w:vAlign w:val="center"/>
          </w:tcPr>
          <w:p>
            <w:r>
              <w:rPr>
                <w:b w:val="false"/>
                <w:bCs w:val="false"/>
                <w:color w:val="000000"/>
                <w:sz w:val="22"/>
                <w:szCs w:val="22"/>
              </w:rPr>
              <w:t xml:space="preserve">Paying farmers on drop-off but collecting from buyers on 30-60 day terms creates a funding gap that has killed similar ventures</w:t>
            </w:r>
          </w:p>
        </w:tc>
        <w:tc>
          <w:tcPr>
            <w:tcW w:type="dxa" w:w="3660"/>
            <w:vAlign w:val="center"/>
          </w:tcPr>
          <w:p>
            <w:r>
              <w:rPr>
                <w:b w:val="false"/>
                <w:bCs w:val="false"/>
                <w:color w:val="000000"/>
                <w:sz w:val="22"/>
                <w:szCs w:val="22"/>
              </w:rPr>
              <w:t xml:space="preserve">Secure buyer pre-commitments before paying farmers; consider consignment model for phase one; line up working capital financing (Land Bank, IDC agro-processing facilities, AgriSETA)</w:t>
            </w:r>
          </w:p>
        </w:tc>
      </w:tr>
      <w:tr>
        <w:tc>
          <w:tcPr>
            <w:tcW w:type="dxa" w:w="2400"/>
            <w:vAlign w:val="center"/>
          </w:tcPr>
          <w:p>
            <w:r>
              <w:rPr>
                <w:b w:val="false"/>
                <w:bCs w:val="false"/>
                <w:color w:val="000000"/>
                <w:sz w:val="22"/>
                <w:szCs w:val="22"/>
              </w:rPr>
              <w:t xml:space="preserve">Quality consistency</w:t>
            </w:r>
          </w:p>
        </w:tc>
        <w:tc>
          <w:tcPr>
            <w:tcW w:type="dxa" w:w="3300"/>
            <w:vAlign w:val="center"/>
          </w:tcPr>
          <w:p>
            <w:r>
              <w:rPr>
                <w:b w:val="false"/>
                <w:bCs w:val="false"/>
                <w:color w:val="000000"/>
                <w:sz w:val="22"/>
                <w:szCs w:val="22"/>
              </w:rPr>
              <w:t xml:space="preserve">Buyers walk if grade varies week to week</w:t>
            </w:r>
          </w:p>
        </w:tc>
        <w:tc>
          <w:tcPr>
            <w:tcW w:type="dxa" w:w="3660"/>
            <w:vAlign w:val="center"/>
          </w:tcPr>
          <w:p>
            <w:r>
              <w:rPr>
                <w:b w:val="false"/>
                <w:bCs w:val="false"/>
                <w:color w:val="000000"/>
                <w:sz w:val="22"/>
                <w:szCs w:val="22"/>
              </w:rPr>
              <w:t xml:space="preserve">Strict grading protocol at the hub from day one, even if manual</w:t>
            </w:r>
          </w:p>
        </w:tc>
      </w:tr>
      <w:tr>
        <w:tc>
          <w:tcPr>
            <w:tcW w:type="dxa" w:w="2400"/>
            <w:vAlign w:val="center"/>
          </w:tcPr>
          <w:p>
            <w:r>
              <w:rPr>
                <w:b w:val="false"/>
                <w:bCs w:val="false"/>
                <w:color w:val="000000"/>
                <w:sz w:val="22"/>
                <w:szCs w:val="22"/>
              </w:rPr>
              <w:t xml:space="preserve">Transport costs</w:t>
            </w:r>
          </w:p>
        </w:tc>
        <w:tc>
          <w:tcPr>
            <w:tcW w:type="dxa" w:w="3300"/>
            <w:vAlign w:val="center"/>
          </w:tcPr>
          <w:p>
            <w:r>
              <w:rPr>
                <w:b w:val="false"/>
                <w:bCs w:val="false"/>
                <w:color w:val="000000"/>
                <w:sz w:val="22"/>
                <w:szCs w:val="22"/>
              </w:rPr>
              <w:t xml:space="preserve">Moving low-value bulk produce is expensive relative to its value</w:t>
            </w:r>
          </w:p>
        </w:tc>
        <w:tc>
          <w:tcPr>
            <w:tcW w:type="dxa" w:w="3660"/>
            <w:vAlign w:val="center"/>
          </w:tcPr>
          <w:p>
            <w:r>
              <w:rPr>
                <w:b w:val="false"/>
                <w:bCs w:val="false"/>
                <w:color w:val="000000"/>
                <w:sz w:val="22"/>
                <w:szCs w:val="22"/>
              </w:rPr>
              <w:t xml:space="preserve">Start hyper-local (single hub, single community) before regional expansion</w:t>
            </w:r>
          </w:p>
        </w:tc>
      </w:tr>
      <w:tr>
        <w:tc>
          <w:tcPr>
            <w:tcW w:type="dxa" w:w="2400"/>
            <w:vAlign w:val="center"/>
          </w:tcPr>
          <w:p>
            <w:r>
              <w:rPr>
                <w:b w:val="false"/>
                <w:bCs w:val="false"/>
                <w:color w:val="000000"/>
                <w:sz w:val="22"/>
                <w:szCs w:val="22"/>
              </w:rPr>
              <w:t xml:space="preserve">Cold chain / post-harvest loss</w:t>
            </w:r>
          </w:p>
        </w:tc>
        <w:tc>
          <w:tcPr>
            <w:tcW w:type="dxa" w:w="3300"/>
            <w:vAlign w:val="center"/>
          </w:tcPr>
          <w:p>
            <w:r>
              <w:rPr>
                <w:b w:val="false"/>
                <w:bCs w:val="false"/>
                <w:color w:val="000000"/>
                <w:sz w:val="22"/>
                <w:szCs w:val="22"/>
              </w:rPr>
              <w:t xml:space="preserve">Fresh produce spoils fast without cold storage</w:t>
            </w:r>
          </w:p>
        </w:tc>
        <w:tc>
          <w:tcPr>
            <w:tcW w:type="dxa" w:w="3660"/>
            <w:vAlign w:val="center"/>
          </w:tcPr>
          <w:p>
            <w:r>
              <w:rPr>
                <w:b w:val="false"/>
                <w:bCs w:val="false"/>
                <w:color w:val="000000"/>
                <w:sz w:val="22"/>
                <w:szCs w:val="22"/>
              </w:rPr>
              <w:t xml:space="preserve">Prioritise even basic cold storage early; large source of otherwise-avoidable loss</w:t>
            </w:r>
          </w:p>
        </w:tc>
      </w:tr>
      <w:tr>
        <w:tc>
          <w:tcPr>
            <w:tcW w:type="dxa" w:w="2400"/>
            <w:vAlign w:val="center"/>
          </w:tcPr>
          <w:p>
            <w:r>
              <w:rPr>
                <w:b w:val="false"/>
                <w:bCs w:val="false"/>
                <w:color w:val="000000"/>
                <w:sz w:val="22"/>
                <w:szCs w:val="22"/>
              </w:rPr>
              <w:t xml:space="preserve">Trust with farmers</w:t>
            </w:r>
          </w:p>
        </w:tc>
        <w:tc>
          <w:tcPr>
            <w:tcW w:type="dxa" w:w="3300"/>
            <w:vAlign w:val="center"/>
          </w:tcPr>
          <w:p>
            <w:r>
              <w:rPr>
                <w:b w:val="false"/>
                <w:bCs w:val="false"/>
                <w:color w:val="000000"/>
                <w:sz w:val="22"/>
                <w:szCs w:val="22"/>
              </w:rPr>
              <w:t xml:space="preserve">Farmers need confidence they'll be paid fairly and on time</w:t>
            </w:r>
          </w:p>
        </w:tc>
        <w:tc>
          <w:tcPr>
            <w:tcW w:type="dxa" w:w="3660"/>
            <w:vAlign w:val="center"/>
          </w:tcPr>
          <w:p>
            <w:r>
              <w:rPr>
                <w:b w:val="false"/>
                <w:bCs w:val="false"/>
                <w:color w:val="000000"/>
                <w:sz w:val="22"/>
                <w:szCs w:val="22"/>
              </w:rPr>
              <w:t xml:space="preserve">Transparent grading criteria and pricing; pay on drop-off as planned</w:t>
            </w:r>
          </w:p>
        </w:tc>
      </w:tr>
      <w:tr>
        <w:tc>
          <w:tcPr>
            <w:tcW w:type="dxa" w:w="2400"/>
            <w:vAlign w:val="center"/>
          </w:tcPr>
          <w:p>
            <w:r>
              <w:rPr>
                <w:b w:val="false"/>
                <w:bCs w:val="false"/>
                <w:color w:val="000000"/>
                <w:sz w:val="22"/>
                <w:szCs w:val="22"/>
              </w:rPr>
              <w:t xml:space="preserve">Regulatory compliance</w:t>
            </w:r>
          </w:p>
        </w:tc>
        <w:tc>
          <w:tcPr>
            <w:tcW w:type="dxa" w:w="3300"/>
            <w:vAlign w:val="center"/>
          </w:tcPr>
          <w:p>
            <w:r>
              <w:rPr>
                <w:b w:val="false"/>
                <w:bCs w:val="false"/>
                <w:color w:val="000000"/>
                <w:sz w:val="22"/>
                <w:szCs w:val="22"/>
              </w:rPr>
              <w:t xml:space="preserve">Food safety and grading rules apply once you touch, grade, or process produce</w:t>
            </w:r>
          </w:p>
        </w:tc>
        <w:tc>
          <w:tcPr>
            <w:tcW w:type="dxa" w:w="3660"/>
            <w:vAlign w:val="center"/>
          </w:tcPr>
          <w:p>
            <w:r>
              <w:rPr>
                <w:b w:val="false"/>
                <w:bCs w:val="false"/>
                <w:color w:val="000000"/>
                <w:sz w:val="22"/>
                <w:szCs w:val="22"/>
              </w:rPr>
              <w:t xml:space="preserve">Engage NRCS, municipal health, DALRRD before hub launch</w:t>
            </w:r>
          </w:p>
        </w:tc>
      </w:tr>
    </w:tbl>
    <w:p>
      <w:pPr>
        <w:pStyle w:val="Heading1"/>
        <w:spacing w:after="200" w:before="400"/>
      </w:pPr>
      <w:r>
        <w:t xml:space="preserve">8. Suggested Build Sequence</w:t>
      </w:r>
    </w:p>
    <w:p>
      <w:pPr>
        <w:spacing w:after="160"/>
      </w:pPr>
      <w:r>
        <w:t xml:space="preserve">The instinct to build the app first should be resisted. Software is the easiest part to build and the easiest to get wrong if built before the underlying operational model is proven.</w:t>
      </w:r>
    </w:p>
    <w:p>
      <w:pPr>
        <w:pStyle w:val="Heading2"/>
        <w:spacing w:after="150" w:before="300"/>
      </w:pPr>
      <w:r>
        <w:t xml:space="preserve">8.1 Validate (before building anything)</w:t>
      </w:r>
    </w:p>
    <w:p>
      <w:pPr>
        <w:pStyle w:val="ListParagraph"/>
        <w:numPr>
          <w:ilvl w:val="0"/>
          <w:numId w:val="2"/>
        </w:numPr>
        <w:spacing w:after="80"/>
      </w:pPr>
      <w:r>
        <w:t xml:space="preserve">Identify 1-2 institutional buyers (hospital, mine, restaurant group) willing to commit to purchasing aggregated, graded produce</w:t>
      </w:r>
    </w:p>
    <w:p>
      <w:pPr>
        <w:pStyle w:val="ListParagraph"/>
        <w:numPr>
          <w:ilvl w:val="0"/>
          <w:numId w:val="2"/>
        </w:numPr>
        <w:spacing w:after="80"/>
      </w:pPr>
      <w:r>
        <w:t xml:space="preserve">Confirm grading/packaging requirements directly with that buyer</w:t>
      </w:r>
    </w:p>
    <w:p>
      <w:pPr>
        <w:pStyle w:val="ListParagraph"/>
        <w:numPr>
          <w:ilvl w:val="0"/>
          <w:numId w:val="2"/>
        </w:numPr>
        <w:spacing w:after="80"/>
      </w:pPr>
      <w:r>
        <w:t xml:space="preserve">Run a single hub manually — spreadsheet and WhatsApp — in one Limpopo community</w:t>
      </w:r>
    </w:p>
    <w:p>
      <w:pPr>
        <w:pStyle w:val="ListParagraph"/>
        <w:numPr>
          <w:ilvl w:val="0"/>
          <w:numId w:val="2"/>
        </w:numPr>
        <w:spacing w:after="80"/>
      </w:pPr>
      <w:r>
        <w:t xml:space="preserve">Calculate real unit economics: cost per kg collected, graded, and delivered vs. achievable sale price</w:t>
      </w:r>
    </w:p>
    <w:p>
      <w:pPr>
        <w:pStyle w:val="Heading2"/>
        <w:spacing w:after="150" w:before="300"/>
      </w:pPr>
      <w:r>
        <w:t xml:space="preserve">8.2 Phase 1 — Coordination + Single Hub</w:t>
      </w:r>
    </w:p>
    <w:p>
      <w:pPr>
        <w:pStyle w:val="ListParagraph"/>
        <w:numPr>
          <w:ilvl w:val="0"/>
          <w:numId w:val="2"/>
        </w:numPr>
        <w:spacing w:after="80"/>
      </w:pPr>
      <w:r>
        <w:t xml:space="preserve">Build the farmer registration and reporting tool once real data fields are known from the manual pilot</w:t>
      </w:r>
    </w:p>
    <w:p>
      <w:pPr>
        <w:pStyle w:val="ListParagraph"/>
        <w:numPr>
          <w:ilvl w:val="0"/>
          <w:numId w:val="2"/>
        </w:numPr>
        <w:spacing w:after="80"/>
      </w:pPr>
      <w:r>
        <w:t xml:space="preserve">Launch WhatsApp bot first (lowest build cost, highest reach for target users); USSD and app follow</w:t>
      </w:r>
    </w:p>
    <w:p>
      <w:pPr>
        <w:pStyle w:val="ListParagraph"/>
        <w:numPr>
          <w:ilvl w:val="0"/>
          <w:numId w:val="2"/>
        </w:numPr>
        <w:spacing w:after="80"/>
      </w:pPr>
      <w:r>
        <w:t xml:space="preserve">Operate one hub, one or two committed buyers, prove repeatable weekly supply</w:t>
      </w:r>
    </w:p>
    <w:p>
      <w:pPr>
        <w:pStyle w:val="Heading2"/>
        <w:spacing w:after="150" w:before="300"/>
      </w:pPr>
      <w:r>
        <w:t xml:space="preserve">8.3 Phase 2 — Processing + Second Hub</w:t>
      </w:r>
    </w:p>
    <w:p>
      <w:pPr>
        <w:pStyle w:val="ListParagraph"/>
        <w:numPr>
          <w:ilvl w:val="0"/>
          <w:numId w:val="2"/>
        </w:numPr>
        <w:spacing w:after="80"/>
      </w:pPr>
      <w:r>
        <w:t xml:space="preserve">Introduce processing line for surplus/below-grade produce once volume justifies it</w:t>
      </w:r>
    </w:p>
    <w:p>
      <w:pPr>
        <w:pStyle w:val="ListParagraph"/>
        <w:numPr>
          <w:ilvl w:val="0"/>
          <w:numId w:val="2"/>
        </w:numPr>
        <w:spacing w:after="80"/>
      </w:pPr>
      <w:r>
        <w:t xml:space="preserve">Replicate hub model in a second community</w:t>
      </w:r>
    </w:p>
    <w:p>
      <w:pPr>
        <w:pStyle w:val="ListParagraph"/>
        <w:numPr>
          <w:ilvl w:val="0"/>
          <w:numId w:val="2"/>
        </w:numPr>
        <w:spacing w:after="80"/>
      </w:pPr>
      <w:r>
        <w:t xml:space="preserve">Formalise input marketplace pilot with one or two negotiated wholesale supplier relationships</w:t>
      </w:r>
    </w:p>
    <w:p>
      <w:pPr>
        <w:pStyle w:val="Heading2"/>
        <w:spacing w:after="150" w:before="300"/>
      </w:pPr>
      <w:r>
        <w:t xml:space="preserve">8.4 Phase 3 — Academy + Platform Monetisation</w:t>
      </w:r>
    </w:p>
    <w:p>
      <w:pPr>
        <w:pStyle w:val="ListParagraph"/>
        <w:numPr>
          <w:ilvl w:val="0"/>
          <w:numId w:val="2"/>
        </w:numPr>
        <w:spacing w:after="80"/>
      </w:pPr>
      <w:r>
        <w:t xml:space="preserve">Launch Farming Academy training once there's a clear picture of the crops/quality gaps buyers keep flagging</w:t>
      </w:r>
    </w:p>
    <w:p>
      <w:pPr>
        <w:pStyle w:val="ListParagraph"/>
        <w:numPr>
          <w:ilvl w:val="0"/>
          <w:numId w:val="2"/>
        </w:numPr>
        <w:spacing w:after="80"/>
      </w:pPr>
      <w:r>
        <w:t xml:space="preserve">Introduce ads/subscriptions/lead-gen on the app once farmer adoption is meaningful</w:t>
      </w:r>
    </w:p>
    <w:p>
      <w:pPr>
        <w:pStyle w:val="ListParagraph"/>
        <w:numPr>
          <w:ilvl w:val="0"/>
          <w:numId w:val="2"/>
        </w:numPr>
        <w:spacing w:after="80"/>
      </w:pPr>
      <w:r>
        <w:t xml:space="preserve">Explore financing, insurance, and data-licensing partnerships</w:t>
      </w:r>
    </w:p>
    <w:p>
      <w:pPr>
        <w:pStyle w:val="Heading1"/>
        <w:spacing w:after="200" w:before="400"/>
      </w:pPr>
      <w:r>
        <w:t xml:space="preserve">9. Positioning Statement</w:t>
      </w:r>
    </w:p>
    <w:p>
      <w:pPr>
        <w:spacing w:after="160"/>
      </w:pPr>
      <w:r>
        <w:t xml:space="preserve">"A decentralised agricultural supply chain that transforms thousands of small-scale growers into one coordinated commercial farming network — connecting backyard and small-scale farmers to formal markets through community aggregation, quality assurance, value-added processing, and training."</w:t>
      </w:r>
    </w:p>
    <w:p>
      <w:pPr>
        <w:spacing w:after="200" w:before="100"/>
      </w:pPr>
      <w:r>
        <w:rPr>
          <w:i/>
          <w:iCs/>
          <w:color w:val="555555"/>
          <w:sz w:val="20"/>
          <w:szCs w:val="20"/>
        </w:rPr>
        <w:t xml:space="preserve">This document is a working reference, not a final business plan. Update it as buyer conversations, pilot results, and regulatory engagement clarify the real numbers behind each assumption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2026-07-07T05:08:14.957Z</dcterms:created>
  <dcterms:modified xsi:type="dcterms:W3CDTF">2026-07-07T05:08:14.957Z</dcterms:modified>
</cp:coreProperties>
</file>

<file path=docProps/custom.xml><?xml version="1.0" encoding="utf-8"?>
<Properties xmlns="http://schemas.openxmlformats.org/officeDocument/2006/custom-properties" xmlns:vt="http://schemas.openxmlformats.org/officeDocument/2006/docPropsVTypes"/>
</file>