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24"/>
        </w:rPr>
        <w:t>BIRLA INSTITUTE OF TECHNOLOGY &amp; SCIENCE, PILANI</w:t>
        <w:br/>
      </w:r>
      <w:r>
        <w:rPr>
          <w:rFonts w:ascii="Arial" w:hAnsi="Arial"/>
          <w:color w:val="595959"/>
          <w:sz w:val="20"/>
        </w:rPr>
        <w:t>Work Integrated Learning Programmes (WILP) | AIMLCZG523: MLOps Assignment 01</w:t>
        <w:br/>
      </w:r>
    </w:p>
    <w:p>
      <w:pPr>
        <w:spacing w:before="80" w:after="160"/>
        <w:jc w:val="center"/>
      </w:pPr>
      <w:r>
        <w:rPr>
          <w:rFonts w:ascii="Arial" w:hAnsi="Arial"/>
          <w:b/>
          <w:color w:val="1F4E79"/>
          <w:sz w:val="28"/>
        </w:rPr>
        <w:t>Production-Grade MLOps Pipeline: End-to-End Heart Disease Classifier</w:t>
        <w:br/>
        <w:t>CI/CD, MLflow Tracking, Docker Containerization &amp; Kubernetes Deployment</w:t>
      </w:r>
    </w:p>
    <w:tbl>
      <w:tblPr>
        <w:tblW w:type="auto" w:w="0"/>
        <w:jc w:val="center"/>
        <w:tblLook w:firstColumn="1" w:firstRow="1" w:lastColumn="0" w:lastRow="0" w:noHBand="0" w:noVBand="1" w:val="04A0"/>
      </w:tblPr>
      <w:tblGrid>
        <w:gridCol w:w="5184"/>
        <w:gridCol w:w="5184"/>
      </w:tblGrid>
      <w:tr>
        <w:tc>
          <w:tcPr>
            <w:tcW w:type="dxa" w:w="5184"/>
            <w:shd w:fill="F2F2F2"/>
            <w:tcMar>
              <w:top w:w="25" w:type="dxa"/>
              <w:bottom w:w="25" w:type="dxa"/>
              <w:left w:w="80" w:type="dxa"/>
              <w:right w:w="80" w:type="dxa"/>
            </w:tcMar>
          </w:tcPr>
          <w:p>
            <w:r>
              <w:rPr>
                <w:rFonts w:ascii="Arial" w:hAnsi="Arial"/>
                <w:b/>
                <w:sz w:val="17"/>
              </w:rPr>
              <w:t>BITS ID</w:t>
            </w:r>
          </w:p>
        </w:tc>
        <w:tc>
          <w:tcPr>
            <w:tcW w:type="dxa" w:w="5184"/>
            <w:tcMar>
              <w:top w:w="25" w:type="dxa"/>
              <w:bottom w:w="25" w:type="dxa"/>
              <w:left w:w="80" w:type="dxa"/>
              <w:right w:w="80" w:type="dxa"/>
            </w:tcMar>
          </w:tcPr>
          <w:p>
            <w:r>
              <w:rPr>
                <w:rFonts w:ascii="Arial" w:hAnsi="Arial"/>
                <w:sz w:val="17"/>
              </w:rPr>
              <w:t>2025AF05099</w:t>
            </w:r>
          </w:p>
        </w:tc>
      </w:tr>
      <w:tr>
        <w:tc>
          <w:tcPr>
            <w:tcW w:type="dxa" w:w="5184"/>
            <w:shd w:fill="F2F2F2"/>
            <w:tcMar>
              <w:top w:w="25" w:type="dxa"/>
              <w:bottom w:w="25" w:type="dxa"/>
              <w:left w:w="80" w:type="dxa"/>
              <w:right w:w="80" w:type="dxa"/>
            </w:tcMar>
          </w:tcPr>
          <w:p>
            <w:r>
              <w:rPr>
                <w:rFonts w:ascii="Arial" w:hAnsi="Arial"/>
                <w:b/>
                <w:sz w:val="17"/>
              </w:rPr>
              <w:t>Public GitHub Repository</w:t>
            </w:r>
          </w:p>
        </w:tc>
        <w:tc>
          <w:tcPr>
            <w:tcW w:type="dxa" w:w="5184"/>
            <w:tcMar>
              <w:top w:w="25" w:type="dxa"/>
              <w:bottom w:w="25" w:type="dxa"/>
              <w:left w:w="80" w:type="dxa"/>
              <w:right w:w="80" w:type="dxa"/>
            </w:tcMar>
          </w:tcPr>
          <w:p>
            <w:r>
              <w:rPr>
                <w:rFonts w:ascii="Arial" w:hAnsi="Arial"/>
                <w:sz w:val="17"/>
              </w:rPr>
              <w:t>https://github.com/Patient-learner/MLOPS_Assignment1_2025AF05099</w:t>
            </w:r>
          </w:p>
        </w:tc>
      </w:tr>
      <w:tr>
        <w:tc>
          <w:tcPr>
            <w:tcW w:type="dxa" w:w="5184"/>
            <w:shd w:fill="F2F2F2"/>
            <w:tcMar>
              <w:top w:w="25" w:type="dxa"/>
              <w:bottom w:w="25" w:type="dxa"/>
              <w:left w:w="80" w:type="dxa"/>
              <w:right w:w="80" w:type="dxa"/>
            </w:tcMar>
          </w:tcPr>
          <w:p>
            <w:r>
              <w:rPr>
                <w:rFonts w:ascii="Arial" w:hAnsi="Arial"/>
                <w:b/>
                <w:sz w:val="17"/>
              </w:rPr>
              <w:t>Video Walkthrough</w:t>
            </w:r>
          </w:p>
        </w:tc>
        <w:tc>
          <w:tcPr>
            <w:tcW w:type="dxa" w:w="5184"/>
            <w:tcMar>
              <w:top w:w="25" w:type="dxa"/>
              <w:bottom w:w="25" w:type="dxa"/>
              <w:left w:w="80" w:type="dxa"/>
              <w:right w:w="80" w:type="dxa"/>
            </w:tcMar>
          </w:tcPr>
          <w:p>
            <w:r>
              <w:rPr>
                <w:rFonts w:ascii="Arial" w:hAnsi="Arial"/>
                <w:sz w:val="17"/>
              </w:rPr>
              <w:t>https://github.com/Patient-learner/MLOPS_Assignment1_2025AF05099/tree/main/video</w:t>
            </w:r>
          </w:p>
        </w:tc>
      </w:tr>
      <w:tr>
        <w:tc>
          <w:tcPr>
            <w:tcW w:type="dxa" w:w="5184"/>
            <w:shd w:fill="F2F2F2"/>
            <w:tcMar>
              <w:top w:w="25" w:type="dxa"/>
              <w:bottom w:w="25" w:type="dxa"/>
              <w:left w:w="80" w:type="dxa"/>
              <w:right w:w="80" w:type="dxa"/>
            </w:tcMar>
          </w:tcPr>
          <w:p>
            <w:r>
              <w:rPr>
                <w:rFonts w:ascii="Arial" w:hAnsi="Arial"/>
                <w:b/>
                <w:sz w:val="17"/>
              </w:rPr>
              <w:t>Lab VM Execution Path</w:t>
            </w:r>
          </w:p>
        </w:tc>
        <w:tc>
          <w:tcPr>
            <w:tcW w:type="dxa" w:w="5184"/>
            <w:tcMar>
              <w:top w:w="25" w:type="dxa"/>
              <w:bottom w:w="25" w:type="dxa"/>
              <w:left w:w="80" w:type="dxa"/>
              <w:right w:w="80" w:type="dxa"/>
            </w:tcMar>
          </w:tcPr>
          <w:p>
            <w:r>
              <w:rPr>
                <w:rFonts w:ascii="Arial" w:hAnsi="Arial"/>
                <w:sz w:val="17"/>
              </w:rPr>
              <w:t>/home/s2025af05099/workspace/MLOPS_Assignment1_2025AF05099</w:t>
            </w:r>
          </w:p>
        </w:tc>
      </w:tr>
      <w:tr>
        <w:tc>
          <w:tcPr>
            <w:tcW w:type="dxa" w:w="5184"/>
            <w:shd w:fill="F2F2F2"/>
            <w:tcMar>
              <w:top w:w="25" w:type="dxa"/>
              <w:bottom w:w="25" w:type="dxa"/>
              <w:left w:w="80" w:type="dxa"/>
              <w:right w:w="80" w:type="dxa"/>
            </w:tcMar>
          </w:tcPr>
          <w:p>
            <w:r>
              <w:rPr>
                <w:rFonts w:ascii="Arial" w:hAnsi="Arial"/>
                <w:b/>
                <w:sz w:val="17"/>
              </w:rPr>
              <w:t>Dataset</w:t>
            </w:r>
          </w:p>
        </w:tc>
        <w:tc>
          <w:tcPr>
            <w:tcW w:type="dxa" w:w="5184"/>
            <w:tcMar>
              <w:top w:w="25" w:type="dxa"/>
              <w:bottom w:w="25" w:type="dxa"/>
              <w:left w:w="80" w:type="dxa"/>
              <w:right w:w="80" w:type="dxa"/>
            </w:tcMar>
          </w:tcPr>
          <w:p>
            <w:r>
              <w:rPr>
                <w:rFonts w:ascii="Arial" w:hAnsi="Arial"/>
                <w:sz w:val="17"/>
              </w:rPr>
              <w:t>UCI Heart Disease (Cleveland Clinical Repository - 13 Features + 1 Target)</w:t>
            </w:r>
          </w:p>
        </w:tc>
      </w:tr>
      <w:tr>
        <w:tc>
          <w:tcPr>
            <w:tcW w:type="dxa" w:w="5184"/>
            <w:shd w:fill="F2F2F2"/>
            <w:tcMar>
              <w:top w:w="25" w:type="dxa"/>
              <w:bottom w:w="25" w:type="dxa"/>
              <w:left w:w="80" w:type="dxa"/>
              <w:right w:w="80" w:type="dxa"/>
            </w:tcMar>
          </w:tcPr>
          <w:p>
            <w:r>
              <w:rPr>
                <w:rFonts w:ascii="Arial" w:hAnsi="Arial"/>
                <w:b/>
                <w:sz w:val="17"/>
              </w:rPr>
              <w:t>Serving Architecture</w:t>
            </w:r>
          </w:p>
        </w:tc>
        <w:tc>
          <w:tcPr>
            <w:tcW w:type="dxa" w:w="5184"/>
            <w:tcMar>
              <w:top w:w="25" w:type="dxa"/>
              <w:bottom w:w="25" w:type="dxa"/>
              <w:left w:w="80" w:type="dxa"/>
              <w:right w:w="80" w:type="dxa"/>
            </w:tcMar>
          </w:tcPr>
          <w:p>
            <w:r>
              <w:rPr>
                <w:rFonts w:ascii="Arial" w:hAnsi="Arial"/>
                <w:sz w:val="17"/>
              </w:rPr>
              <w:t>FastAPI + Docker (Non-Root) + Minikube K8s + Prometheus + Grafana</w:t>
            </w:r>
          </w:p>
        </w:tc>
      </w:tr>
      <w:tr>
        <w:tc>
          <w:tcPr>
            <w:tcW w:type="dxa" w:w="5184"/>
            <w:shd w:fill="F2F2F2"/>
            <w:tcMar>
              <w:top w:w="25" w:type="dxa"/>
              <w:bottom w:w="25" w:type="dxa"/>
              <w:left w:w="80" w:type="dxa"/>
              <w:right w:w="80" w:type="dxa"/>
            </w:tcMar>
          </w:tcPr>
          <w:p>
            <w:r>
              <w:rPr>
                <w:rFonts w:ascii="Arial" w:hAnsi="Arial"/>
                <w:b/>
                <w:sz w:val="17"/>
              </w:rPr>
              <w:t>CI/CD Automation</w:t>
            </w:r>
          </w:p>
        </w:tc>
        <w:tc>
          <w:tcPr>
            <w:tcW w:type="dxa" w:w="5184"/>
            <w:tcMar>
              <w:top w:w="25" w:type="dxa"/>
              <w:bottom w:w="25" w:type="dxa"/>
              <w:left w:w="80" w:type="dxa"/>
              <w:right w:w="80" w:type="dxa"/>
            </w:tcMar>
          </w:tcPr>
          <w:p>
            <w:r>
              <w:rPr>
                <w:rFonts w:ascii="Arial" w:hAnsi="Arial"/>
                <w:sz w:val="17"/>
              </w:rPr>
              <w:t>GitHub Actions (.github/workflows/ci.yml) with Automated Testing &amp; Build</w:t>
            </w:r>
          </w:p>
        </w:tc>
      </w:tr>
    </w:tbl>
    <w:p>
      <w:pPr>
        <w:pStyle w:val="Heading1"/>
        <w:keepNext/>
        <w:spacing w:before="200" w:after="80"/>
      </w:pPr>
      <w:r>
        <w:rPr>
          <w:rFonts w:ascii="Arial" w:hAnsi="Arial"/>
          <w:b/>
          <w:color w:val="1F4E79"/>
          <w:sz w:val="26"/>
        </w:rPr>
        <w:t>1. Executive Summary &amp; System Architecture</w:t>
      </w:r>
    </w:p>
    <w:p>
      <w:pPr>
        <w:spacing w:line="276" w:lineRule="auto" w:after="80"/>
      </w:pPr>
      <w:r>
        <w:t>This project uses the UCI Cleveland dataset to compare three classification models. Logistic regression achieved the highest cross-validation ROC-AUC, so its preprocessing and classifier were packaged together and served through FastAPI. The service was tested in Docker and deployed on Minikube. Pipeline reproducibility is ensured through fixed random seeds (seed=42), automated execution via main.py and run_local.sh, dependency version constraints in requirements.txt, and automated CI test verification on GitHub Actions.</w:t>
      </w:r>
    </w:p>
    <w:p>
      <w:r>
        <w:drawing>
          <wp:inline xmlns:a="http://schemas.openxmlformats.org/drawingml/2006/main" xmlns:pic="http://schemas.openxmlformats.org/drawingml/2006/picture">
            <wp:extent cx="4480560" cy="2546505"/>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4480560" cy="2546505"/>
                    </a:xfrm>
                    <a:prstGeom prst="rect"/>
                  </pic:spPr>
                </pic:pic>
              </a:graphicData>
            </a:graphic>
          </wp:inline>
        </w:drawing>
      </w:r>
    </w:p>
    <w:p>
      <w:pPr>
        <w:jc w:val="center"/>
      </w:pPr>
      <w:r>
        <w:rPr>
          <w:i/>
          <w:sz w:val="16"/>
        </w:rPr>
        <w:t>Figure 1: End-to-End MLOps System Architecture Diagram (Data, Modeling, Serving, Deployment &amp; Monitoring)</w:t>
      </w:r>
    </w:p>
    <w:p>
      <w:r>
        <w:br w:type="page"/>
      </w:r>
    </w:p>
    <w:p>
      <w:pPr>
        <w:pStyle w:val="Heading1"/>
        <w:keepNext/>
        <w:spacing w:before="200" w:after="80"/>
      </w:pPr>
      <w:r>
        <w:rPr>
          <w:rFonts w:ascii="Arial" w:hAnsi="Arial"/>
          <w:b/>
          <w:color w:val="1F4E79"/>
          <w:sz w:val="26"/>
        </w:rPr>
        <w:t>2. Setup &amp; Installation Instructions</w:t>
      </w:r>
    </w:p>
    <w:p>
      <w:pPr>
        <w:spacing w:line="240" w:lineRule="auto" w:after="40"/>
      </w:pPr>
      <w:r>
        <w:t>The repository is self-contained and reproducible across macOS, Linux, and Prayogshala lab VMs (deployed at /home/s2025af05099/workspace/MLOPS_Assignment1_2025AF05099). Because the repository is public, no authentication tokens are required for cloning.</w:t>
      </w:r>
    </w:p>
    <w:p>
      <w:pPr>
        <w:spacing w:line="240" w:lineRule="auto" w:after="60"/>
      </w:pPr>
      <w:r>
        <w:rPr>
          <w:rFonts w:ascii="Courier New" w:hAnsi="Courier New"/>
          <w:sz w:val="14"/>
        </w:rPr>
        <w:t># 1. Clone &amp; Enter Directory: git clone https://github.com/Patient-learner/MLOPS_Assignment1_2025AF05099.git &amp;&amp; cd MLOPS_Assignment1_2025AF05099</w:t>
        <w:br/>
        <w:t># 2. Local Pipeline &amp; Test Suite: chmod +x run_local.sh &amp;&amp; ./run_local.sh</w:t>
        <w:br/>
        <w:t># 3. Python Pipeline Stages: ./venv/bin/python main.py --stage all  (stages: data, preprocess, eda, train, report)</w:t>
        <w:br/>
        <w:t># 4. Container Build: docker build -t heart-disease-api:v1 .</w:t>
        <w:br/>
        <w:t># 5. Serving Option A (Compose): docker compose -f monitoring/docker-compose.monitoring.yml up -d  (API:8000, Grafana:3000)</w:t>
        <w:br/>
        <w:t>#    Serving Option B (K8s): minikube start &amp;&amp; minikube image load heart-disease-api:v1 &amp;&amp; kubectl apply -f k8s/</w:t>
        <w:br/>
        <w:t>#    Access K8s Service: kubectl port-forward svc/heart-disease-service 8080:8000</w:t>
      </w:r>
    </w:p>
    <w:p>
      <w:pPr>
        <w:pStyle w:val="Heading1"/>
        <w:keepNext/>
        <w:spacing w:before="200" w:after="80"/>
      </w:pPr>
      <w:r>
        <w:rPr>
          <w:rFonts w:ascii="Arial" w:hAnsi="Arial"/>
          <w:b/>
          <w:color w:val="1F4E79"/>
          <w:sz w:val="26"/>
        </w:rPr>
        <w:t>3. Data Acquisition &amp; Clinical Data Dictionary [Task 1]</w:t>
      </w:r>
    </w:p>
    <w:p>
      <w:pPr>
        <w:spacing w:line="276" w:lineRule="auto" w:after="80"/>
      </w:pPr>
      <w:r>
        <w:t>The UCI Heart Disease dataset comprises 303 patient records with 13 clinical input features and one binary target column collected from the Cleveland Clinic. Data ingestion is automated via src/data/download_data.py with local fallback caching for offline environments.</w:t>
      </w:r>
    </w:p>
    <w:tbl>
      <w:tblPr>
        <w:tblW w:type="auto" w:w="0"/>
        <w:jc w:val="center"/>
        <w:tblLook w:firstColumn="1" w:firstRow="1" w:lastColumn="0" w:lastRow="0" w:noHBand="0" w:noVBand="1" w:val="04A0"/>
      </w:tblPr>
      <w:tblGrid>
        <w:gridCol w:w="2592"/>
        <w:gridCol w:w="2592"/>
        <w:gridCol w:w="2592"/>
        <w:gridCol w:w="2592"/>
      </w:tblGrid>
      <w:tr>
        <w:tc>
          <w:tcPr>
            <w:tcW w:type="dxa" w:w="2592"/>
            <w:shd w:fill="1F4E79"/>
            <w:tcMar>
              <w:top w:w="30" w:type="dxa"/>
              <w:bottom w:w="30" w:type="dxa"/>
              <w:left w:w="50" w:type="dxa"/>
              <w:right w:w="50" w:type="dxa"/>
            </w:tcMar>
          </w:tcPr>
          <w:p>
            <w:r>
              <w:rPr>
                <w:b/>
                <w:color w:val="FFFFFF"/>
                <w:sz w:val="16"/>
              </w:rPr>
              <w:t>Attribute</w:t>
            </w:r>
          </w:p>
        </w:tc>
        <w:tc>
          <w:tcPr>
            <w:tcW w:type="dxa" w:w="2592"/>
            <w:shd w:fill="1F4E79"/>
            <w:tcMar>
              <w:top w:w="30" w:type="dxa"/>
              <w:bottom w:w="30" w:type="dxa"/>
              <w:left w:w="50" w:type="dxa"/>
              <w:right w:w="50" w:type="dxa"/>
            </w:tcMar>
          </w:tcPr>
          <w:p>
            <w:r>
              <w:rPr>
                <w:b/>
                <w:color w:val="FFFFFF"/>
                <w:sz w:val="16"/>
              </w:rPr>
              <w:t>Clinical Description</w:t>
            </w:r>
          </w:p>
        </w:tc>
        <w:tc>
          <w:tcPr>
            <w:tcW w:type="dxa" w:w="2592"/>
            <w:shd w:fill="1F4E79"/>
            <w:tcMar>
              <w:top w:w="30" w:type="dxa"/>
              <w:bottom w:w="30" w:type="dxa"/>
              <w:left w:w="50" w:type="dxa"/>
              <w:right w:w="50" w:type="dxa"/>
            </w:tcMar>
          </w:tcPr>
          <w:p>
            <w:r>
              <w:rPr>
                <w:b/>
                <w:color w:val="FFFFFF"/>
                <w:sz w:val="16"/>
              </w:rPr>
              <w:t>Measurement Range / Categories</w:t>
            </w:r>
          </w:p>
        </w:tc>
        <w:tc>
          <w:tcPr>
            <w:tcW w:type="dxa" w:w="2592"/>
            <w:shd w:fill="1F4E79"/>
            <w:tcMar>
              <w:top w:w="30" w:type="dxa"/>
              <w:bottom w:w="30" w:type="dxa"/>
              <w:left w:w="50" w:type="dxa"/>
              <w:right w:w="50" w:type="dxa"/>
            </w:tcMar>
          </w:tcPr>
          <w:p>
            <w:r>
              <w:rPr>
                <w:b/>
                <w:color w:val="FFFFFF"/>
                <w:sz w:val="16"/>
              </w:rPr>
              <w:t>Pipeline Role</w:t>
            </w:r>
          </w:p>
        </w:tc>
      </w:tr>
      <w:tr>
        <w:tc>
          <w:tcPr>
            <w:tcW w:type="dxa" w:w="2592"/>
            <w:tcMar>
              <w:top w:w="25" w:type="dxa"/>
              <w:bottom w:w="25" w:type="dxa"/>
              <w:left w:w="40" w:type="dxa"/>
              <w:right w:w="40" w:type="dxa"/>
            </w:tcMar>
          </w:tcPr>
          <w:p>
            <w:r>
              <w:rPr>
                <w:sz w:val="15"/>
              </w:rPr>
              <w:t>age</w:t>
            </w:r>
          </w:p>
        </w:tc>
        <w:tc>
          <w:tcPr>
            <w:tcW w:type="dxa" w:w="2592"/>
            <w:tcMar>
              <w:top w:w="25" w:type="dxa"/>
              <w:bottom w:w="25" w:type="dxa"/>
              <w:left w:w="40" w:type="dxa"/>
              <w:right w:w="40" w:type="dxa"/>
            </w:tcMar>
          </w:tcPr>
          <w:p>
            <w:r>
              <w:rPr>
                <w:sz w:val="15"/>
              </w:rPr>
              <w:t>Patient age in years</w:t>
            </w:r>
          </w:p>
        </w:tc>
        <w:tc>
          <w:tcPr>
            <w:tcW w:type="dxa" w:w="2592"/>
            <w:tcMar>
              <w:top w:w="25" w:type="dxa"/>
              <w:bottom w:w="25" w:type="dxa"/>
              <w:left w:w="40" w:type="dxa"/>
              <w:right w:w="40" w:type="dxa"/>
            </w:tcMar>
          </w:tcPr>
          <w:p>
            <w:r>
              <w:rPr>
                <w:sz w:val="15"/>
              </w:rPr>
              <w:t>29 – 77 years</w:t>
            </w:r>
          </w:p>
        </w:tc>
        <w:tc>
          <w:tcPr>
            <w:tcW w:type="dxa" w:w="2592"/>
            <w:tcMar>
              <w:top w:w="25" w:type="dxa"/>
              <w:bottom w:w="25" w:type="dxa"/>
              <w:left w:w="40" w:type="dxa"/>
              <w:right w:w="40" w:type="dxa"/>
            </w:tcMar>
          </w:tcPr>
          <w:p>
            <w:r>
              <w:rPr>
                <w:sz w:val="15"/>
              </w:rPr>
              <w:t>Numeric (StandardScaler)</w:t>
            </w:r>
          </w:p>
        </w:tc>
      </w:tr>
      <w:tr>
        <w:tc>
          <w:tcPr>
            <w:tcW w:type="dxa" w:w="2592"/>
            <w:tcMar>
              <w:top w:w="25" w:type="dxa"/>
              <w:bottom w:w="25" w:type="dxa"/>
              <w:left w:w="40" w:type="dxa"/>
              <w:right w:w="40" w:type="dxa"/>
            </w:tcMar>
          </w:tcPr>
          <w:p>
            <w:r>
              <w:rPr>
                <w:sz w:val="15"/>
              </w:rPr>
              <w:t>sex</w:t>
            </w:r>
          </w:p>
        </w:tc>
        <w:tc>
          <w:tcPr>
            <w:tcW w:type="dxa" w:w="2592"/>
            <w:tcMar>
              <w:top w:w="25" w:type="dxa"/>
              <w:bottom w:w="25" w:type="dxa"/>
              <w:left w:w="40" w:type="dxa"/>
              <w:right w:w="40" w:type="dxa"/>
            </w:tcMar>
          </w:tcPr>
          <w:p>
            <w:r>
              <w:rPr>
                <w:sz w:val="15"/>
              </w:rPr>
              <w:t>Biological sex</w:t>
            </w:r>
          </w:p>
        </w:tc>
        <w:tc>
          <w:tcPr>
            <w:tcW w:type="dxa" w:w="2592"/>
            <w:tcMar>
              <w:top w:w="25" w:type="dxa"/>
              <w:bottom w:w="25" w:type="dxa"/>
              <w:left w:w="40" w:type="dxa"/>
              <w:right w:w="40" w:type="dxa"/>
            </w:tcMar>
          </w:tcPr>
          <w:p>
            <w:r>
              <w:rPr>
                <w:sz w:val="15"/>
              </w:rPr>
              <w:t>0 = Female, 1 = Male</w:t>
            </w:r>
          </w:p>
        </w:tc>
        <w:tc>
          <w:tcPr>
            <w:tcW w:type="dxa" w:w="2592"/>
            <w:tcMar>
              <w:top w:w="25" w:type="dxa"/>
              <w:bottom w:w="25" w:type="dxa"/>
              <w:left w:w="40" w:type="dxa"/>
              <w:right w:w="40" w:type="dxa"/>
            </w:tcMar>
          </w:tcPr>
          <w:p>
            <w:r>
              <w:rPr>
                <w:sz w:val="15"/>
              </w:rPr>
              <w:t>Binary (Mode Imputer)</w:t>
            </w:r>
          </w:p>
        </w:tc>
      </w:tr>
      <w:tr>
        <w:tc>
          <w:tcPr>
            <w:tcW w:type="dxa" w:w="2592"/>
            <w:tcMar>
              <w:top w:w="25" w:type="dxa"/>
              <w:bottom w:w="25" w:type="dxa"/>
              <w:left w:w="40" w:type="dxa"/>
              <w:right w:w="40" w:type="dxa"/>
            </w:tcMar>
          </w:tcPr>
          <w:p>
            <w:r>
              <w:rPr>
                <w:sz w:val="15"/>
              </w:rPr>
              <w:t>cp</w:t>
            </w:r>
          </w:p>
        </w:tc>
        <w:tc>
          <w:tcPr>
            <w:tcW w:type="dxa" w:w="2592"/>
            <w:tcMar>
              <w:top w:w="25" w:type="dxa"/>
              <w:bottom w:w="25" w:type="dxa"/>
              <w:left w:w="40" w:type="dxa"/>
              <w:right w:w="40" w:type="dxa"/>
            </w:tcMar>
          </w:tcPr>
          <w:p>
            <w:r>
              <w:rPr>
                <w:sz w:val="15"/>
              </w:rPr>
              <w:t>Chest pain type</w:t>
            </w:r>
          </w:p>
        </w:tc>
        <w:tc>
          <w:tcPr>
            <w:tcW w:type="dxa" w:w="2592"/>
            <w:tcMar>
              <w:top w:w="25" w:type="dxa"/>
              <w:bottom w:w="25" w:type="dxa"/>
              <w:left w:w="40" w:type="dxa"/>
              <w:right w:w="40" w:type="dxa"/>
            </w:tcMar>
          </w:tcPr>
          <w:p>
            <w:r>
              <w:rPr>
                <w:sz w:val="15"/>
              </w:rPr>
              <w:t>1 = Typical, 2 = Atypical, 3 = Non-anginal, 4 = Asymptomatic</w:t>
            </w:r>
          </w:p>
        </w:tc>
        <w:tc>
          <w:tcPr>
            <w:tcW w:type="dxa" w:w="2592"/>
            <w:tcMar>
              <w:top w:w="25" w:type="dxa"/>
              <w:bottom w:w="25" w:type="dxa"/>
              <w:left w:w="40" w:type="dxa"/>
              <w:right w:w="40" w:type="dxa"/>
            </w:tcMar>
          </w:tcPr>
          <w:p>
            <w:r>
              <w:rPr>
                <w:sz w:val="15"/>
              </w:rPr>
              <w:t>Categorical (OneHotEncoder)</w:t>
            </w:r>
          </w:p>
        </w:tc>
      </w:tr>
      <w:tr>
        <w:tc>
          <w:tcPr>
            <w:tcW w:type="dxa" w:w="2592"/>
            <w:tcMar>
              <w:top w:w="25" w:type="dxa"/>
              <w:bottom w:w="25" w:type="dxa"/>
              <w:left w:w="40" w:type="dxa"/>
              <w:right w:w="40" w:type="dxa"/>
            </w:tcMar>
          </w:tcPr>
          <w:p>
            <w:r>
              <w:rPr>
                <w:sz w:val="15"/>
              </w:rPr>
              <w:t>trestbps</w:t>
            </w:r>
          </w:p>
        </w:tc>
        <w:tc>
          <w:tcPr>
            <w:tcW w:type="dxa" w:w="2592"/>
            <w:tcMar>
              <w:top w:w="25" w:type="dxa"/>
              <w:bottom w:w="25" w:type="dxa"/>
              <w:left w:w="40" w:type="dxa"/>
              <w:right w:w="40" w:type="dxa"/>
            </w:tcMar>
          </w:tcPr>
          <w:p>
            <w:r>
              <w:rPr>
                <w:sz w:val="15"/>
              </w:rPr>
              <w:t>Resting blood pressure on hospital admission</w:t>
            </w:r>
          </w:p>
        </w:tc>
        <w:tc>
          <w:tcPr>
            <w:tcW w:type="dxa" w:w="2592"/>
            <w:tcMar>
              <w:top w:w="25" w:type="dxa"/>
              <w:bottom w:w="25" w:type="dxa"/>
              <w:left w:w="40" w:type="dxa"/>
              <w:right w:w="40" w:type="dxa"/>
            </w:tcMar>
          </w:tcPr>
          <w:p>
            <w:r>
              <w:rPr>
                <w:sz w:val="15"/>
              </w:rPr>
              <w:t>94 – 200 mm Hg</w:t>
            </w:r>
          </w:p>
        </w:tc>
        <w:tc>
          <w:tcPr>
            <w:tcW w:type="dxa" w:w="2592"/>
            <w:tcMar>
              <w:top w:w="25" w:type="dxa"/>
              <w:bottom w:w="25" w:type="dxa"/>
              <w:left w:w="40" w:type="dxa"/>
              <w:right w:w="40" w:type="dxa"/>
            </w:tcMar>
          </w:tcPr>
          <w:p>
            <w:r>
              <w:rPr>
                <w:sz w:val="15"/>
              </w:rPr>
              <w:t>Numeric (StandardScaler)</w:t>
            </w:r>
          </w:p>
        </w:tc>
      </w:tr>
      <w:tr>
        <w:tc>
          <w:tcPr>
            <w:tcW w:type="dxa" w:w="2592"/>
            <w:tcMar>
              <w:top w:w="25" w:type="dxa"/>
              <w:bottom w:w="25" w:type="dxa"/>
              <w:left w:w="40" w:type="dxa"/>
              <w:right w:w="40" w:type="dxa"/>
            </w:tcMar>
          </w:tcPr>
          <w:p>
            <w:r>
              <w:rPr>
                <w:sz w:val="15"/>
              </w:rPr>
              <w:t>chol</w:t>
            </w:r>
          </w:p>
        </w:tc>
        <w:tc>
          <w:tcPr>
            <w:tcW w:type="dxa" w:w="2592"/>
            <w:tcMar>
              <w:top w:w="25" w:type="dxa"/>
              <w:bottom w:w="25" w:type="dxa"/>
              <w:left w:w="40" w:type="dxa"/>
              <w:right w:w="40" w:type="dxa"/>
            </w:tcMar>
          </w:tcPr>
          <w:p>
            <w:r>
              <w:rPr>
                <w:sz w:val="15"/>
              </w:rPr>
              <w:t>Serum cholesterol</w:t>
            </w:r>
          </w:p>
        </w:tc>
        <w:tc>
          <w:tcPr>
            <w:tcW w:type="dxa" w:w="2592"/>
            <w:tcMar>
              <w:top w:w="25" w:type="dxa"/>
              <w:bottom w:w="25" w:type="dxa"/>
              <w:left w:w="40" w:type="dxa"/>
              <w:right w:w="40" w:type="dxa"/>
            </w:tcMar>
          </w:tcPr>
          <w:p>
            <w:r>
              <w:rPr>
                <w:sz w:val="15"/>
              </w:rPr>
              <w:t>126 – 564 mg/dl</w:t>
            </w:r>
          </w:p>
        </w:tc>
        <w:tc>
          <w:tcPr>
            <w:tcW w:type="dxa" w:w="2592"/>
            <w:tcMar>
              <w:top w:w="25" w:type="dxa"/>
              <w:bottom w:w="25" w:type="dxa"/>
              <w:left w:w="40" w:type="dxa"/>
              <w:right w:w="40" w:type="dxa"/>
            </w:tcMar>
          </w:tcPr>
          <w:p>
            <w:r>
              <w:rPr>
                <w:sz w:val="15"/>
              </w:rPr>
              <w:t>Numeric (StandardScaler)</w:t>
            </w:r>
          </w:p>
        </w:tc>
      </w:tr>
      <w:tr>
        <w:tc>
          <w:tcPr>
            <w:tcW w:type="dxa" w:w="2592"/>
            <w:tcMar>
              <w:top w:w="25" w:type="dxa"/>
              <w:bottom w:w="25" w:type="dxa"/>
              <w:left w:w="40" w:type="dxa"/>
              <w:right w:w="40" w:type="dxa"/>
            </w:tcMar>
          </w:tcPr>
          <w:p>
            <w:r>
              <w:rPr>
                <w:sz w:val="15"/>
              </w:rPr>
              <w:t>fbs</w:t>
            </w:r>
          </w:p>
        </w:tc>
        <w:tc>
          <w:tcPr>
            <w:tcW w:type="dxa" w:w="2592"/>
            <w:tcMar>
              <w:top w:w="25" w:type="dxa"/>
              <w:bottom w:w="25" w:type="dxa"/>
              <w:left w:w="40" w:type="dxa"/>
              <w:right w:w="40" w:type="dxa"/>
            </w:tcMar>
          </w:tcPr>
          <w:p>
            <w:r>
              <w:rPr>
                <w:sz w:val="15"/>
              </w:rPr>
              <w:t>Fasting blood sugar &gt; 120 mg/dl</w:t>
            </w:r>
          </w:p>
        </w:tc>
        <w:tc>
          <w:tcPr>
            <w:tcW w:type="dxa" w:w="2592"/>
            <w:tcMar>
              <w:top w:w="25" w:type="dxa"/>
              <w:bottom w:w="25" w:type="dxa"/>
              <w:left w:w="40" w:type="dxa"/>
              <w:right w:w="40" w:type="dxa"/>
            </w:tcMar>
          </w:tcPr>
          <w:p>
            <w:r>
              <w:rPr>
                <w:sz w:val="15"/>
              </w:rPr>
              <w:t>0 = False, 1 = True</w:t>
            </w:r>
          </w:p>
        </w:tc>
        <w:tc>
          <w:tcPr>
            <w:tcW w:type="dxa" w:w="2592"/>
            <w:tcMar>
              <w:top w:w="25" w:type="dxa"/>
              <w:bottom w:w="25" w:type="dxa"/>
              <w:left w:w="40" w:type="dxa"/>
              <w:right w:w="40" w:type="dxa"/>
            </w:tcMar>
          </w:tcPr>
          <w:p>
            <w:r>
              <w:rPr>
                <w:sz w:val="15"/>
              </w:rPr>
              <w:t>Binary (Mode Imputer)</w:t>
            </w:r>
          </w:p>
        </w:tc>
      </w:tr>
      <w:tr>
        <w:tc>
          <w:tcPr>
            <w:tcW w:type="dxa" w:w="2592"/>
            <w:tcMar>
              <w:top w:w="25" w:type="dxa"/>
              <w:bottom w:w="25" w:type="dxa"/>
              <w:left w:w="40" w:type="dxa"/>
              <w:right w:w="40" w:type="dxa"/>
            </w:tcMar>
          </w:tcPr>
          <w:p>
            <w:r>
              <w:rPr>
                <w:sz w:val="15"/>
              </w:rPr>
              <w:t>restecg</w:t>
            </w:r>
          </w:p>
        </w:tc>
        <w:tc>
          <w:tcPr>
            <w:tcW w:type="dxa" w:w="2592"/>
            <w:tcMar>
              <w:top w:w="25" w:type="dxa"/>
              <w:bottom w:w="25" w:type="dxa"/>
              <w:left w:w="40" w:type="dxa"/>
              <w:right w:w="40" w:type="dxa"/>
            </w:tcMar>
          </w:tcPr>
          <w:p>
            <w:r>
              <w:rPr>
                <w:sz w:val="15"/>
              </w:rPr>
              <w:t>Resting ECG results</w:t>
            </w:r>
          </w:p>
        </w:tc>
        <w:tc>
          <w:tcPr>
            <w:tcW w:type="dxa" w:w="2592"/>
            <w:tcMar>
              <w:top w:w="25" w:type="dxa"/>
              <w:bottom w:w="25" w:type="dxa"/>
              <w:left w:w="40" w:type="dxa"/>
              <w:right w:w="40" w:type="dxa"/>
            </w:tcMar>
          </w:tcPr>
          <w:p>
            <w:r>
              <w:rPr>
                <w:sz w:val="15"/>
              </w:rPr>
              <w:t>0 = Normal, 1 = ST-T wave abnormality, 2 = LV hypertrophy</w:t>
            </w:r>
          </w:p>
        </w:tc>
        <w:tc>
          <w:tcPr>
            <w:tcW w:type="dxa" w:w="2592"/>
            <w:tcMar>
              <w:top w:w="25" w:type="dxa"/>
              <w:bottom w:w="25" w:type="dxa"/>
              <w:left w:w="40" w:type="dxa"/>
              <w:right w:w="40" w:type="dxa"/>
            </w:tcMar>
          </w:tcPr>
          <w:p>
            <w:r>
              <w:rPr>
                <w:sz w:val="15"/>
              </w:rPr>
              <w:t>Categorical (OneHotEncoder)</w:t>
            </w:r>
          </w:p>
        </w:tc>
      </w:tr>
      <w:tr>
        <w:tc>
          <w:tcPr>
            <w:tcW w:type="dxa" w:w="2592"/>
            <w:tcMar>
              <w:top w:w="25" w:type="dxa"/>
              <w:bottom w:w="25" w:type="dxa"/>
              <w:left w:w="40" w:type="dxa"/>
              <w:right w:w="40" w:type="dxa"/>
            </w:tcMar>
          </w:tcPr>
          <w:p>
            <w:r>
              <w:rPr>
                <w:sz w:val="15"/>
              </w:rPr>
              <w:t>thalach</w:t>
            </w:r>
          </w:p>
        </w:tc>
        <w:tc>
          <w:tcPr>
            <w:tcW w:type="dxa" w:w="2592"/>
            <w:tcMar>
              <w:top w:w="25" w:type="dxa"/>
              <w:bottom w:w="25" w:type="dxa"/>
              <w:left w:w="40" w:type="dxa"/>
              <w:right w:w="40" w:type="dxa"/>
            </w:tcMar>
          </w:tcPr>
          <w:p>
            <w:r>
              <w:rPr>
                <w:sz w:val="15"/>
              </w:rPr>
              <w:t>Maximum heart rate achieved during stress test</w:t>
            </w:r>
          </w:p>
        </w:tc>
        <w:tc>
          <w:tcPr>
            <w:tcW w:type="dxa" w:w="2592"/>
            <w:tcMar>
              <w:top w:w="25" w:type="dxa"/>
              <w:bottom w:w="25" w:type="dxa"/>
              <w:left w:w="40" w:type="dxa"/>
              <w:right w:w="40" w:type="dxa"/>
            </w:tcMar>
          </w:tcPr>
          <w:p>
            <w:r>
              <w:rPr>
                <w:sz w:val="15"/>
              </w:rPr>
              <w:t>71 – 202 bpm</w:t>
            </w:r>
          </w:p>
        </w:tc>
        <w:tc>
          <w:tcPr>
            <w:tcW w:type="dxa" w:w="2592"/>
            <w:tcMar>
              <w:top w:w="25" w:type="dxa"/>
              <w:bottom w:w="25" w:type="dxa"/>
              <w:left w:w="40" w:type="dxa"/>
              <w:right w:w="40" w:type="dxa"/>
            </w:tcMar>
          </w:tcPr>
          <w:p>
            <w:r>
              <w:rPr>
                <w:sz w:val="15"/>
              </w:rPr>
              <w:t>Numeric (StandardScaler)</w:t>
            </w:r>
          </w:p>
        </w:tc>
      </w:tr>
      <w:tr>
        <w:tc>
          <w:tcPr>
            <w:tcW w:type="dxa" w:w="2592"/>
            <w:tcMar>
              <w:top w:w="25" w:type="dxa"/>
              <w:bottom w:w="25" w:type="dxa"/>
              <w:left w:w="40" w:type="dxa"/>
              <w:right w:w="40" w:type="dxa"/>
            </w:tcMar>
          </w:tcPr>
          <w:p>
            <w:r>
              <w:rPr>
                <w:sz w:val="15"/>
              </w:rPr>
              <w:t>exang</w:t>
            </w:r>
          </w:p>
        </w:tc>
        <w:tc>
          <w:tcPr>
            <w:tcW w:type="dxa" w:w="2592"/>
            <w:tcMar>
              <w:top w:w="25" w:type="dxa"/>
              <w:bottom w:w="25" w:type="dxa"/>
              <w:left w:w="40" w:type="dxa"/>
              <w:right w:w="40" w:type="dxa"/>
            </w:tcMar>
          </w:tcPr>
          <w:p>
            <w:r>
              <w:rPr>
                <w:sz w:val="15"/>
              </w:rPr>
              <w:t>Exercise induced angina</w:t>
            </w:r>
          </w:p>
        </w:tc>
        <w:tc>
          <w:tcPr>
            <w:tcW w:type="dxa" w:w="2592"/>
            <w:tcMar>
              <w:top w:w="25" w:type="dxa"/>
              <w:bottom w:w="25" w:type="dxa"/>
              <w:left w:w="40" w:type="dxa"/>
              <w:right w:w="40" w:type="dxa"/>
            </w:tcMar>
          </w:tcPr>
          <w:p>
            <w:r>
              <w:rPr>
                <w:sz w:val="15"/>
              </w:rPr>
              <w:t>0 = No, 1 = Yes</w:t>
            </w:r>
          </w:p>
        </w:tc>
        <w:tc>
          <w:tcPr>
            <w:tcW w:type="dxa" w:w="2592"/>
            <w:tcMar>
              <w:top w:w="25" w:type="dxa"/>
              <w:bottom w:w="25" w:type="dxa"/>
              <w:left w:w="40" w:type="dxa"/>
              <w:right w:w="40" w:type="dxa"/>
            </w:tcMar>
          </w:tcPr>
          <w:p>
            <w:r>
              <w:rPr>
                <w:sz w:val="15"/>
              </w:rPr>
              <w:t>Binary (Mode Imputer)</w:t>
            </w:r>
          </w:p>
        </w:tc>
      </w:tr>
      <w:tr>
        <w:tc>
          <w:tcPr>
            <w:tcW w:type="dxa" w:w="2592"/>
            <w:tcMar>
              <w:top w:w="25" w:type="dxa"/>
              <w:bottom w:w="25" w:type="dxa"/>
              <w:left w:w="40" w:type="dxa"/>
              <w:right w:w="40" w:type="dxa"/>
            </w:tcMar>
          </w:tcPr>
          <w:p>
            <w:r>
              <w:rPr>
                <w:sz w:val="15"/>
              </w:rPr>
              <w:t>oldpeak</w:t>
            </w:r>
          </w:p>
        </w:tc>
        <w:tc>
          <w:tcPr>
            <w:tcW w:type="dxa" w:w="2592"/>
            <w:tcMar>
              <w:top w:w="25" w:type="dxa"/>
              <w:bottom w:w="25" w:type="dxa"/>
              <w:left w:w="40" w:type="dxa"/>
              <w:right w:w="40" w:type="dxa"/>
            </w:tcMar>
          </w:tcPr>
          <w:p>
            <w:r>
              <w:rPr>
                <w:sz w:val="15"/>
              </w:rPr>
              <w:t>ST depression induced by exercise relative to rest</w:t>
            </w:r>
          </w:p>
        </w:tc>
        <w:tc>
          <w:tcPr>
            <w:tcW w:type="dxa" w:w="2592"/>
            <w:tcMar>
              <w:top w:w="25" w:type="dxa"/>
              <w:bottom w:w="25" w:type="dxa"/>
              <w:left w:w="40" w:type="dxa"/>
              <w:right w:w="40" w:type="dxa"/>
            </w:tcMar>
          </w:tcPr>
          <w:p>
            <w:r>
              <w:rPr>
                <w:sz w:val="15"/>
              </w:rPr>
              <w:t>0.0 – 6.2 mm</w:t>
            </w:r>
          </w:p>
        </w:tc>
        <w:tc>
          <w:tcPr>
            <w:tcW w:type="dxa" w:w="2592"/>
            <w:tcMar>
              <w:top w:w="25" w:type="dxa"/>
              <w:bottom w:w="25" w:type="dxa"/>
              <w:left w:w="40" w:type="dxa"/>
              <w:right w:w="40" w:type="dxa"/>
            </w:tcMar>
          </w:tcPr>
          <w:p>
            <w:r>
              <w:rPr>
                <w:sz w:val="15"/>
              </w:rPr>
              <w:t>Numeric (StandardScaler)</w:t>
            </w:r>
          </w:p>
        </w:tc>
      </w:tr>
      <w:tr>
        <w:tc>
          <w:tcPr>
            <w:tcW w:type="dxa" w:w="2592"/>
            <w:tcMar>
              <w:top w:w="25" w:type="dxa"/>
              <w:bottom w:w="25" w:type="dxa"/>
              <w:left w:w="40" w:type="dxa"/>
              <w:right w:w="40" w:type="dxa"/>
            </w:tcMar>
          </w:tcPr>
          <w:p>
            <w:r>
              <w:rPr>
                <w:sz w:val="15"/>
              </w:rPr>
              <w:t>slope</w:t>
            </w:r>
          </w:p>
        </w:tc>
        <w:tc>
          <w:tcPr>
            <w:tcW w:type="dxa" w:w="2592"/>
            <w:tcMar>
              <w:top w:w="25" w:type="dxa"/>
              <w:bottom w:w="25" w:type="dxa"/>
              <w:left w:w="40" w:type="dxa"/>
              <w:right w:w="40" w:type="dxa"/>
            </w:tcMar>
          </w:tcPr>
          <w:p>
            <w:r>
              <w:rPr>
                <w:sz w:val="15"/>
              </w:rPr>
              <w:t>Slope of the peak exercise ST segment</w:t>
            </w:r>
          </w:p>
        </w:tc>
        <w:tc>
          <w:tcPr>
            <w:tcW w:type="dxa" w:w="2592"/>
            <w:tcMar>
              <w:top w:w="25" w:type="dxa"/>
              <w:bottom w:w="25" w:type="dxa"/>
              <w:left w:w="40" w:type="dxa"/>
              <w:right w:w="40" w:type="dxa"/>
            </w:tcMar>
          </w:tcPr>
          <w:p>
            <w:r>
              <w:rPr>
                <w:sz w:val="15"/>
              </w:rPr>
              <w:t>1 = Upsloping, 2 = Flat, 3 = Downsloping</w:t>
            </w:r>
          </w:p>
        </w:tc>
        <w:tc>
          <w:tcPr>
            <w:tcW w:type="dxa" w:w="2592"/>
            <w:tcMar>
              <w:top w:w="25" w:type="dxa"/>
              <w:bottom w:w="25" w:type="dxa"/>
              <w:left w:w="40" w:type="dxa"/>
              <w:right w:w="40" w:type="dxa"/>
            </w:tcMar>
          </w:tcPr>
          <w:p>
            <w:r>
              <w:rPr>
                <w:sz w:val="15"/>
              </w:rPr>
              <w:t>Categorical (OneHotEncoder)</w:t>
            </w:r>
          </w:p>
        </w:tc>
      </w:tr>
      <w:tr>
        <w:tc>
          <w:tcPr>
            <w:tcW w:type="dxa" w:w="2592"/>
            <w:tcMar>
              <w:top w:w="25" w:type="dxa"/>
              <w:bottom w:w="25" w:type="dxa"/>
              <w:left w:w="40" w:type="dxa"/>
              <w:right w:w="40" w:type="dxa"/>
            </w:tcMar>
          </w:tcPr>
          <w:p>
            <w:r>
              <w:rPr>
                <w:sz w:val="15"/>
              </w:rPr>
              <w:t>ca</w:t>
            </w:r>
          </w:p>
        </w:tc>
        <w:tc>
          <w:tcPr>
            <w:tcW w:type="dxa" w:w="2592"/>
            <w:tcMar>
              <w:top w:w="25" w:type="dxa"/>
              <w:bottom w:w="25" w:type="dxa"/>
              <w:left w:w="40" w:type="dxa"/>
              <w:right w:w="40" w:type="dxa"/>
            </w:tcMar>
          </w:tcPr>
          <w:p>
            <w:r>
              <w:rPr>
                <w:sz w:val="15"/>
              </w:rPr>
              <w:t>Number of major vessels (0-3) colored by fluoroscopy</w:t>
            </w:r>
          </w:p>
        </w:tc>
        <w:tc>
          <w:tcPr>
            <w:tcW w:type="dxa" w:w="2592"/>
            <w:tcMar>
              <w:top w:w="25" w:type="dxa"/>
              <w:bottom w:w="25" w:type="dxa"/>
              <w:left w:w="40" w:type="dxa"/>
              <w:right w:w="40" w:type="dxa"/>
            </w:tcMar>
          </w:tcPr>
          <w:p>
            <w:r>
              <w:rPr>
                <w:sz w:val="15"/>
              </w:rPr>
              <w:t>0, 1, 2, 3 vessels (4 missing in raw data)</w:t>
            </w:r>
          </w:p>
        </w:tc>
        <w:tc>
          <w:tcPr>
            <w:tcW w:type="dxa" w:w="2592"/>
            <w:tcMar>
              <w:top w:w="25" w:type="dxa"/>
              <w:bottom w:w="25" w:type="dxa"/>
              <w:left w:w="40" w:type="dxa"/>
              <w:right w:w="40" w:type="dxa"/>
            </w:tcMar>
          </w:tcPr>
          <w:p>
            <w:r>
              <w:rPr>
                <w:sz w:val="15"/>
              </w:rPr>
              <w:t>Categorical (Mode Imputer + OHE)</w:t>
            </w:r>
          </w:p>
        </w:tc>
      </w:tr>
      <w:tr>
        <w:tc>
          <w:tcPr>
            <w:tcW w:type="dxa" w:w="2592"/>
            <w:tcMar>
              <w:top w:w="25" w:type="dxa"/>
              <w:bottom w:w="25" w:type="dxa"/>
              <w:left w:w="40" w:type="dxa"/>
              <w:right w:w="40" w:type="dxa"/>
            </w:tcMar>
          </w:tcPr>
          <w:p>
            <w:r>
              <w:rPr>
                <w:sz w:val="15"/>
              </w:rPr>
              <w:t>thal</w:t>
            </w:r>
          </w:p>
        </w:tc>
        <w:tc>
          <w:tcPr>
            <w:tcW w:type="dxa" w:w="2592"/>
            <w:tcMar>
              <w:top w:w="25" w:type="dxa"/>
              <w:bottom w:w="25" w:type="dxa"/>
              <w:left w:w="40" w:type="dxa"/>
              <w:right w:w="40" w:type="dxa"/>
            </w:tcMar>
          </w:tcPr>
          <w:p>
            <w:r>
              <w:rPr>
                <w:sz w:val="15"/>
              </w:rPr>
              <w:t>Thallium heart scan defect</w:t>
            </w:r>
          </w:p>
        </w:tc>
        <w:tc>
          <w:tcPr>
            <w:tcW w:type="dxa" w:w="2592"/>
            <w:tcMar>
              <w:top w:w="25" w:type="dxa"/>
              <w:bottom w:w="25" w:type="dxa"/>
              <w:left w:w="40" w:type="dxa"/>
              <w:right w:w="40" w:type="dxa"/>
            </w:tcMar>
          </w:tcPr>
          <w:p>
            <w:r>
              <w:rPr>
                <w:sz w:val="15"/>
              </w:rPr>
              <w:t>3 = Normal, 6 = Fixed defect, 7 = Reversible defect</w:t>
            </w:r>
          </w:p>
        </w:tc>
        <w:tc>
          <w:tcPr>
            <w:tcW w:type="dxa" w:w="2592"/>
            <w:tcMar>
              <w:top w:w="25" w:type="dxa"/>
              <w:bottom w:w="25" w:type="dxa"/>
              <w:left w:w="40" w:type="dxa"/>
              <w:right w:w="40" w:type="dxa"/>
            </w:tcMar>
          </w:tcPr>
          <w:p>
            <w:r>
              <w:rPr>
                <w:sz w:val="15"/>
              </w:rPr>
              <w:t>Categorical (Mode Imputer + OHE)</w:t>
            </w:r>
          </w:p>
        </w:tc>
      </w:tr>
      <w:tr>
        <w:tc>
          <w:tcPr>
            <w:tcW w:type="dxa" w:w="2592"/>
            <w:tcMar>
              <w:top w:w="25" w:type="dxa"/>
              <w:bottom w:w="25" w:type="dxa"/>
              <w:left w:w="40" w:type="dxa"/>
              <w:right w:w="40" w:type="dxa"/>
            </w:tcMar>
          </w:tcPr>
          <w:p>
            <w:r>
              <w:rPr>
                <w:sz w:val="15"/>
              </w:rPr>
              <w:t>target</w:t>
            </w:r>
          </w:p>
        </w:tc>
        <w:tc>
          <w:tcPr>
            <w:tcW w:type="dxa" w:w="2592"/>
            <w:tcMar>
              <w:top w:w="25" w:type="dxa"/>
              <w:bottom w:w="25" w:type="dxa"/>
              <w:left w:w="40" w:type="dxa"/>
              <w:right w:w="40" w:type="dxa"/>
            </w:tcMar>
          </w:tcPr>
          <w:p>
            <w:r>
              <w:rPr>
                <w:sz w:val="15"/>
              </w:rPr>
              <w:t>Diagnosis of heart disease (angiographic disease status)</w:t>
            </w:r>
          </w:p>
        </w:tc>
        <w:tc>
          <w:tcPr>
            <w:tcW w:type="dxa" w:w="2592"/>
            <w:tcMar>
              <w:top w:w="25" w:type="dxa"/>
              <w:bottom w:w="25" w:type="dxa"/>
              <w:left w:w="40" w:type="dxa"/>
              <w:right w:w="40" w:type="dxa"/>
            </w:tcMar>
          </w:tcPr>
          <w:p>
            <w:r>
              <w:rPr>
                <w:sz w:val="15"/>
              </w:rPr>
              <w:t>0 = Absence (&lt;50% diameter narrowing), 1 = Presence</w:t>
            </w:r>
          </w:p>
        </w:tc>
        <w:tc>
          <w:tcPr>
            <w:tcW w:type="dxa" w:w="2592"/>
            <w:tcMar>
              <w:top w:w="25" w:type="dxa"/>
              <w:bottom w:w="25" w:type="dxa"/>
              <w:left w:w="40" w:type="dxa"/>
              <w:right w:w="40" w:type="dxa"/>
            </w:tcMar>
          </w:tcPr>
          <w:p>
            <w:r>
              <w:rPr>
                <w:sz w:val="15"/>
              </w:rPr>
              <w:t>Target Variable (Binary)</w:t>
            </w:r>
          </w:p>
        </w:tc>
      </w:tr>
    </w:tbl>
    <w:p>
      <w:r>
        <w:br w:type="page"/>
      </w:r>
    </w:p>
    <w:p>
      <w:pPr>
        <w:pStyle w:val="Heading1"/>
        <w:keepNext/>
        <w:spacing w:before="200" w:after="80"/>
      </w:pPr>
      <w:r>
        <w:rPr>
          <w:rFonts w:ascii="Arial" w:hAnsi="Arial"/>
          <w:b/>
          <w:color w:val="1F4E79"/>
          <w:sz w:val="26"/>
        </w:rPr>
        <w:t>3.1 Exploratory Data Analysis Visualizations</w:t>
      </w:r>
    </w:p>
    <w:p>
      <w:pPr>
        <w:spacing w:line="276" w:lineRule="auto" w:after="80"/>
      </w:pPr>
      <w:r>
        <w:t>Four EDA plots were generated to analyze class balance, feature distributions, feature correlations, and maximum heart rate distributions across patient age groups. The Cleveland dataset exhibits balanced target prevalence (54.1% Healthy, 45.9% Disease).</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651760" cy="176784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2651760" cy="1767840"/>
                          </a:xfrm>
                          <a:prstGeom prst="rect"/>
                        </pic:spPr>
                      </pic:pic>
                    </a:graphicData>
                  </a:graphic>
                </wp:inline>
              </w:drawing>
            </w:r>
          </w:p>
          <w:p>
            <w:pPr>
              <w:jc w:val="center"/>
            </w:pPr>
            <w:r>
              <w:rPr>
                <w:i/>
                <w:sz w:val="15"/>
              </w:rPr>
              <w:t>Fig 2a: Target Class Balance</w:t>
            </w:r>
          </w:p>
        </w:tc>
        <w:tc>
          <w:tcPr>
            <w:tcW w:type="dxa" w:w="5184"/>
          </w:tcPr>
          <w:p>
            <w:r>
              <w:drawing>
                <wp:inline xmlns:a="http://schemas.openxmlformats.org/drawingml/2006/main" xmlns:pic="http://schemas.openxmlformats.org/drawingml/2006/picture">
                  <wp:extent cx="3108960" cy="1776549"/>
                  <wp:docPr id="3" name="Picture 3"/>
                  <wp:cNvGraphicFramePr>
                    <a:graphicFrameLocks noChangeAspect="1"/>
                  </wp:cNvGraphicFramePr>
                  <a:graphic>
                    <a:graphicData uri="http://schemas.openxmlformats.org/drawingml/2006/picture">
                      <pic:pic>
                        <pic:nvPicPr>
                          <pic:cNvPr id="0" name="feature_histograms.png"/>
                          <pic:cNvPicPr/>
                        </pic:nvPicPr>
                        <pic:blipFill>
                          <a:blip r:embed="rId11"/>
                          <a:stretch>
                            <a:fillRect/>
                          </a:stretch>
                        </pic:blipFill>
                        <pic:spPr>
                          <a:xfrm>
                            <a:off x="0" y="0"/>
                            <a:ext cx="3108960" cy="1776549"/>
                          </a:xfrm>
                          <a:prstGeom prst="rect"/>
                        </pic:spPr>
                      </pic:pic>
                    </a:graphicData>
                  </a:graphic>
                </wp:inline>
              </w:drawing>
            </w:r>
          </w:p>
          <w:p>
            <w:pPr>
              <w:jc w:val="center"/>
            </w:pPr>
            <w:r>
              <w:rPr>
                <w:i/>
                <w:sz w:val="15"/>
              </w:rPr>
              <w:t>Fig 2b: Clinical Feature Distributions</w:t>
            </w:r>
          </w:p>
        </w:tc>
      </w:tr>
      <w:tr>
        <w:tc>
          <w:tcPr>
            <w:tcW w:type="dxa" w:w="5184"/>
          </w:tcPr>
          <w:p>
            <w:r>
              <w:drawing>
                <wp:inline xmlns:a="http://schemas.openxmlformats.org/drawingml/2006/main" xmlns:pic="http://schemas.openxmlformats.org/drawingml/2006/picture">
                  <wp:extent cx="2834640" cy="2319251"/>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2834640" cy="2319251"/>
                          </a:xfrm>
                          <a:prstGeom prst="rect"/>
                        </pic:spPr>
                      </pic:pic>
                    </a:graphicData>
                  </a:graphic>
                </wp:inline>
              </w:drawing>
            </w:r>
          </w:p>
          <w:p>
            <w:pPr>
              <w:jc w:val="center"/>
            </w:pPr>
            <w:r>
              <w:rPr>
                <w:i/>
                <w:sz w:val="15"/>
              </w:rPr>
              <w:t>Fig 2c: Correlation Heatmap</w:t>
            </w:r>
          </w:p>
        </w:tc>
        <w:tc>
          <w:tcPr>
            <w:tcW w:type="dxa" w:w="5184"/>
          </w:tcPr>
          <w:p>
            <w:r>
              <w:drawing>
                <wp:inline xmlns:a="http://schemas.openxmlformats.org/drawingml/2006/main" xmlns:pic="http://schemas.openxmlformats.org/drawingml/2006/picture">
                  <wp:extent cx="2834640" cy="1771650"/>
                  <wp:docPr id="5" name="Picture 5"/>
                  <wp:cNvGraphicFramePr>
                    <a:graphicFrameLocks noChangeAspect="1"/>
                  </wp:cNvGraphicFramePr>
                  <a:graphic>
                    <a:graphicData uri="http://schemas.openxmlformats.org/drawingml/2006/picture">
                      <pic:pic>
                        <pic:nvPicPr>
                          <pic:cNvPr id="0" name="age_vs_heart_rate.png"/>
                          <pic:cNvPicPr/>
                        </pic:nvPicPr>
                        <pic:blipFill>
                          <a:blip r:embed="rId13"/>
                          <a:stretch>
                            <a:fillRect/>
                          </a:stretch>
                        </pic:blipFill>
                        <pic:spPr>
                          <a:xfrm>
                            <a:off x="0" y="0"/>
                            <a:ext cx="2834640" cy="1771650"/>
                          </a:xfrm>
                          <a:prstGeom prst="rect"/>
                        </pic:spPr>
                      </pic:pic>
                    </a:graphicData>
                  </a:graphic>
                </wp:inline>
              </w:drawing>
            </w:r>
          </w:p>
          <w:p>
            <w:pPr>
              <w:jc w:val="center"/>
            </w:pPr>
            <w:r>
              <w:rPr>
                <w:i/>
                <w:sz w:val="15"/>
              </w:rPr>
              <w:t>Fig 2d: Age vs Max Heart Rate</w:t>
            </w:r>
          </w:p>
        </w:tc>
      </w:tr>
    </w:tbl>
    <w:tbl>
      <w:tblPr>
        <w:tblW w:type="auto" w:w="0"/>
        <w:jc w:val="center"/>
        <w:tblLook w:firstColumn="1" w:firstRow="1" w:lastColumn="0" w:lastRow="0" w:noHBand="0" w:noVBand="1" w:val="04A0"/>
      </w:tblPr>
      <w:tblGrid>
        <w:gridCol w:w="10368"/>
      </w:tblGrid>
      <w:tr>
        <w:tc>
          <w:tcPr>
            <w:tcW w:type="dxa" w:w="10368"/>
            <w:shd w:fill="F0F4F8"/>
            <w:tcMar>
              <w:top w:w="80" w:type="dxa"/>
              <w:bottom w:w="80" w:type="dxa"/>
              <w:left w:w="120" w:type="dxa"/>
              <w:right w:w="120" w:type="dxa"/>
            </w:tcMar>
            <w:tcBorders>
              <w:top w:val="none"/>
              <w:left w:val="single" w:sz="24" w:space="0" w:color="1F4E79"/>
              <w:bottom w:val="none"/>
              <w:right w:val="none"/>
            </w:tcBorders>
          </w:tcPr>
          <w:p>
            <w:pPr>
              <w:spacing w:before="40" w:after="40"/>
            </w:pPr>
            <w:r>
              <w:rPr>
                <w:rFonts w:ascii="Arial" w:hAnsi="Arial"/>
                <w:b/>
                <w:color w:val="1F4E79"/>
                <w:sz w:val="17"/>
              </w:rPr>
              <w:t xml:space="preserve">📌 CLINICAL INSIGHTS &amp; LEAK-FREE IMPUTATION: </w:t>
            </w:r>
            <w:r>
              <w:rPr>
                <w:rFonts w:ascii="Arial" w:hAnsi="Arial"/>
                <w:sz w:val="17"/>
              </w:rPr>
              <w:t>Zero-Leakage &amp; Clinical Insight: Imputation is performed inside the Scikit-Learn pipeline during 5-fold CV to prevent leakage. Maximum heart rate (thalach, r = -0.42) demonstrates strong protective correlation, while ST depression (oldpeak, r = +0.42) and fluoroscopy vessel blockage (ca, r = +0.46) represent the strongest risk indicators for heart disease.</w:t>
            </w:r>
          </w:p>
        </w:tc>
      </w:tr>
    </w:tbl>
    <w:p>
      <w:r>
        <w:br w:type="page"/>
      </w:r>
    </w:p>
    <w:p>
      <w:pPr>
        <w:pStyle w:val="Heading1"/>
        <w:keepNext/>
        <w:spacing w:before="200" w:after="80"/>
      </w:pPr>
      <w:r>
        <w:rPr>
          <w:rFonts w:ascii="Arial" w:hAnsi="Arial"/>
          <w:b/>
          <w:color w:val="1F4E79"/>
          <w:sz w:val="26"/>
        </w:rPr>
        <w:t>4. Feature Engineering &amp; 3-Model Benchmark [Tasks 2 &amp; 3]</w:t>
      </w:r>
    </w:p>
    <w:p>
      <w:pPr>
        <w:spacing w:line="276" w:lineRule="auto" w:after="80"/>
      </w:pPr>
      <w:r>
        <w:t>A scikit-learn ColumnTransformer encapsulates data transformations inside the model pipeline: numerical features are standardized with StandardScaler, categorical features are one-hot encoded, and missing values are imputed with SimpleImputer. Three model families were benchmarked using 5-Fold Stratified Cross Validation with GridSearchCV:</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40" w:type="dxa"/>
              <w:bottom w:w="40" w:type="dxa"/>
              <w:left w:w="50" w:type="dxa"/>
              <w:right w:w="50" w:type="dxa"/>
            </w:tcMar>
          </w:tcPr>
          <w:p>
            <w:r>
              <w:rPr>
                <w:b/>
                <w:color w:val="FFFFFF"/>
                <w:sz w:val="16"/>
              </w:rPr>
              <w:t>Algorithm Family</w:t>
            </w:r>
          </w:p>
        </w:tc>
        <w:tc>
          <w:tcPr>
            <w:tcW w:type="dxa" w:w="3456"/>
            <w:shd w:fill="1F4E79"/>
            <w:tcMar>
              <w:top w:w="40" w:type="dxa"/>
              <w:bottom w:w="40" w:type="dxa"/>
              <w:left w:w="50" w:type="dxa"/>
              <w:right w:w="50" w:type="dxa"/>
            </w:tcMar>
          </w:tcPr>
          <w:p>
            <w:r>
              <w:rPr>
                <w:b/>
                <w:color w:val="FFFFFF"/>
                <w:sz w:val="16"/>
              </w:rPr>
              <w:t>Hyperparameter Search Grid</w:t>
            </w:r>
          </w:p>
        </w:tc>
        <w:tc>
          <w:tcPr>
            <w:tcW w:type="dxa" w:w="3456"/>
            <w:shd w:fill="1F4E79"/>
            <w:tcMar>
              <w:top w:w="40" w:type="dxa"/>
              <w:bottom w:w="40" w:type="dxa"/>
              <w:left w:w="50" w:type="dxa"/>
              <w:right w:w="50" w:type="dxa"/>
            </w:tcMar>
          </w:tcPr>
          <w:p>
            <w:r>
              <w:rPr>
                <w:b/>
                <w:color w:val="FFFFFF"/>
                <w:sz w:val="16"/>
              </w:rPr>
              <w:t>Selected Optimal Parameters</w:t>
            </w:r>
          </w:p>
        </w:tc>
      </w:tr>
      <w:tr>
        <w:tc>
          <w:tcPr>
            <w:tcW w:type="dxa" w:w="3456"/>
            <w:tcMar>
              <w:top w:w="30" w:type="dxa"/>
              <w:bottom w:w="30" w:type="dxa"/>
              <w:left w:w="50" w:type="dxa"/>
              <w:right w:w="50" w:type="dxa"/>
            </w:tcMar>
          </w:tcPr>
          <w:p>
            <w:r>
              <w:rPr>
                <w:sz w:val="16"/>
              </w:rPr>
              <w:t>Logistic Regression (Generalized Linear)</w:t>
            </w:r>
          </w:p>
        </w:tc>
        <w:tc>
          <w:tcPr>
            <w:tcW w:type="dxa" w:w="3456"/>
            <w:tcMar>
              <w:top w:w="30" w:type="dxa"/>
              <w:bottom w:w="30" w:type="dxa"/>
              <w:left w:w="50" w:type="dxa"/>
              <w:right w:w="50" w:type="dxa"/>
            </w:tcMar>
          </w:tcPr>
          <w:p>
            <w:r>
              <w:rPr>
                <w:sz w:val="16"/>
              </w:rPr>
              <w:t>C: [0.01, 0.1, 1.0, 5.0, 10.0], penalty: ['l2'], solver: ['lbfgs', 'liblinear']</w:t>
            </w:r>
          </w:p>
        </w:tc>
        <w:tc>
          <w:tcPr>
            <w:tcW w:type="dxa" w:w="3456"/>
            <w:tcMar>
              <w:top w:w="30" w:type="dxa"/>
              <w:bottom w:w="30" w:type="dxa"/>
              <w:left w:w="50" w:type="dxa"/>
              <w:right w:w="50" w:type="dxa"/>
            </w:tcMar>
          </w:tcPr>
          <w:p>
            <w:r>
              <w:rPr>
                <w:sz w:val="16"/>
              </w:rPr>
              <w:t>C = 1.0, penalty = l2, solver = liblinear</w:t>
            </w:r>
          </w:p>
        </w:tc>
      </w:tr>
      <w:tr>
        <w:tc>
          <w:tcPr>
            <w:tcW w:type="dxa" w:w="3456"/>
            <w:tcMar>
              <w:top w:w="30" w:type="dxa"/>
              <w:bottom w:w="30" w:type="dxa"/>
              <w:left w:w="50" w:type="dxa"/>
              <w:right w:w="50" w:type="dxa"/>
            </w:tcMar>
          </w:tcPr>
          <w:p>
            <w:r>
              <w:rPr>
                <w:sz w:val="16"/>
              </w:rPr>
              <w:t>Random Forest (Bagging Ensemble)</w:t>
            </w:r>
          </w:p>
        </w:tc>
        <w:tc>
          <w:tcPr>
            <w:tcW w:type="dxa" w:w="3456"/>
            <w:tcMar>
              <w:top w:w="30" w:type="dxa"/>
              <w:bottom w:w="30" w:type="dxa"/>
              <w:left w:w="50" w:type="dxa"/>
              <w:right w:w="50" w:type="dxa"/>
            </w:tcMar>
          </w:tcPr>
          <w:p>
            <w:r>
              <w:rPr>
                <w:sz w:val="16"/>
              </w:rPr>
              <w:t>n_estimators: [50, 100, 150], max_depth: [3, 5, 8, None], min_samples_split: [2, 5]</w:t>
            </w:r>
          </w:p>
        </w:tc>
        <w:tc>
          <w:tcPr>
            <w:tcW w:type="dxa" w:w="3456"/>
            <w:tcMar>
              <w:top w:w="30" w:type="dxa"/>
              <w:bottom w:w="30" w:type="dxa"/>
              <w:left w:w="50" w:type="dxa"/>
              <w:right w:w="50" w:type="dxa"/>
            </w:tcMar>
          </w:tcPr>
          <w:p>
            <w:r>
              <w:rPr>
                <w:sz w:val="16"/>
              </w:rPr>
              <w:t>n_estimators = 50, max_depth = 8, min_samples_split = 2</w:t>
            </w:r>
          </w:p>
        </w:tc>
      </w:tr>
      <w:tr>
        <w:tc>
          <w:tcPr>
            <w:tcW w:type="dxa" w:w="3456"/>
            <w:tcMar>
              <w:top w:w="30" w:type="dxa"/>
              <w:bottom w:w="30" w:type="dxa"/>
              <w:left w:w="50" w:type="dxa"/>
              <w:right w:w="50" w:type="dxa"/>
            </w:tcMar>
          </w:tcPr>
          <w:p>
            <w:r>
              <w:rPr>
                <w:sz w:val="16"/>
              </w:rPr>
              <w:t>Gradient Boosting (Sequential Boosting)</w:t>
            </w:r>
          </w:p>
        </w:tc>
        <w:tc>
          <w:tcPr>
            <w:tcW w:type="dxa" w:w="3456"/>
            <w:tcMar>
              <w:top w:w="30" w:type="dxa"/>
              <w:bottom w:w="30" w:type="dxa"/>
              <w:left w:w="50" w:type="dxa"/>
              <w:right w:w="50" w:type="dxa"/>
            </w:tcMar>
          </w:tcPr>
          <w:p>
            <w:r>
              <w:rPr>
                <w:sz w:val="16"/>
              </w:rPr>
              <w:t>n_estimators: [50, 100, 150], learning_rate: [0.01, 0.05, 0.1], max_depth: [2, 3], subsample: [0.8, 1.0]</w:t>
            </w:r>
          </w:p>
        </w:tc>
        <w:tc>
          <w:tcPr>
            <w:tcW w:type="dxa" w:w="3456"/>
            <w:tcMar>
              <w:top w:w="30" w:type="dxa"/>
              <w:bottom w:w="30" w:type="dxa"/>
              <w:left w:w="50" w:type="dxa"/>
              <w:right w:w="50" w:type="dxa"/>
            </w:tcMar>
          </w:tcPr>
          <w:p>
            <w:r>
              <w:rPr>
                <w:sz w:val="16"/>
              </w:rPr>
              <w:t>n_estimators = 150, learning_rate = 0.01, max_depth = 3, subsample = 0.8</w:t>
            </w:r>
          </w:p>
        </w:tc>
      </w:tr>
    </w:tbl>
    <w:p>
      <w:pPr>
        <w:spacing w:before="80" w:after="40"/>
      </w:pP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728"/>
            <w:shd w:fill="1F4E79"/>
            <w:tcMar>
              <w:top w:w="40" w:type="dxa"/>
              <w:bottom w:w="40" w:type="dxa"/>
              <w:left w:w="50" w:type="dxa"/>
              <w:right w:w="50" w:type="dxa"/>
            </w:tcMar>
          </w:tcPr>
          <w:p>
            <w:r>
              <w:rPr>
                <w:b/>
                <w:color w:val="FFFFFF"/>
                <w:sz w:val="16"/>
              </w:rPr>
              <w:t>Model Architecture</w:t>
            </w:r>
          </w:p>
        </w:tc>
        <w:tc>
          <w:tcPr>
            <w:tcW w:type="dxa" w:w="1728"/>
            <w:shd w:fill="1F4E79"/>
            <w:tcMar>
              <w:top w:w="40" w:type="dxa"/>
              <w:bottom w:w="40" w:type="dxa"/>
              <w:left w:w="50" w:type="dxa"/>
              <w:right w:w="50" w:type="dxa"/>
            </w:tcMar>
          </w:tcPr>
          <w:p>
            <w:r>
              <w:rPr>
                <w:b/>
                <w:color w:val="FFFFFF"/>
                <w:sz w:val="16"/>
              </w:rPr>
              <w:t>5-Fold CV ROC-AUC</w:t>
            </w:r>
          </w:p>
        </w:tc>
        <w:tc>
          <w:tcPr>
            <w:tcW w:type="dxa" w:w="1728"/>
            <w:shd w:fill="1F4E79"/>
            <w:tcMar>
              <w:top w:w="40" w:type="dxa"/>
              <w:bottom w:w="40" w:type="dxa"/>
              <w:left w:w="50" w:type="dxa"/>
              <w:right w:w="50" w:type="dxa"/>
            </w:tcMar>
          </w:tcPr>
          <w:p>
            <w:r>
              <w:rPr>
                <w:b/>
                <w:color w:val="FFFFFF"/>
                <w:sz w:val="16"/>
              </w:rPr>
              <w:t>Test Accuracy</w:t>
            </w:r>
          </w:p>
        </w:tc>
        <w:tc>
          <w:tcPr>
            <w:tcW w:type="dxa" w:w="1728"/>
            <w:shd w:fill="1F4E79"/>
            <w:tcMar>
              <w:top w:w="40" w:type="dxa"/>
              <w:bottom w:w="40" w:type="dxa"/>
              <w:left w:w="50" w:type="dxa"/>
              <w:right w:w="50" w:type="dxa"/>
            </w:tcMar>
          </w:tcPr>
          <w:p>
            <w:r>
              <w:rPr>
                <w:b/>
                <w:color w:val="FFFFFF"/>
                <w:sz w:val="16"/>
              </w:rPr>
              <w:t>Test Precision</w:t>
            </w:r>
          </w:p>
        </w:tc>
        <w:tc>
          <w:tcPr>
            <w:tcW w:type="dxa" w:w="1728"/>
            <w:shd w:fill="1F4E79"/>
            <w:tcMar>
              <w:top w:w="40" w:type="dxa"/>
              <w:bottom w:w="40" w:type="dxa"/>
              <w:left w:w="50" w:type="dxa"/>
              <w:right w:w="50" w:type="dxa"/>
            </w:tcMar>
          </w:tcPr>
          <w:p>
            <w:r>
              <w:rPr>
                <w:b/>
                <w:color w:val="FFFFFF"/>
                <w:sz w:val="16"/>
              </w:rPr>
              <w:t>Test Recall</w:t>
            </w:r>
          </w:p>
        </w:tc>
        <w:tc>
          <w:tcPr>
            <w:tcW w:type="dxa" w:w="1728"/>
            <w:shd w:fill="1F4E79"/>
            <w:tcMar>
              <w:top w:w="40" w:type="dxa"/>
              <w:bottom w:w="40" w:type="dxa"/>
              <w:left w:w="50" w:type="dxa"/>
              <w:right w:w="50" w:type="dxa"/>
            </w:tcMar>
          </w:tcPr>
          <w:p>
            <w:r>
              <w:rPr>
                <w:b/>
                <w:color w:val="FFFFFF"/>
                <w:sz w:val="16"/>
              </w:rPr>
              <w:t>Test ROC-AUC</w:t>
            </w:r>
          </w:p>
        </w:tc>
      </w:tr>
      <w:tr>
        <w:tc>
          <w:tcPr>
            <w:tcW w:type="dxa" w:w="1728"/>
            <w:tcMar>
              <w:top w:w="30" w:type="dxa"/>
              <w:bottom w:w="30" w:type="dxa"/>
              <w:left w:w="50" w:type="dxa"/>
              <w:right w:w="50" w:type="dxa"/>
            </w:tcMar>
            <w:shd w:fill="EBF1F5"/>
          </w:tcPr>
          <w:p>
            <w:r>
              <w:rPr>
                <w:b/>
                <w:sz w:val="16"/>
              </w:rPr>
              <w:t>Logistic Regression (Champion)</w:t>
            </w:r>
          </w:p>
        </w:tc>
        <w:tc>
          <w:tcPr>
            <w:tcW w:type="dxa" w:w="1728"/>
            <w:tcMar>
              <w:top w:w="30" w:type="dxa"/>
              <w:bottom w:w="30" w:type="dxa"/>
              <w:left w:w="50" w:type="dxa"/>
              <w:right w:w="50" w:type="dxa"/>
            </w:tcMar>
            <w:shd w:fill="EBF1F5"/>
          </w:tcPr>
          <w:p>
            <w:r>
              <w:rPr>
                <w:b/>
                <w:sz w:val="16"/>
              </w:rPr>
              <w:t>0.9045</w:t>
            </w:r>
          </w:p>
        </w:tc>
        <w:tc>
          <w:tcPr>
            <w:tcW w:type="dxa" w:w="1728"/>
            <w:tcMar>
              <w:top w:w="30" w:type="dxa"/>
              <w:bottom w:w="30" w:type="dxa"/>
              <w:left w:w="50" w:type="dxa"/>
              <w:right w:w="50" w:type="dxa"/>
            </w:tcMar>
            <w:shd w:fill="EBF1F5"/>
          </w:tcPr>
          <w:p>
            <w:r>
              <w:rPr>
                <w:b/>
                <w:sz w:val="16"/>
              </w:rPr>
              <w:t>88.52%</w:t>
            </w:r>
          </w:p>
        </w:tc>
        <w:tc>
          <w:tcPr>
            <w:tcW w:type="dxa" w:w="1728"/>
            <w:tcMar>
              <w:top w:w="30" w:type="dxa"/>
              <w:bottom w:w="30" w:type="dxa"/>
              <w:left w:w="50" w:type="dxa"/>
              <w:right w:w="50" w:type="dxa"/>
            </w:tcMar>
            <w:shd w:fill="EBF1F5"/>
          </w:tcPr>
          <w:p>
            <w:r>
              <w:rPr>
                <w:b/>
                <w:sz w:val="16"/>
              </w:rPr>
              <w:t>83.87%</w:t>
            </w:r>
          </w:p>
        </w:tc>
        <w:tc>
          <w:tcPr>
            <w:tcW w:type="dxa" w:w="1728"/>
            <w:tcMar>
              <w:top w:w="30" w:type="dxa"/>
              <w:bottom w:w="30" w:type="dxa"/>
              <w:left w:w="50" w:type="dxa"/>
              <w:right w:w="50" w:type="dxa"/>
            </w:tcMar>
            <w:shd w:fill="EBF1F5"/>
          </w:tcPr>
          <w:p>
            <w:r>
              <w:rPr>
                <w:b/>
                <w:sz w:val="16"/>
              </w:rPr>
              <w:t>92.86%</w:t>
            </w:r>
          </w:p>
        </w:tc>
        <w:tc>
          <w:tcPr>
            <w:tcW w:type="dxa" w:w="1728"/>
            <w:tcMar>
              <w:top w:w="30" w:type="dxa"/>
              <w:bottom w:w="30" w:type="dxa"/>
              <w:left w:w="50" w:type="dxa"/>
              <w:right w:w="50" w:type="dxa"/>
            </w:tcMar>
            <w:shd w:fill="EBF1F5"/>
          </w:tcPr>
          <w:p>
            <w:r>
              <w:rPr>
                <w:b/>
                <w:sz w:val="16"/>
              </w:rPr>
              <w:t>0.9686</w:t>
            </w:r>
          </w:p>
        </w:tc>
      </w:tr>
      <w:tr>
        <w:tc>
          <w:tcPr>
            <w:tcW w:type="dxa" w:w="1728"/>
            <w:tcMar>
              <w:top w:w="30" w:type="dxa"/>
              <w:bottom w:w="30" w:type="dxa"/>
              <w:left w:w="50" w:type="dxa"/>
              <w:right w:w="50" w:type="dxa"/>
            </w:tcMar>
          </w:tcPr>
          <w:p>
            <w:r>
              <w:rPr>
                <w:sz w:val="16"/>
              </w:rPr>
              <w:t>Random Forest Classifier</w:t>
            </w:r>
          </w:p>
        </w:tc>
        <w:tc>
          <w:tcPr>
            <w:tcW w:type="dxa" w:w="1728"/>
            <w:tcMar>
              <w:top w:w="30" w:type="dxa"/>
              <w:bottom w:w="30" w:type="dxa"/>
              <w:left w:w="50" w:type="dxa"/>
              <w:right w:w="50" w:type="dxa"/>
            </w:tcMar>
          </w:tcPr>
          <w:p>
            <w:r>
              <w:rPr>
                <w:sz w:val="16"/>
              </w:rPr>
              <w:t>0.9006</w:t>
            </w:r>
          </w:p>
        </w:tc>
        <w:tc>
          <w:tcPr>
            <w:tcW w:type="dxa" w:w="1728"/>
            <w:tcMar>
              <w:top w:w="30" w:type="dxa"/>
              <w:bottom w:w="30" w:type="dxa"/>
              <w:left w:w="50" w:type="dxa"/>
              <w:right w:w="50" w:type="dxa"/>
            </w:tcMar>
          </w:tcPr>
          <w:p>
            <w:r>
              <w:rPr>
                <w:sz w:val="16"/>
              </w:rPr>
              <w:t>90.16%</w:t>
            </w:r>
          </w:p>
        </w:tc>
        <w:tc>
          <w:tcPr>
            <w:tcW w:type="dxa" w:w="1728"/>
            <w:tcMar>
              <w:top w:w="30" w:type="dxa"/>
              <w:bottom w:w="30" w:type="dxa"/>
              <w:left w:w="50" w:type="dxa"/>
              <w:right w:w="50" w:type="dxa"/>
            </w:tcMar>
          </w:tcPr>
          <w:p>
            <w:r>
              <w:rPr>
                <w:sz w:val="16"/>
              </w:rPr>
              <w:t>86.67%</w:t>
            </w:r>
          </w:p>
        </w:tc>
        <w:tc>
          <w:tcPr>
            <w:tcW w:type="dxa" w:w="1728"/>
            <w:tcMar>
              <w:top w:w="30" w:type="dxa"/>
              <w:bottom w:w="30" w:type="dxa"/>
              <w:left w:w="50" w:type="dxa"/>
              <w:right w:w="50" w:type="dxa"/>
            </w:tcMar>
          </w:tcPr>
          <w:p>
            <w:r>
              <w:rPr>
                <w:sz w:val="16"/>
              </w:rPr>
              <w:t>92.86%</w:t>
            </w:r>
          </w:p>
        </w:tc>
        <w:tc>
          <w:tcPr>
            <w:tcW w:type="dxa" w:w="1728"/>
            <w:tcMar>
              <w:top w:w="30" w:type="dxa"/>
              <w:bottom w:w="30" w:type="dxa"/>
              <w:left w:w="50" w:type="dxa"/>
              <w:right w:w="50" w:type="dxa"/>
            </w:tcMar>
          </w:tcPr>
          <w:p>
            <w:r>
              <w:rPr>
                <w:sz w:val="16"/>
              </w:rPr>
              <w:t>0.9481</w:t>
            </w:r>
          </w:p>
        </w:tc>
      </w:tr>
      <w:tr>
        <w:tc>
          <w:tcPr>
            <w:tcW w:type="dxa" w:w="1728"/>
            <w:tcMar>
              <w:top w:w="30" w:type="dxa"/>
              <w:bottom w:w="30" w:type="dxa"/>
              <w:left w:w="50" w:type="dxa"/>
              <w:right w:w="50" w:type="dxa"/>
            </w:tcMar>
          </w:tcPr>
          <w:p>
            <w:r>
              <w:rPr>
                <w:sz w:val="16"/>
              </w:rPr>
              <w:t>Gradient Boosting Classifier</w:t>
            </w:r>
          </w:p>
        </w:tc>
        <w:tc>
          <w:tcPr>
            <w:tcW w:type="dxa" w:w="1728"/>
            <w:tcMar>
              <w:top w:w="30" w:type="dxa"/>
              <w:bottom w:w="30" w:type="dxa"/>
              <w:left w:w="50" w:type="dxa"/>
              <w:right w:w="50" w:type="dxa"/>
            </w:tcMar>
          </w:tcPr>
          <w:p>
            <w:r>
              <w:rPr>
                <w:sz w:val="16"/>
              </w:rPr>
              <w:t>0.8860</w:t>
            </w:r>
          </w:p>
        </w:tc>
        <w:tc>
          <w:tcPr>
            <w:tcW w:type="dxa" w:w="1728"/>
            <w:tcMar>
              <w:top w:w="30" w:type="dxa"/>
              <w:bottom w:w="30" w:type="dxa"/>
              <w:left w:w="50" w:type="dxa"/>
              <w:right w:w="50" w:type="dxa"/>
            </w:tcMar>
          </w:tcPr>
          <w:p>
            <w:r>
              <w:rPr>
                <w:sz w:val="16"/>
              </w:rPr>
              <w:t>86.89%</w:t>
            </w:r>
          </w:p>
        </w:tc>
        <w:tc>
          <w:tcPr>
            <w:tcW w:type="dxa" w:w="1728"/>
            <w:tcMar>
              <w:top w:w="30" w:type="dxa"/>
              <w:bottom w:w="30" w:type="dxa"/>
              <w:left w:w="50" w:type="dxa"/>
              <w:right w:w="50" w:type="dxa"/>
            </w:tcMar>
          </w:tcPr>
          <w:p>
            <w:r>
              <w:rPr>
                <w:sz w:val="16"/>
              </w:rPr>
              <w:t>83.33%</w:t>
            </w:r>
          </w:p>
        </w:tc>
        <w:tc>
          <w:tcPr>
            <w:tcW w:type="dxa" w:w="1728"/>
            <w:tcMar>
              <w:top w:w="30" w:type="dxa"/>
              <w:bottom w:w="30" w:type="dxa"/>
              <w:left w:w="50" w:type="dxa"/>
              <w:right w:w="50" w:type="dxa"/>
            </w:tcMar>
          </w:tcPr>
          <w:p>
            <w:r>
              <w:rPr>
                <w:sz w:val="16"/>
              </w:rPr>
              <w:t>89.29%</w:t>
            </w:r>
          </w:p>
        </w:tc>
        <w:tc>
          <w:tcPr>
            <w:tcW w:type="dxa" w:w="1728"/>
            <w:tcMar>
              <w:top w:w="30" w:type="dxa"/>
              <w:bottom w:w="30" w:type="dxa"/>
              <w:left w:w="50" w:type="dxa"/>
              <w:right w:w="50" w:type="dxa"/>
            </w:tcMar>
          </w:tcPr>
          <w:p>
            <w:r>
              <w:rPr>
                <w:sz w:val="16"/>
              </w:rPr>
              <w:t>0.9481</w:t>
            </w:r>
          </w:p>
        </w:tc>
      </w:tr>
    </w:tbl>
    <w:tbl>
      <w:tblPr>
        <w:tblW w:type="auto" w:w="0"/>
        <w:jc w:val="center"/>
        <w:tblLook w:firstColumn="1" w:firstRow="1" w:lastColumn="0" w:lastRow="0" w:noHBand="0" w:noVBand="1" w:val="04A0"/>
      </w:tblPr>
      <w:tblGrid>
        <w:gridCol w:w="10368"/>
      </w:tblGrid>
      <w:tr>
        <w:tc>
          <w:tcPr>
            <w:tcW w:type="dxa" w:w="10368"/>
            <w:shd w:fill="F0F4F8"/>
            <w:tcMar>
              <w:top w:w="80" w:type="dxa"/>
              <w:bottom w:w="80" w:type="dxa"/>
              <w:left w:w="120" w:type="dxa"/>
              <w:right w:w="120" w:type="dxa"/>
            </w:tcMar>
            <w:tcBorders>
              <w:top w:val="none"/>
              <w:left w:val="single" w:sz="24" w:space="0" w:color="1F4E79"/>
              <w:bottom w:val="none"/>
              <w:right w:val="none"/>
            </w:tcBorders>
          </w:tcPr>
          <w:p>
            <w:pPr>
              <w:spacing w:before="40" w:after="40"/>
            </w:pPr>
            <w:r>
              <w:rPr>
                <w:rFonts w:ascii="Arial" w:hAnsi="Arial"/>
                <w:b/>
                <w:color w:val="1F4E79"/>
                <w:sz w:val="17"/>
              </w:rPr>
              <w:t xml:space="preserve">📌 CHAMPION MODEL SELECTION RATIONALE: </w:t>
            </w:r>
            <w:r>
              <w:rPr>
                <w:rFonts w:ascii="Arial" w:hAnsi="Arial"/>
                <w:sz w:val="17"/>
              </w:rPr>
              <w:t>Selection Rationale: Logistic Regression was selected strictly based on the highest 5-fold cross-validation score (CV ROC-AUC: 0.9045) with the test partition left completely untouched. On the held-out test split, the model identified 26 of 28 positive cases in the test set (92.86% recall), while maintaining 88.52% accuracy and 0.9686 test ROC-AUC.</w:t>
            </w:r>
          </w:p>
        </w:tc>
      </w:tr>
    </w:tbl>
    <w:p>
      <w:r>
        <w:br w:type="page"/>
      </w:r>
    </w:p>
    <w:p>
      <w:pPr>
        <w:pStyle w:val="Heading1"/>
        <w:keepNext/>
        <w:spacing w:before="200" w:after="80"/>
      </w:pPr>
      <w:r>
        <w:rPr>
          <w:rFonts w:ascii="Arial" w:hAnsi="Arial"/>
          <w:b/>
          <w:color w:val="1F4E79"/>
          <w:sz w:val="26"/>
        </w:rPr>
        <w:t>4.1 Champion Model Evaluation &amp; MLflow Experiment Tracking</w:t>
      </w:r>
    </w:p>
    <w:p>
      <w:pPr>
        <w:spacing w:line="276" w:lineRule="auto" w:after="80"/>
      </w:pPr>
      <w:r>
        <w:t>Figure 3 displays the Confusion Matrix and ROC Curve for the champion Logistic Regression pipeline on the untouched test split (N=61). Out of 28 positive heart disease patients, the model correctly diagnoses 26, achieving a 92.86% clinical sensitivity rate.</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468880" cy="1975104"/>
                  <wp:docPr id="6" name="Picture 6"/>
                  <wp:cNvGraphicFramePr>
                    <a:graphicFrameLocks noChangeAspect="1"/>
                  </wp:cNvGraphicFramePr>
                  <a:graphic>
                    <a:graphicData uri="http://schemas.openxmlformats.org/drawingml/2006/picture">
                      <pic:pic>
                        <pic:nvPicPr>
                          <pic:cNvPr id="0" name="LogisticRegression_confusion_matrix.png"/>
                          <pic:cNvPicPr/>
                        </pic:nvPicPr>
                        <pic:blipFill>
                          <a:blip r:embed="rId14"/>
                          <a:stretch>
                            <a:fillRect/>
                          </a:stretch>
                        </pic:blipFill>
                        <pic:spPr>
                          <a:xfrm>
                            <a:off x="0" y="0"/>
                            <a:ext cx="2468880" cy="1975104"/>
                          </a:xfrm>
                          <a:prstGeom prst="rect"/>
                        </pic:spPr>
                      </pic:pic>
                    </a:graphicData>
                  </a:graphic>
                </wp:inline>
              </w:drawing>
            </w:r>
          </w:p>
        </w:tc>
        <w:tc>
          <w:tcPr>
            <w:tcW w:type="dxa" w:w="5184"/>
          </w:tcPr>
          <w:p>
            <w:r>
              <w:drawing>
                <wp:inline xmlns:a="http://schemas.openxmlformats.org/drawingml/2006/main" xmlns:pic="http://schemas.openxmlformats.org/drawingml/2006/picture">
                  <wp:extent cx="2468880" cy="2057400"/>
                  <wp:docPr id="7" name="Picture 7"/>
                  <wp:cNvGraphicFramePr>
                    <a:graphicFrameLocks noChangeAspect="1"/>
                  </wp:cNvGraphicFramePr>
                  <a:graphic>
                    <a:graphicData uri="http://schemas.openxmlformats.org/drawingml/2006/picture">
                      <pic:pic>
                        <pic:nvPicPr>
                          <pic:cNvPr id="0" name="LogisticRegression_roc_curve.png"/>
                          <pic:cNvPicPr/>
                        </pic:nvPicPr>
                        <pic:blipFill>
                          <a:blip r:embed="rId15"/>
                          <a:stretch>
                            <a:fillRect/>
                          </a:stretch>
                        </pic:blipFill>
                        <pic:spPr>
                          <a:xfrm>
                            <a:off x="0" y="0"/>
                            <a:ext cx="2468880" cy="2057400"/>
                          </a:xfrm>
                          <a:prstGeom prst="rect"/>
                        </pic:spPr>
                      </pic:pic>
                    </a:graphicData>
                  </a:graphic>
                </wp:inline>
              </w:drawing>
            </w:r>
          </w:p>
        </w:tc>
      </w:tr>
    </w:tbl>
    <w:p>
      <w:pPr>
        <w:jc w:val="center"/>
      </w:pPr>
      <w:r>
        <w:rPr>
          <w:i/>
          <w:sz w:val="16"/>
        </w:rPr>
        <w:t>Figure 3: Confusion Matrix (Left) and ROC Curve (Right) for Champion Logistic Regression Pipeline</w:t>
      </w:r>
    </w:p>
    <w:p>
      <w:pPr>
        <w:spacing w:line="276" w:lineRule="auto" w:after="120"/>
      </w:pPr>
      <w:r>
        <w:t>MLflow Tracking: Experiment runs are structured under 'Heart_Disease_Prediction_AIMLCZG523' logging hyperparameters, 5-fold CV ROC-AUC, test metrics (accuracy, precision, recall, F1, ROC-AUC), confusion matrix and ROC curve plots, and serialized pipeline models.</w:t>
      </w:r>
    </w:p>
    <w:p>
      <w:pPr>
        <w:spacing w:before="40" w:after="40"/>
        <w:jc w:val="center"/>
      </w:pPr>
      <w:r>
        <w:drawing>
          <wp:inline xmlns:a="http://schemas.openxmlformats.org/drawingml/2006/main" xmlns:pic="http://schemas.openxmlformats.org/drawingml/2006/picture">
            <wp:extent cx="4937760" cy="3083958"/>
            <wp:docPr id="8" name="Picture 8"/>
            <wp:cNvGraphicFramePr>
              <a:graphicFrameLocks noChangeAspect="1"/>
            </wp:cNvGraphicFramePr>
            <a:graphic>
              <a:graphicData uri="http://schemas.openxmlformats.org/drawingml/2006/picture">
                <pic:pic>
                  <pic:nvPicPr>
                    <pic:cNvPr id="0" name="MLFLOW.png"/>
                    <pic:cNvPicPr/>
                  </pic:nvPicPr>
                  <pic:blipFill>
                    <a:blip r:embed="rId16"/>
                    <a:stretch>
                      <a:fillRect/>
                    </a:stretch>
                  </pic:blipFill>
                  <pic:spPr>
                    <a:xfrm>
                      <a:off x="0" y="0"/>
                      <a:ext cx="4937760" cy="3083958"/>
                    </a:xfrm>
                    <a:prstGeom prst="rect"/>
                  </pic:spPr>
                </pic:pic>
              </a:graphicData>
            </a:graphic>
          </wp:inline>
        </w:drawing>
      </w:r>
    </w:p>
    <w:p>
      <w:pPr>
        <w:spacing w:after="40"/>
        <w:jc w:val="center"/>
      </w:pPr>
      <w:r>
        <w:rPr>
          <w:i/>
          <w:sz w:val="16"/>
        </w:rPr>
        <w:t>Figure 4: MLflow Tracking Server UI showing 5-Fold CV hyperparameter tuning and model runs comparison</w:t>
      </w:r>
    </w:p>
    <w:p>
      <w:r>
        <w:br w:type="page"/>
      </w:r>
    </w:p>
    <w:p>
      <w:pPr>
        <w:pStyle w:val="Heading1"/>
        <w:keepNext/>
        <w:spacing w:before="200" w:after="80"/>
      </w:pPr>
      <w:r>
        <w:rPr>
          <w:rFonts w:ascii="Arial" w:hAnsi="Arial"/>
          <w:b/>
          <w:color w:val="1F4E79"/>
          <w:sz w:val="26"/>
        </w:rPr>
        <w:t>5. Model Packaging &amp; Inference REST API [Task 4]</w:t>
      </w:r>
    </w:p>
    <w:p>
      <w:pPr>
        <w:spacing w:line="276" w:lineRule="auto" w:after="80"/>
      </w:pPr>
      <w:r>
        <w:t>The champion model pipeline is serialized as models/model.joblib alongside structured schema metadata (models/model_metadata.json). A FastAPI prediction API was developed (src/api/app.py) providing strict Pydantic type validation for input data:</w:t>
      </w:r>
    </w:p>
    <w:p>
      <w:pPr>
        <w:spacing w:line="276" w:lineRule="auto" w:after="80"/>
      </w:pPr>
      <w:r>
        <w:t>• GET /health: Health probe endpoint returning HTTP 200 OK and model loaded status for Kubernetes liveness/readiness.</w:t>
        <w:br/>
        <w:t>• POST /predict: Inference endpoint consuming 13 clinical features in JSON format and returning binary prediction, clinical risk label, probability score, and model confidence.</w:t>
        <w:br/>
        <w:t>• GET /metrics: Prometheus-compatible telemetry endpoint exposing HTTP request counts, request latency histograms, and prediction distributions.</w:t>
      </w:r>
    </w:p>
    <w:p>
      <w:pPr>
        <w:spacing w:before="40" w:after="40"/>
        <w:jc w:val="center"/>
      </w:pPr>
      <w:r>
        <w:drawing>
          <wp:inline xmlns:a="http://schemas.openxmlformats.org/drawingml/2006/main" xmlns:pic="http://schemas.openxmlformats.org/drawingml/2006/picture">
            <wp:extent cx="4754880" cy="2911286"/>
            <wp:docPr id="9" name="Picture 9"/>
            <wp:cNvGraphicFramePr>
              <a:graphicFrameLocks noChangeAspect="1"/>
            </wp:cNvGraphicFramePr>
            <a:graphic>
              <a:graphicData uri="http://schemas.openxmlformats.org/drawingml/2006/picture">
                <pic:pic>
                  <pic:nvPicPr>
                    <pic:cNvPr id="0" name="FastAPI_2.png"/>
                    <pic:cNvPicPr/>
                  </pic:nvPicPr>
                  <pic:blipFill>
                    <a:blip r:embed="rId17"/>
                    <a:stretch>
                      <a:fillRect/>
                    </a:stretch>
                  </pic:blipFill>
                  <pic:spPr>
                    <a:xfrm>
                      <a:off x="0" y="0"/>
                      <a:ext cx="4754880" cy="2911286"/>
                    </a:xfrm>
                    <a:prstGeom prst="rect"/>
                  </pic:spPr>
                </pic:pic>
              </a:graphicData>
            </a:graphic>
          </wp:inline>
        </w:drawing>
      </w:r>
    </w:p>
    <w:p>
      <w:pPr>
        <w:spacing w:after="40"/>
        <w:jc w:val="center"/>
      </w:pPr>
      <w:r>
        <w:rPr>
          <w:i/>
          <w:sz w:val="16"/>
        </w:rPr>
        <w:t>Figure 5: FastAPI Swagger Documentation (/docs) demonstrating successful POST /predict execution and JSON response</w:t>
      </w:r>
    </w:p>
    <w:p>
      <w:r>
        <w:br w:type="page"/>
      </w:r>
    </w:p>
    <w:p>
      <w:pPr>
        <w:pStyle w:val="Heading1"/>
        <w:keepNext/>
        <w:spacing w:before="200" w:after="80"/>
      </w:pPr>
      <w:r>
        <w:rPr>
          <w:rFonts w:ascii="Arial" w:hAnsi="Arial"/>
          <w:b/>
          <w:color w:val="1F4E79"/>
          <w:sz w:val="26"/>
        </w:rPr>
        <w:t>6. CI/CD Pipeline &amp; Automated Testing [Task 5]</w:t>
      </w:r>
    </w:p>
    <w:p>
      <w:pPr>
        <w:spacing w:line="276" w:lineRule="auto" w:after="80"/>
      </w:pPr>
      <w:r>
        <w:t>A comprehensive automated testing suite consisting of 12 unit and integration tests was developed using Pytest. The test suite validates data ingestion integrity, missing value handling, model serialization consistency, clinical discrimination, and HTTP API status codes. The GitHub Actions workflow (.github/workflows/ci.yml) executes on every push and pull request.</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20" w:type="dxa"/>
              <w:bottom w:w="20" w:type="dxa"/>
              <w:left w:w="40" w:type="dxa"/>
              <w:right w:w="40" w:type="dxa"/>
            </w:tcMar>
          </w:tcPr>
          <w:p>
            <w:r>
              <w:rPr>
                <w:b/>
                <w:color w:val="FFFFFF"/>
                <w:sz w:val="16"/>
              </w:rPr>
              <w:t>Test Module</w:t>
            </w:r>
          </w:p>
        </w:tc>
        <w:tc>
          <w:tcPr>
            <w:tcW w:type="dxa" w:w="3456"/>
            <w:shd w:fill="1F4E79"/>
            <w:tcMar>
              <w:top w:w="20" w:type="dxa"/>
              <w:bottom w:w="20" w:type="dxa"/>
              <w:left w:w="40" w:type="dxa"/>
              <w:right w:w="40" w:type="dxa"/>
            </w:tcMar>
          </w:tcPr>
          <w:p>
            <w:r>
              <w:rPr>
                <w:b/>
                <w:color w:val="FFFFFF"/>
                <w:sz w:val="16"/>
              </w:rPr>
              <w:t>Test Function Name</w:t>
            </w:r>
          </w:p>
        </w:tc>
        <w:tc>
          <w:tcPr>
            <w:tcW w:type="dxa" w:w="3456"/>
            <w:shd w:fill="1F4E79"/>
            <w:tcMar>
              <w:top w:w="20" w:type="dxa"/>
              <w:bottom w:w="20" w:type="dxa"/>
              <w:left w:w="40" w:type="dxa"/>
              <w:right w:w="40" w:type="dxa"/>
            </w:tcMar>
          </w:tcPr>
          <w:p>
            <w:r>
              <w:rPr>
                <w:b/>
                <w:color w:val="FFFFFF"/>
                <w:sz w:val="16"/>
              </w:rPr>
              <w:t>Verification Target</w:t>
            </w:r>
          </w:p>
        </w:tc>
      </w:tr>
      <w:tr>
        <w:tc>
          <w:tcPr>
            <w:tcW w:type="dxa" w:w="3456"/>
            <w:tcMar>
              <w:top w:w="15" w:type="dxa"/>
              <w:bottom w:w="15" w:type="dxa"/>
              <w:left w:w="35" w:type="dxa"/>
              <w:right w:w="35" w:type="dxa"/>
            </w:tcMar>
          </w:tcPr>
          <w:p>
            <w:r>
              <w:rPr>
                <w:sz w:val="14"/>
              </w:rPr>
              <w:t>tests/test_data.py</w:t>
            </w:r>
          </w:p>
        </w:tc>
        <w:tc>
          <w:tcPr>
            <w:tcW w:type="dxa" w:w="3456"/>
            <w:tcMar>
              <w:top w:w="15" w:type="dxa"/>
              <w:bottom w:w="15" w:type="dxa"/>
              <w:left w:w="35" w:type="dxa"/>
              <w:right w:w="35" w:type="dxa"/>
            </w:tcMar>
          </w:tcPr>
          <w:p>
            <w:r>
              <w:rPr>
                <w:sz w:val="14"/>
              </w:rPr>
              <w:t>test_raw_data_exists</w:t>
            </w:r>
          </w:p>
        </w:tc>
        <w:tc>
          <w:tcPr>
            <w:tcW w:type="dxa" w:w="3456"/>
            <w:tcMar>
              <w:top w:w="15" w:type="dxa"/>
              <w:bottom w:w="15" w:type="dxa"/>
              <w:left w:w="35" w:type="dxa"/>
              <w:right w:w="35" w:type="dxa"/>
            </w:tcMar>
          </w:tcPr>
          <w:p>
            <w:r>
              <w:rPr>
                <w:sz w:val="14"/>
              </w:rPr>
              <w:t>Confirms presence of UCI raw data</w:t>
            </w:r>
          </w:p>
        </w:tc>
      </w:tr>
      <w:tr>
        <w:tc>
          <w:tcPr>
            <w:tcW w:type="dxa" w:w="3456"/>
            <w:tcMar>
              <w:top w:w="15" w:type="dxa"/>
              <w:bottom w:w="15" w:type="dxa"/>
              <w:left w:w="35" w:type="dxa"/>
              <w:right w:w="35" w:type="dxa"/>
            </w:tcMar>
          </w:tcPr>
          <w:p>
            <w:r>
              <w:rPr>
                <w:sz w:val="14"/>
              </w:rPr>
              <w:t>tests/test_data.py</w:t>
            </w:r>
          </w:p>
        </w:tc>
        <w:tc>
          <w:tcPr>
            <w:tcW w:type="dxa" w:w="3456"/>
            <w:tcMar>
              <w:top w:w="15" w:type="dxa"/>
              <w:bottom w:w="15" w:type="dxa"/>
              <w:left w:w="35" w:type="dxa"/>
              <w:right w:w="35" w:type="dxa"/>
            </w:tcMar>
          </w:tcPr>
          <w:p>
            <w:r>
              <w:rPr>
                <w:sz w:val="14"/>
              </w:rPr>
              <w:t>test_data_cleaning_no_nulls</w:t>
            </w:r>
          </w:p>
        </w:tc>
        <w:tc>
          <w:tcPr>
            <w:tcW w:type="dxa" w:w="3456"/>
            <w:tcMar>
              <w:top w:w="15" w:type="dxa"/>
              <w:bottom w:w="15" w:type="dxa"/>
              <w:left w:w="35" w:type="dxa"/>
              <w:right w:w="35" w:type="dxa"/>
            </w:tcMar>
          </w:tcPr>
          <w:p>
            <w:r>
              <w:rPr>
                <w:sz w:val="14"/>
              </w:rPr>
              <w:t>Verifies zero NaN values after cleaning</w:t>
            </w:r>
          </w:p>
        </w:tc>
      </w:tr>
      <w:tr>
        <w:tc>
          <w:tcPr>
            <w:tcW w:type="dxa" w:w="3456"/>
            <w:tcMar>
              <w:top w:w="15" w:type="dxa"/>
              <w:bottom w:w="15" w:type="dxa"/>
              <w:left w:w="35" w:type="dxa"/>
              <w:right w:w="35" w:type="dxa"/>
            </w:tcMar>
          </w:tcPr>
          <w:p>
            <w:r>
              <w:rPr>
                <w:sz w:val="14"/>
              </w:rPr>
              <w:t>tests/test_data.py</w:t>
            </w:r>
          </w:p>
        </w:tc>
        <w:tc>
          <w:tcPr>
            <w:tcW w:type="dxa" w:w="3456"/>
            <w:tcMar>
              <w:top w:w="15" w:type="dxa"/>
              <w:bottom w:w="15" w:type="dxa"/>
              <w:left w:w="35" w:type="dxa"/>
              <w:right w:w="35" w:type="dxa"/>
            </w:tcMar>
          </w:tcPr>
          <w:p>
            <w:r>
              <w:rPr>
                <w:sz w:val="14"/>
              </w:rPr>
              <w:t>test_processed_splits_exist</w:t>
            </w:r>
          </w:p>
        </w:tc>
        <w:tc>
          <w:tcPr>
            <w:tcW w:type="dxa" w:w="3456"/>
            <w:tcMar>
              <w:top w:w="15" w:type="dxa"/>
              <w:bottom w:w="15" w:type="dxa"/>
              <w:left w:w="35" w:type="dxa"/>
              <w:right w:w="35" w:type="dxa"/>
            </w:tcMar>
          </w:tcPr>
          <w:p>
            <w:r>
              <w:rPr>
                <w:sz w:val="14"/>
              </w:rPr>
              <w:t>Ensures train.csv and test.csv exist with identical schemas</w:t>
            </w:r>
          </w:p>
        </w:tc>
      </w:tr>
      <w:tr>
        <w:tc>
          <w:tcPr>
            <w:tcW w:type="dxa" w:w="3456"/>
            <w:tcMar>
              <w:top w:w="15" w:type="dxa"/>
              <w:bottom w:w="15" w:type="dxa"/>
              <w:left w:w="35" w:type="dxa"/>
              <w:right w:w="35" w:type="dxa"/>
            </w:tcMar>
          </w:tcPr>
          <w:p>
            <w:r>
              <w:rPr>
                <w:sz w:val="14"/>
              </w:rPr>
              <w:t>tests/test_model.py</w:t>
            </w:r>
          </w:p>
        </w:tc>
        <w:tc>
          <w:tcPr>
            <w:tcW w:type="dxa" w:w="3456"/>
            <w:tcMar>
              <w:top w:w="15" w:type="dxa"/>
              <w:bottom w:w="15" w:type="dxa"/>
              <w:left w:w="35" w:type="dxa"/>
              <w:right w:w="35" w:type="dxa"/>
            </w:tcMar>
          </w:tcPr>
          <w:p>
            <w:r>
              <w:rPr>
                <w:sz w:val="14"/>
              </w:rPr>
              <w:t>test_model_file_exists</w:t>
            </w:r>
          </w:p>
        </w:tc>
        <w:tc>
          <w:tcPr>
            <w:tcW w:type="dxa" w:w="3456"/>
            <w:tcMar>
              <w:top w:w="15" w:type="dxa"/>
              <w:bottom w:w="15" w:type="dxa"/>
              <w:left w:w="35" w:type="dxa"/>
              <w:right w:w="35" w:type="dxa"/>
            </w:tcMar>
          </w:tcPr>
          <w:p>
            <w:r>
              <w:rPr>
                <w:sz w:val="14"/>
              </w:rPr>
              <w:t>Verifies models/model.joblib is created</w:t>
            </w:r>
          </w:p>
        </w:tc>
      </w:tr>
      <w:tr>
        <w:tc>
          <w:tcPr>
            <w:tcW w:type="dxa" w:w="3456"/>
            <w:tcMar>
              <w:top w:w="15" w:type="dxa"/>
              <w:bottom w:w="15" w:type="dxa"/>
              <w:left w:w="35" w:type="dxa"/>
              <w:right w:w="35" w:type="dxa"/>
            </w:tcMar>
          </w:tcPr>
          <w:p>
            <w:r>
              <w:rPr>
                <w:sz w:val="14"/>
              </w:rPr>
              <w:t>tests/test_model.py</w:t>
            </w:r>
          </w:p>
        </w:tc>
        <w:tc>
          <w:tcPr>
            <w:tcW w:type="dxa" w:w="3456"/>
            <w:tcMar>
              <w:top w:w="15" w:type="dxa"/>
              <w:bottom w:w="15" w:type="dxa"/>
              <w:left w:w="35" w:type="dxa"/>
              <w:right w:w="35" w:type="dxa"/>
            </w:tcMar>
          </w:tcPr>
          <w:p>
            <w:r>
              <w:rPr>
                <w:sz w:val="14"/>
              </w:rPr>
              <w:t>test_prediction_output_structure</w:t>
            </w:r>
          </w:p>
        </w:tc>
        <w:tc>
          <w:tcPr>
            <w:tcW w:type="dxa" w:w="3456"/>
            <w:tcMar>
              <w:top w:w="15" w:type="dxa"/>
              <w:bottom w:w="15" w:type="dxa"/>
              <w:left w:w="35" w:type="dxa"/>
              <w:right w:w="35" w:type="dxa"/>
            </w:tcMar>
          </w:tcPr>
          <w:p>
            <w:r>
              <w:rPr>
                <w:sz w:val="14"/>
              </w:rPr>
              <w:t>Validates keys in prediction dictionary</w:t>
            </w:r>
          </w:p>
        </w:tc>
      </w:tr>
      <w:tr>
        <w:tc>
          <w:tcPr>
            <w:tcW w:type="dxa" w:w="3456"/>
            <w:tcMar>
              <w:top w:w="15" w:type="dxa"/>
              <w:bottom w:w="15" w:type="dxa"/>
              <w:left w:w="35" w:type="dxa"/>
              <w:right w:w="35" w:type="dxa"/>
            </w:tcMar>
          </w:tcPr>
          <w:p>
            <w:r>
              <w:rPr>
                <w:sz w:val="14"/>
              </w:rPr>
              <w:t>tests/test_model.py</w:t>
            </w:r>
          </w:p>
        </w:tc>
        <w:tc>
          <w:tcPr>
            <w:tcW w:type="dxa" w:w="3456"/>
            <w:tcMar>
              <w:top w:w="15" w:type="dxa"/>
              <w:bottom w:w="15" w:type="dxa"/>
              <w:left w:w="35" w:type="dxa"/>
              <w:right w:w="35" w:type="dxa"/>
            </w:tcMar>
          </w:tcPr>
          <w:p>
            <w:r>
              <w:rPr>
                <w:sz w:val="14"/>
              </w:rPr>
              <w:t>test_clinical_risk_discrimination</w:t>
            </w:r>
          </w:p>
        </w:tc>
        <w:tc>
          <w:tcPr>
            <w:tcW w:type="dxa" w:w="3456"/>
            <w:tcMar>
              <w:top w:w="15" w:type="dxa"/>
              <w:bottom w:w="15" w:type="dxa"/>
              <w:left w:w="35" w:type="dxa"/>
              <w:right w:w="35" w:type="dxa"/>
            </w:tcMar>
          </w:tcPr>
          <w:p>
            <w:r>
              <w:rPr>
                <w:sz w:val="14"/>
              </w:rPr>
              <w:t>Verifies model assigns higher risk to pathological profile</w:t>
            </w:r>
          </w:p>
        </w:tc>
      </w:tr>
      <w:tr>
        <w:tc>
          <w:tcPr>
            <w:tcW w:type="dxa" w:w="3456"/>
            <w:tcMar>
              <w:top w:w="15" w:type="dxa"/>
              <w:bottom w:w="15" w:type="dxa"/>
              <w:left w:w="35" w:type="dxa"/>
              <w:right w:w="35" w:type="dxa"/>
            </w:tcMar>
          </w:tcPr>
          <w:p>
            <w:r>
              <w:rPr>
                <w:sz w:val="14"/>
              </w:rPr>
              <w:t>tests/test_model.py</w:t>
            </w:r>
          </w:p>
        </w:tc>
        <w:tc>
          <w:tcPr>
            <w:tcW w:type="dxa" w:w="3456"/>
            <w:tcMar>
              <w:top w:w="15" w:type="dxa"/>
              <w:bottom w:w="15" w:type="dxa"/>
              <w:left w:w="35" w:type="dxa"/>
              <w:right w:w="35" w:type="dxa"/>
            </w:tcMar>
          </w:tcPr>
          <w:p>
            <w:r>
              <w:rPr>
                <w:sz w:val="14"/>
              </w:rPr>
              <w:t>test_pipeline_handles_missing_values</w:t>
            </w:r>
          </w:p>
        </w:tc>
        <w:tc>
          <w:tcPr>
            <w:tcW w:type="dxa" w:w="3456"/>
            <w:tcMar>
              <w:top w:w="15" w:type="dxa"/>
              <w:bottom w:w="15" w:type="dxa"/>
              <w:left w:w="35" w:type="dxa"/>
              <w:right w:w="35" w:type="dxa"/>
            </w:tcMar>
          </w:tcPr>
          <w:p>
            <w:r>
              <w:rPr>
                <w:sz w:val="14"/>
              </w:rPr>
              <w:t>Verifies embedded SimpleImputer handles NaN features</w:t>
            </w:r>
          </w:p>
        </w:tc>
      </w:tr>
      <w:tr>
        <w:tc>
          <w:tcPr>
            <w:tcW w:type="dxa" w:w="3456"/>
            <w:tcMar>
              <w:top w:w="15" w:type="dxa"/>
              <w:bottom w:w="15" w:type="dxa"/>
              <w:left w:w="35" w:type="dxa"/>
              <w:right w:w="35" w:type="dxa"/>
            </w:tcMar>
          </w:tcPr>
          <w:p>
            <w:r>
              <w:rPr>
                <w:sz w:val="14"/>
              </w:rPr>
              <w:t>tests/test_api.py</w:t>
            </w:r>
          </w:p>
        </w:tc>
        <w:tc>
          <w:tcPr>
            <w:tcW w:type="dxa" w:w="3456"/>
            <w:tcMar>
              <w:top w:w="15" w:type="dxa"/>
              <w:bottom w:w="15" w:type="dxa"/>
              <w:left w:w="35" w:type="dxa"/>
              <w:right w:w="35" w:type="dxa"/>
            </w:tcMar>
          </w:tcPr>
          <w:p>
            <w:r>
              <w:rPr>
                <w:sz w:val="14"/>
              </w:rPr>
              <w:t>test_root_endpoint</w:t>
            </w:r>
          </w:p>
        </w:tc>
        <w:tc>
          <w:tcPr>
            <w:tcW w:type="dxa" w:w="3456"/>
            <w:tcMar>
              <w:top w:w="15" w:type="dxa"/>
              <w:bottom w:w="15" w:type="dxa"/>
              <w:left w:w="35" w:type="dxa"/>
              <w:right w:w="35" w:type="dxa"/>
            </w:tcMar>
          </w:tcPr>
          <w:p>
            <w:r>
              <w:rPr>
                <w:sz w:val="14"/>
              </w:rPr>
              <w:t>Checks landing page metadata and BITS ID: 2025AF05099</w:t>
            </w:r>
          </w:p>
        </w:tc>
      </w:tr>
      <w:tr>
        <w:tc>
          <w:tcPr>
            <w:tcW w:type="dxa" w:w="3456"/>
            <w:tcMar>
              <w:top w:w="15" w:type="dxa"/>
              <w:bottom w:w="15" w:type="dxa"/>
              <w:left w:w="35" w:type="dxa"/>
              <w:right w:w="35" w:type="dxa"/>
            </w:tcMar>
          </w:tcPr>
          <w:p>
            <w:r>
              <w:rPr>
                <w:sz w:val="14"/>
              </w:rPr>
              <w:t>tests/test_api.py</w:t>
            </w:r>
          </w:p>
        </w:tc>
        <w:tc>
          <w:tcPr>
            <w:tcW w:type="dxa" w:w="3456"/>
            <w:tcMar>
              <w:top w:w="15" w:type="dxa"/>
              <w:bottom w:w="15" w:type="dxa"/>
              <w:left w:w="35" w:type="dxa"/>
              <w:right w:w="35" w:type="dxa"/>
            </w:tcMar>
          </w:tcPr>
          <w:p>
            <w:r>
              <w:rPr>
                <w:sz w:val="14"/>
              </w:rPr>
              <w:t>test_health_endpoint</w:t>
            </w:r>
          </w:p>
        </w:tc>
        <w:tc>
          <w:tcPr>
            <w:tcW w:type="dxa" w:w="3456"/>
            <w:tcMar>
              <w:top w:w="15" w:type="dxa"/>
              <w:bottom w:w="15" w:type="dxa"/>
              <w:left w:w="35" w:type="dxa"/>
              <w:right w:w="35" w:type="dxa"/>
            </w:tcMar>
          </w:tcPr>
          <w:p>
            <w:r>
              <w:rPr>
                <w:sz w:val="14"/>
              </w:rPr>
              <w:t>Validates Kubernetes liveness probe returns status 200</w:t>
            </w:r>
          </w:p>
        </w:tc>
      </w:tr>
      <w:tr>
        <w:tc>
          <w:tcPr>
            <w:tcW w:type="dxa" w:w="3456"/>
            <w:tcMar>
              <w:top w:w="15" w:type="dxa"/>
              <w:bottom w:w="15" w:type="dxa"/>
              <w:left w:w="35" w:type="dxa"/>
              <w:right w:w="35" w:type="dxa"/>
            </w:tcMar>
          </w:tcPr>
          <w:p>
            <w:r>
              <w:rPr>
                <w:sz w:val="14"/>
              </w:rPr>
              <w:t>tests/test_api.py</w:t>
            </w:r>
          </w:p>
        </w:tc>
        <w:tc>
          <w:tcPr>
            <w:tcW w:type="dxa" w:w="3456"/>
            <w:tcMar>
              <w:top w:w="15" w:type="dxa"/>
              <w:bottom w:w="15" w:type="dxa"/>
              <w:left w:w="35" w:type="dxa"/>
              <w:right w:w="35" w:type="dxa"/>
            </w:tcMar>
          </w:tcPr>
          <w:p>
            <w:r>
              <w:rPr>
                <w:sz w:val="14"/>
              </w:rPr>
              <w:t>test_predict_endpoint_valid_healthy_payload</w:t>
            </w:r>
          </w:p>
        </w:tc>
        <w:tc>
          <w:tcPr>
            <w:tcW w:type="dxa" w:w="3456"/>
            <w:tcMar>
              <w:top w:w="15" w:type="dxa"/>
              <w:bottom w:w="15" w:type="dxa"/>
              <w:left w:w="35" w:type="dxa"/>
              <w:right w:w="35" w:type="dxa"/>
            </w:tcMar>
          </w:tcPr>
          <w:p>
            <w:r>
              <w:rPr>
                <w:sz w:val="14"/>
              </w:rPr>
              <w:t>Tests inference on healthy patient profile</w:t>
            </w:r>
          </w:p>
        </w:tc>
      </w:tr>
      <w:tr>
        <w:tc>
          <w:tcPr>
            <w:tcW w:type="dxa" w:w="3456"/>
            <w:tcMar>
              <w:top w:w="15" w:type="dxa"/>
              <w:bottom w:w="15" w:type="dxa"/>
              <w:left w:w="35" w:type="dxa"/>
              <w:right w:w="35" w:type="dxa"/>
            </w:tcMar>
          </w:tcPr>
          <w:p>
            <w:r>
              <w:rPr>
                <w:sz w:val="14"/>
              </w:rPr>
              <w:t>tests/test_api.py</w:t>
            </w:r>
          </w:p>
        </w:tc>
        <w:tc>
          <w:tcPr>
            <w:tcW w:type="dxa" w:w="3456"/>
            <w:tcMar>
              <w:top w:w="15" w:type="dxa"/>
              <w:bottom w:w="15" w:type="dxa"/>
              <w:left w:w="35" w:type="dxa"/>
              <w:right w:w="35" w:type="dxa"/>
            </w:tcMar>
          </w:tcPr>
          <w:p>
            <w:r>
              <w:rPr>
                <w:sz w:val="14"/>
              </w:rPr>
              <w:t>test_predict_endpoint_invalid_payload</w:t>
            </w:r>
          </w:p>
        </w:tc>
        <w:tc>
          <w:tcPr>
            <w:tcW w:type="dxa" w:w="3456"/>
            <w:tcMar>
              <w:top w:w="15" w:type="dxa"/>
              <w:bottom w:w="15" w:type="dxa"/>
              <w:left w:w="35" w:type="dxa"/>
              <w:right w:w="35" w:type="dxa"/>
            </w:tcMar>
          </w:tcPr>
          <w:p>
            <w:r>
              <w:rPr>
                <w:sz w:val="14"/>
              </w:rPr>
              <w:t>Asserts 422 Unprocessable Entity on out-of-range clinical inputs</w:t>
            </w:r>
          </w:p>
        </w:tc>
      </w:tr>
      <w:tr>
        <w:tc>
          <w:tcPr>
            <w:tcW w:type="dxa" w:w="3456"/>
            <w:tcMar>
              <w:top w:w="15" w:type="dxa"/>
              <w:bottom w:w="15" w:type="dxa"/>
              <w:left w:w="35" w:type="dxa"/>
              <w:right w:w="35" w:type="dxa"/>
            </w:tcMar>
          </w:tcPr>
          <w:p>
            <w:r>
              <w:rPr>
                <w:sz w:val="14"/>
              </w:rPr>
              <w:t>tests/test_api.py</w:t>
            </w:r>
          </w:p>
        </w:tc>
        <w:tc>
          <w:tcPr>
            <w:tcW w:type="dxa" w:w="3456"/>
            <w:tcMar>
              <w:top w:w="15" w:type="dxa"/>
              <w:bottom w:w="15" w:type="dxa"/>
              <w:left w:w="35" w:type="dxa"/>
              <w:right w:w="35" w:type="dxa"/>
            </w:tcMar>
          </w:tcPr>
          <w:p>
            <w:r>
              <w:rPr>
                <w:sz w:val="14"/>
              </w:rPr>
              <w:t>test_prometheus_metrics_endpoint</w:t>
            </w:r>
          </w:p>
        </w:tc>
        <w:tc>
          <w:tcPr>
            <w:tcW w:type="dxa" w:w="3456"/>
            <w:tcMar>
              <w:top w:w="15" w:type="dxa"/>
              <w:bottom w:w="15" w:type="dxa"/>
              <w:left w:w="35" w:type="dxa"/>
              <w:right w:w="35" w:type="dxa"/>
            </w:tcMar>
          </w:tcPr>
          <w:p>
            <w:r>
              <w:rPr>
                <w:sz w:val="14"/>
              </w:rPr>
              <w:t>Ensures Prometheus exposition format contains http_requests_total</w:t>
            </w:r>
          </w:p>
        </w:tc>
      </w:tr>
    </w:tbl>
    <w:tbl>
      <w:tblPr>
        <w:tblW w:type="auto" w:w="0"/>
        <w:jc w:val="center"/>
        <w:tblLook w:firstColumn="1" w:firstRow="1" w:lastColumn="0" w:lastRow="0" w:noHBand="0" w:noVBand="1" w:val="04A0"/>
      </w:tblPr>
      <w:tblGrid>
        <w:gridCol w:w="5184"/>
        <w:gridCol w:w="5184"/>
      </w:tblGrid>
      <w:tr>
        <w:tc>
          <w:tcPr>
            <w:tcW w:type="dxa" w:w="5184"/>
          </w:tcPr>
          <w:p>
            <w:pPr>
              <w:jc w:val="center"/>
            </w:pPr>
            <w:r>
              <w:drawing>
                <wp:inline xmlns:a="http://schemas.openxmlformats.org/drawingml/2006/main" xmlns:pic="http://schemas.openxmlformats.org/drawingml/2006/picture">
                  <wp:extent cx="2606040" cy="1054352"/>
                  <wp:docPr id="10" name="Picture 10"/>
                  <wp:cNvGraphicFramePr>
                    <a:graphicFrameLocks noChangeAspect="1"/>
                  </wp:cNvGraphicFramePr>
                  <a:graphic>
                    <a:graphicData uri="http://schemas.openxmlformats.org/drawingml/2006/picture">
                      <pic:pic>
                        <pic:nvPicPr>
                          <pic:cNvPr id="0" name="pytets_Flake8.png"/>
                          <pic:cNvPicPr/>
                        </pic:nvPicPr>
                        <pic:blipFill>
                          <a:blip r:embed="rId18"/>
                          <a:stretch>
                            <a:fillRect/>
                          </a:stretch>
                        </pic:blipFill>
                        <pic:spPr>
                          <a:xfrm>
                            <a:off x="0" y="0"/>
                            <a:ext cx="2606040" cy="1054352"/>
                          </a:xfrm>
                          <a:prstGeom prst="rect"/>
                        </pic:spPr>
                      </pic:pic>
                    </a:graphicData>
                  </a:graphic>
                </wp:inline>
              </w:drawing>
            </w:r>
          </w:p>
          <w:p>
            <w:pPr>
              <w:jc w:val="center"/>
            </w:pPr>
            <w:r>
              <w:rPr>
                <w:i/>
                <w:sz w:val="14"/>
              </w:rPr>
              <w:t>Figure 6: Automated verification showing clean Flake8 code linting and 12/12 passing Pytest unit tests</w:t>
            </w:r>
          </w:p>
        </w:tc>
        <w:tc>
          <w:tcPr>
            <w:tcW w:type="dxa" w:w="5184"/>
          </w:tcPr>
          <w:p>
            <w:pPr>
              <w:jc w:val="center"/>
            </w:pPr>
            <w:r>
              <w:drawing>
                <wp:inline xmlns:a="http://schemas.openxmlformats.org/drawingml/2006/main" xmlns:pic="http://schemas.openxmlformats.org/drawingml/2006/picture">
                  <wp:extent cx="2606040" cy="1621094"/>
                  <wp:docPr id="11" name="Picture 11"/>
                  <wp:cNvGraphicFramePr>
                    <a:graphicFrameLocks noChangeAspect="1"/>
                  </wp:cNvGraphicFramePr>
                  <a:graphic>
                    <a:graphicData uri="http://schemas.openxmlformats.org/drawingml/2006/picture">
                      <pic:pic>
                        <pic:nvPicPr>
                          <pic:cNvPr id="0" name="Github_CI.png"/>
                          <pic:cNvPicPr/>
                        </pic:nvPicPr>
                        <pic:blipFill>
                          <a:blip r:embed="rId19"/>
                          <a:stretch>
                            <a:fillRect/>
                          </a:stretch>
                        </pic:blipFill>
                        <pic:spPr>
                          <a:xfrm>
                            <a:off x="0" y="0"/>
                            <a:ext cx="2606040" cy="1621094"/>
                          </a:xfrm>
                          <a:prstGeom prst="rect"/>
                        </pic:spPr>
                      </pic:pic>
                    </a:graphicData>
                  </a:graphic>
                </wp:inline>
              </w:drawing>
            </w:r>
          </w:p>
          <w:p>
            <w:pPr>
              <w:jc w:val="center"/>
            </w:pPr>
            <w:r>
              <w:rPr>
                <w:i/>
                <w:sz w:val="14"/>
              </w:rPr>
              <w:t>Figure 7: GitHub Actions CI automated pipeline green runs</w:t>
            </w:r>
          </w:p>
        </w:tc>
      </w:tr>
    </w:tbl>
    <w:p>
      <w:r>
        <w:br w:type="page"/>
      </w:r>
    </w:p>
    <w:p>
      <w:pPr>
        <w:pStyle w:val="Heading1"/>
        <w:keepNext/>
        <w:spacing w:before="200" w:after="80"/>
      </w:pPr>
      <w:r>
        <w:rPr>
          <w:rFonts w:ascii="Arial" w:hAnsi="Arial"/>
          <w:b/>
          <w:color w:val="1F4E79"/>
          <w:sz w:val="26"/>
        </w:rPr>
        <w:t>7. Docker Containerization &amp; Kubernetes Deployment [Tasks 6 &amp; 7]</w:t>
      </w:r>
    </w:p>
    <w:p>
      <w:pPr>
        <w:spacing w:line="276" w:lineRule="auto" w:after="80"/>
      </w:pPr>
      <w:r>
        <w:t>Containerization: A lightweight single-stage Dockerfile based on python:3.11-slim packages the application. The container executes under an unprivileged user (appuser, UID 1000) rather than root. A Docker HEALTHCHECK directive polls /health every 30 seconds to detect unhealthy container status.</w:t>
      </w:r>
    </w:p>
    <w:p>
      <w:pPr>
        <w:spacing w:line="276" w:lineRule="auto" w:after="80"/>
      </w:pPr>
      <w:r>
        <w:t>Kubernetes Orchestration: Declarative manifests (k8s/deployment.yaml and k8s/service.yaml) deploy the application into a Minikube cluster. The deployment specifies CPU limits (500m), memory limits (512Mi), liveness probes (which restart failing pods), and readiness probes (which control traffic routing). The deployment was horizontally scaled across 4 healthy running pod replicas, with traffic routed through a LoadBalancer service exposing NodePort 30080.</w:t>
      </w:r>
    </w:p>
    <w:p>
      <w:pPr>
        <w:spacing w:before="40" w:after="40"/>
        <w:jc w:val="center"/>
      </w:pPr>
      <w:r>
        <w:drawing>
          <wp:inline xmlns:a="http://schemas.openxmlformats.org/drawingml/2006/main" xmlns:pic="http://schemas.openxmlformats.org/drawingml/2006/picture">
            <wp:extent cx="4937760" cy="3088233"/>
            <wp:docPr id="12" name="Picture 12"/>
            <wp:cNvGraphicFramePr>
              <a:graphicFrameLocks noChangeAspect="1"/>
            </wp:cNvGraphicFramePr>
            <a:graphic>
              <a:graphicData uri="http://schemas.openxmlformats.org/drawingml/2006/picture">
                <pic:pic>
                  <pic:nvPicPr>
                    <pic:cNvPr id="0" name="kubernetes sacled pods &amp; service.png"/>
                    <pic:cNvPicPr/>
                  </pic:nvPicPr>
                  <pic:blipFill>
                    <a:blip r:embed="rId20"/>
                    <a:stretch>
                      <a:fillRect/>
                    </a:stretch>
                  </pic:blipFill>
                  <pic:spPr>
                    <a:xfrm>
                      <a:off x="0" y="0"/>
                      <a:ext cx="4937760" cy="3088233"/>
                    </a:xfrm>
                    <a:prstGeom prst="rect"/>
                  </pic:spPr>
                </pic:pic>
              </a:graphicData>
            </a:graphic>
          </wp:inline>
        </w:drawing>
      </w:r>
    </w:p>
    <w:p>
      <w:pPr>
        <w:spacing w:after="40"/>
        <w:jc w:val="center"/>
      </w:pPr>
      <w:r>
        <w:rPr>
          <w:i/>
          <w:sz w:val="16"/>
        </w:rPr>
        <w:t>Figure 8: Minikube Kubernetes cluster deployment showing 4 ready replica pods and LoadBalancer service exposing NodePort 30080</w:t>
      </w:r>
    </w:p>
    <w:p>
      <w:r>
        <w:br w:type="page"/>
      </w:r>
    </w:p>
    <w:p>
      <w:pPr>
        <w:pStyle w:val="Heading1"/>
        <w:keepNext/>
        <w:spacing w:before="200" w:after="80"/>
      </w:pPr>
      <w:r>
        <w:rPr>
          <w:rFonts w:ascii="Arial" w:hAnsi="Arial"/>
          <w:b/>
          <w:color w:val="1F4E79"/>
          <w:sz w:val="26"/>
        </w:rPr>
        <w:t>8. Production Monitoring &amp; Observability [Task 8]</w:t>
      </w:r>
    </w:p>
    <w:p>
      <w:pPr>
        <w:spacing w:line="276" w:lineRule="auto" w:after="80"/>
      </w:pPr>
      <w:r>
        <w:t>Production observability is achieved via Prometheus metric scraping and an automated Grafana dashboard: Prometheus polls the /metrics endpoint every 5 seconds. Automated Grafana provisioning pre-configures Prometheus as a datasource and automatically imports the Heart Disease Production Dashboard upon container startup.</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20" w:type="dxa"/>
              <w:bottom w:w="20" w:type="dxa"/>
              <w:left w:w="40" w:type="dxa"/>
              <w:right w:w="40" w:type="dxa"/>
            </w:tcMar>
          </w:tcPr>
          <w:p>
            <w:r>
              <w:rPr>
                <w:b/>
                <w:color w:val="FFFFFF"/>
                <w:sz w:val="16"/>
              </w:rPr>
              <w:t>Prometheus Metric</w:t>
            </w:r>
          </w:p>
        </w:tc>
        <w:tc>
          <w:tcPr>
            <w:tcW w:type="dxa" w:w="3456"/>
            <w:shd w:fill="1F4E79"/>
            <w:tcMar>
              <w:top w:w="20" w:type="dxa"/>
              <w:bottom w:w="20" w:type="dxa"/>
              <w:left w:w="40" w:type="dxa"/>
              <w:right w:w="40" w:type="dxa"/>
            </w:tcMar>
          </w:tcPr>
          <w:p>
            <w:r>
              <w:rPr>
                <w:b/>
                <w:color w:val="FFFFFF"/>
                <w:sz w:val="16"/>
              </w:rPr>
              <w:t>Metric Type</w:t>
            </w:r>
          </w:p>
        </w:tc>
        <w:tc>
          <w:tcPr>
            <w:tcW w:type="dxa" w:w="3456"/>
            <w:shd w:fill="1F4E79"/>
            <w:tcMar>
              <w:top w:w="20" w:type="dxa"/>
              <w:bottom w:w="20" w:type="dxa"/>
              <w:left w:w="40" w:type="dxa"/>
              <w:right w:w="40" w:type="dxa"/>
            </w:tcMar>
          </w:tcPr>
          <w:p>
            <w:r>
              <w:rPr>
                <w:b/>
                <w:color w:val="FFFFFF"/>
                <w:sz w:val="16"/>
              </w:rPr>
              <w:t>Monitoring Purpose</w:t>
            </w:r>
          </w:p>
        </w:tc>
      </w:tr>
      <w:tr>
        <w:tc>
          <w:tcPr>
            <w:tcW w:type="dxa" w:w="3456"/>
            <w:tcMar>
              <w:top w:w="15" w:type="dxa"/>
              <w:bottom w:w="15" w:type="dxa"/>
              <w:left w:w="40" w:type="dxa"/>
              <w:right w:w="40" w:type="dxa"/>
            </w:tcMar>
          </w:tcPr>
          <w:p>
            <w:r>
              <w:rPr>
                <w:sz w:val="15"/>
              </w:rPr>
              <w:t>http_requests_total</w:t>
            </w:r>
          </w:p>
        </w:tc>
        <w:tc>
          <w:tcPr>
            <w:tcW w:type="dxa" w:w="3456"/>
            <w:tcMar>
              <w:top w:w="15" w:type="dxa"/>
              <w:bottom w:w="15" w:type="dxa"/>
              <w:left w:w="40" w:type="dxa"/>
              <w:right w:w="40" w:type="dxa"/>
            </w:tcMar>
          </w:tcPr>
          <w:p>
            <w:r>
              <w:rPr>
                <w:sz w:val="15"/>
              </w:rPr>
              <w:t>Counter</w:t>
            </w:r>
          </w:p>
        </w:tc>
        <w:tc>
          <w:tcPr>
            <w:tcW w:type="dxa" w:w="3456"/>
            <w:tcMar>
              <w:top w:w="15" w:type="dxa"/>
              <w:bottom w:w="15" w:type="dxa"/>
              <w:left w:w="40" w:type="dxa"/>
              <w:right w:w="40" w:type="dxa"/>
            </w:tcMar>
          </w:tcPr>
          <w:p>
            <w:r>
              <w:rPr>
                <w:sz w:val="15"/>
              </w:rPr>
              <w:t>Tracks incoming HTTP traffic volume partitioned by method, endpoint, and status code (200, 422, 500)</w:t>
            </w:r>
          </w:p>
        </w:tc>
      </w:tr>
      <w:tr>
        <w:tc>
          <w:tcPr>
            <w:tcW w:type="dxa" w:w="3456"/>
            <w:tcMar>
              <w:top w:w="15" w:type="dxa"/>
              <w:bottom w:w="15" w:type="dxa"/>
              <w:left w:w="40" w:type="dxa"/>
              <w:right w:w="40" w:type="dxa"/>
            </w:tcMar>
          </w:tcPr>
          <w:p>
            <w:r>
              <w:rPr>
                <w:sz w:val="15"/>
              </w:rPr>
              <w:t>request_latency_seconds</w:t>
            </w:r>
          </w:p>
        </w:tc>
        <w:tc>
          <w:tcPr>
            <w:tcW w:type="dxa" w:w="3456"/>
            <w:tcMar>
              <w:top w:w="15" w:type="dxa"/>
              <w:bottom w:w="15" w:type="dxa"/>
              <w:left w:w="40" w:type="dxa"/>
              <w:right w:w="40" w:type="dxa"/>
            </w:tcMar>
          </w:tcPr>
          <w:p>
            <w:r>
              <w:rPr>
                <w:sz w:val="15"/>
              </w:rPr>
              <w:t>Histogram</w:t>
            </w:r>
          </w:p>
        </w:tc>
        <w:tc>
          <w:tcPr>
            <w:tcW w:type="dxa" w:w="3456"/>
            <w:tcMar>
              <w:top w:w="15" w:type="dxa"/>
              <w:bottom w:w="15" w:type="dxa"/>
              <w:left w:w="40" w:type="dxa"/>
              <w:right w:w="40" w:type="dxa"/>
            </w:tcMar>
          </w:tcPr>
          <w:p>
            <w:r>
              <w:rPr>
                <w:sz w:val="15"/>
              </w:rPr>
              <w:t>Tracks distribution of response times to evaluate 95th percentile latency SLAs (P95 &lt; 50ms)</w:t>
            </w:r>
          </w:p>
        </w:tc>
      </w:tr>
      <w:tr>
        <w:tc>
          <w:tcPr>
            <w:tcW w:type="dxa" w:w="3456"/>
            <w:tcMar>
              <w:top w:w="15" w:type="dxa"/>
              <w:bottom w:w="15" w:type="dxa"/>
              <w:left w:w="40" w:type="dxa"/>
              <w:right w:w="40" w:type="dxa"/>
            </w:tcMar>
          </w:tcPr>
          <w:p>
            <w:r>
              <w:rPr>
                <w:sz w:val="15"/>
              </w:rPr>
              <w:t>heart_disease_predictions_total</w:t>
            </w:r>
          </w:p>
        </w:tc>
        <w:tc>
          <w:tcPr>
            <w:tcW w:type="dxa" w:w="3456"/>
            <w:tcMar>
              <w:top w:w="15" w:type="dxa"/>
              <w:bottom w:w="15" w:type="dxa"/>
              <w:left w:w="40" w:type="dxa"/>
              <w:right w:w="40" w:type="dxa"/>
            </w:tcMar>
          </w:tcPr>
          <w:p>
            <w:r>
              <w:rPr>
                <w:sz w:val="15"/>
              </w:rPr>
              <w:t>Counter</w:t>
            </w:r>
          </w:p>
        </w:tc>
        <w:tc>
          <w:tcPr>
            <w:tcW w:type="dxa" w:w="3456"/>
            <w:tcMar>
              <w:top w:w="15" w:type="dxa"/>
              <w:bottom w:w="15" w:type="dxa"/>
              <w:left w:w="40" w:type="dxa"/>
              <w:right w:w="40" w:type="dxa"/>
            </w:tcMar>
          </w:tcPr>
          <w:p>
            <w:r>
              <w:rPr>
                <w:sz w:val="15"/>
              </w:rPr>
              <w:t>Tracks output prediction distribution (positive vs negative inferences) to detect potential output distribution shifts</w:t>
            </w:r>
          </w:p>
        </w:tc>
      </w:tr>
    </w:tbl>
    <w:p>
      <w:pPr>
        <w:spacing w:before="40" w:after="40"/>
        <w:jc w:val="center"/>
      </w:pPr>
      <w:r>
        <w:drawing>
          <wp:inline xmlns:a="http://schemas.openxmlformats.org/drawingml/2006/main" xmlns:pic="http://schemas.openxmlformats.org/drawingml/2006/picture">
            <wp:extent cx="4937760" cy="3072004"/>
            <wp:docPr id="13" name="Picture 13"/>
            <wp:cNvGraphicFramePr>
              <a:graphicFrameLocks noChangeAspect="1"/>
            </wp:cNvGraphicFramePr>
            <a:graphic>
              <a:graphicData uri="http://schemas.openxmlformats.org/drawingml/2006/picture">
                <pic:pic>
                  <pic:nvPicPr>
                    <pic:cNvPr id="0" name="Grafana.png"/>
                    <pic:cNvPicPr/>
                  </pic:nvPicPr>
                  <pic:blipFill>
                    <a:blip r:embed="rId21"/>
                    <a:stretch>
                      <a:fillRect/>
                    </a:stretch>
                  </pic:blipFill>
                  <pic:spPr>
                    <a:xfrm>
                      <a:off x="0" y="0"/>
                      <a:ext cx="4937760" cy="3072004"/>
                    </a:xfrm>
                    <a:prstGeom prst="rect"/>
                  </pic:spPr>
                </pic:pic>
              </a:graphicData>
            </a:graphic>
          </wp:inline>
        </w:drawing>
      </w:r>
    </w:p>
    <w:p>
      <w:pPr>
        <w:spacing w:after="40"/>
        <w:jc w:val="center"/>
      </w:pPr>
      <w:r>
        <w:rPr>
          <w:i/>
          <w:sz w:val="16"/>
        </w:rPr>
        <w:t>Figure 9: Live Grafana production dashboard monitoring Total Requests, Class Distributions, and P95 Latency</w:t>
      </w:r>
    </w:p>
    <w:p>
      <w:r>
        <w:br w:type="page"/>
      </w:r>
    </w:p>
    <w:p>
      <w:pPr>
        <w:pStyle w:val="Heading1"/>
        <w:keepNext/>
        <w:spacing w:before="200" w:after="80"/>
      </w:pPr>
      <w:r>
        <w:rPr>
          <w:rFonts w:ascii="Arial" w:hAnsi="Arial"/>
          <w:b/>
          <w:color w:val="1F4E79"/>
          <w:sz w:val="26"/>
        </w:rPr>
        <w:t>9. Practical Engineering Reflection &amp; Lessons Learned</w:t>
      </w:r>
    </w:p>
    <w:p>
      <w:pPr>
        <w:spacing w:line="252" w:lineRule="auto" w:before="40" w:after="80"/>
      </w:pPr>
      <w:r>
        <w:rPr>
          <w:rFonts w:ascii="Arial" w:hAnsi="Arial"/>
          <w:b/>
          <w:color w:val="1F4E79"/>
          <w:sz w:val="17"/>
        </w:rPr>
        <w:t xml:space="preserve">• In-Fold CV Imputation (Data Leakage Elimination): </w:t>
      </w:r>
      <w:r>
        <w:rPr>
          <w:rFonts w:ascii="Arial" w:hAnsi="Arial"/>
          <w:sz w:val="17"/>
        </w:rPr>
        <w:t>Initially, missing values were imputed across the full training split before CV, subtly leaking validation statistics into training folds. Placing SimpleImputer directly inside the Scikit-learn Pipeline ensured imputation is fitted strictly inside each CV fold during GridSearchCV, maintaining rigorous separation between evaluation partitions.</w:t>
        <w:br/>
      </w:r>
      <w:r>
        <w:rPr>
          <w:rFonts w:ascii="Arial" w:hAnsi="Arial"/>
          <w:b/>
          <w:color w:val="1F4E79"/>
          <w:sz w:val="17"/>
        </w:rPr>
        <w:t xml:space="preserve">• Grafana Telemetry Metric Label Alignment: </w:t>
      </w:r>
      <w:r>
        <w:rPr>
          <w:rFonts w:ascii="Arial" w:hAnsi="Arial"/>
          <w:sz w:val="17"/>
        </w:rPr>
        <w:t>The initial Grafana dashboard queried an incorrect label name (numeric prediction_class), whereas the API was instrumented with prediction_label string values ('Heart Disease Present' / 'No Heart Disease'). Direct Prometheus API inspection revealed the mismatch, which was resolved by updating the PromQL expressions and verifying dashboard panels against live load.</w:t>
        <w:br/>
      </w:r>
      <w:r>
        <w:rPr>
          <w:rFonts w:ascii="Arial" w:hAnsi="Arial"/>
          <w:b/>
          <w:color w:val="1F4E79"/>
          <w:sz w:val="17"/>
        </w:rPr>
        <w:t xml:space="preserve">• Prometheus Scrape Target Duplication: </w:t>
      </w:r>
      <w:r>
        <w:rPr>
          <w:rFonts w:ascii="Arial" w:hAnsi="Arial"/>
          <w:sz w:val="17"/>
        </w:rPr>
        <w:t>Prometheus was initially configured with both 'heart-disease-api:8000' and 'host.docker.internal:8000'. Because both resolved to the same container, queries doubled request and prediction counts. Removing host.docker.internal restored exact 1:1 telemetry accuracy.</w:t>
        <w:br/>
      </w:r>
      <w:r>
        <w:rPr>
          <w:rFonts w:ascii="Arial" w:hAnsi="Arial"/>
          <w:b/>
          <w:color w:val="1F4E79"/>
          <w:sz w:val="17"/>
        </w:rPr>
        <w:t xml:space="preserve">• Lightweight Container Hardening (Debian-Slim): </w:t>
      </w:r>
      <w:r>
        <w:rPr>
          <w:rFonts w:ascii="Arial" w:hAnsi="Arial"/>
          <w:sz w:val="17"/>
        </w:rPr>
        <w:t>Transitioning from standard python:3.11 to python:3.11-slim and enforcing an unprivileged user (appuser, UID 1000) significantly decreased image footprint (down to ~450MB) and attack surface, ensuring compliant non-root execution across Kubernetes worker nodes.</w:t>
        <w:br/>
      </w:r>
      <w:r>
        <w:rPr>
          <w:rFonts w:ascii="Arial" w:hAnsi="Arial"/>
          <w:b/>
          <w:color w:val="1F4E79"/>
          <w:sz w:val="17"/>
        </w:rPr>
        <w:t xml:space="preserve">• Automated CI Quality Gates: </w:t>
      </w:r>
      <w:r>
        <w:rPr>
          <w:rFonts w:ascii="Arial" w:hAnsi="Arial"/>
          <w:sz w:val="17"/>
        </w:rPr>
        <w:t>Configuring GitHub Actions with automated Flake8 linting and Pytest regression suites prevented syntax anomalies and dependency breakages from entering the main branch, safeguarding the codebase against regressions prior to container image creation.</w:t>
        <w:br/>
      </w:r>
    </w:p>
    <w:p>
      <w:pPr>
        <w:pStyle w:val="Heading1"/>
        <w:keepNext/>
        <w:spacing w:before="200" w:after="80"/>
      </w:pPr>
      <w:r>
        <w:rPr>
          <w:rFonts w:ascii="Arial" w:hAnsi="Arial"/>
          <w:b/>
          <w:color w:val="1F4E79"/>
          <w:sz w:val="26"/>
        </w:rPr>
        <w:t>10. Production Roadmap &amp; MLOps Recommendations</w:t>
      </w:r>
    </w:p>
    <w:p>
      <w:pPr>
        <w:spacing w:line="276" w:lineRule="auto" w:after="80"/>
      </w:pPr>
      <w:r>
        <w:t>Based on the empirical findings and production deployment of this pipeline, the following engineering enhancements are recommended for industrial-scale clinical operations:</w:t>
      </w:r>
    </w:p>
    <w:p>
      <w:pPr>
        <w:spacing w:line="252" w:lineRule="auto" w:after="80"/>
      </w:pPr>
      <w:r>
        <w:rPr>
          <w:rFonts w:ascii="Arial" w:hAnsi="Arial"/>
          <w:b/>
          <w:color w:val="1F4E79"/>
          <w:sz w:val="17"/>
        </w:rPr>
        <w:t xml:space="preserve">• Automated Drift Monitoring &amp; Retraining Triggers: </w:t>
      </w:r>
      <w:r>
        <w:rPr>
          <w:rFonts w:ascii="Arial" w:hAnsi="Arial"/>
          <w:sz w:val="17"/>
        </w:rPr>
        <w:t>Deploy Evidently AI drift monitoring pipelines to compute Population Stability Index (PSI &gt; 0.2 indicating significant distribution shift) and statistical tests on numerical features, triggering automated Airflow retraining DAGs upon confirmed feature drift.</w:t>
        <w:br/>
      </w:r>
      <w:r>
        <w:rPr>
          <w:rFonts w:ascii="Arial" w:hAnsi="Arial"/>
          <w:b/>
          <w:color w:val="1F4E79"/>
          <w:sz w:val="17"/>
        </w:rPr>
        <w:t xml:space="preserve">• Centralized Model Registry &amp; Staging Gates: </w:t>
      </w:r>
      <w:r>
        <w:rPr>
          <w:rFonts w:ascii="Arial" w:hAnsi="Arial"/>
          <w:sz w:val="17"/>
        </w:rPr>
        <w:t>Transition from file-based model artifacts to an enterprise MLflow Model Registry with staging, production, and archived lifecycle tags, enforced through automated cryptographic model signing and rollback mechanisms.</w:t>
        <w:br/>
      </w:r>
      <w:r>
        <w:rPr>
          <w:rFonts w:ascii="Arial" w:hAnsi="Arial"/>
          <w:b/>
          <w:color w:val="1F4E79"/>
          <w:sz w:val="17"/>
        </w:rPr>
        <w:t xml:space="preserve">• Canary Deployments &amp; Shadow Scoring: </w:t>
      </w:r>
      <w:r>
        <w:rPr>
          <w:rFonts w:ascii="Arial" w:hAnsi="Arial"/>
          <w:sz w:val="17"/>
        </w:rPr>
        <w:t>Implement service mesh routing for canary deployments (routing 5% of live traffic to challenger pods) and shadow scoring (duplicating production traffic to compare latency and model agreement without impacting client responses).</w:t>
        <w:br/>
      </w:r>
      <w:r>
        <w:rPr>
          <w:rFonts w:ascii="Arial" w:hAnsi="Arial"/>
          <w:b/>
          <w:color w:val="1F4E79"/>
          <w:sz w:val="17"/>
        </w:rPr>
        <w:t xml:space="preserve">• Dataset Versioning with DVC: </w:t>
      </w:r>
      <w:r>
        <w:rPr>
          <w:rFonts w:ascii="Arial" w:hAnsi="Arial"/>
          <w:sz w:val="17"/>
        </w:rPr>
        <w:t>Integrate Data Version Control (DVC) backed by object storage (S3/GCS) to track raw and processed dataset hashes alongside Git commits, reinforcing experimental reproducibility across model development iterations.</w:t>
        <w:br/>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