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Reference choice affects positional enrichment of AlphaGenome variant rankings at APOL1-MYH9</w:t>
      </w:r>
    </w:p>
    <w:p>
      <w:r/>
      <w:r>
        <w:rPr>
          <w:b/>
        </w:rPr>
        <w:t>Christopher Lawrence</w:t>
      </w:r>
      <w:r>
        <w:t xml:space="preserve"> Consultant Nephrologist, London, United Kingdom ORCID 0000-0002-8159-0879 Correspondence: Christopher.lawrence3@nhs.net</w:t>
      </w:r>
    </w:p>
    <w:p>
      <w:r/>
      <w:r>
        <w:rPr>
          <w:b/>
        </w:rPr>
        <w:t>Keywords:</w:t>
      </w:r>
      <w:r>
        <w:t xml:space="preserve"> APOL1; AlphaGenome; DNase-seq; chromatin accessibility; variant prioritisation; reference selection; benchmarking</w:t>
      </w:r>
    </w:p>
    <w:p>
      <w:pPr>
        <w:pStyle w:val="Heading2"/>
      </w:pPr>
      <w:r>
        <w:t>Abstract</w:t>
      </w:r>
    </w:p>
    <w:p>
      <w:r/>
      <w:r>
        <w:rPr>
          <w:b/>
        </w:rPr>
        <w:t>Objective.</w:t>
      </w:r>
      <w: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r/>
      <w:r>
        <w:rPr>
          <w:b/>
        </w:rPr>
        <w:t>Results.</w:t>
      </w:r>
      <w: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pPr>
      <w:r>
        <w:t>Introduction</w:t>
      </w:r>
    </w:p>
    <w:p>
      <w: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largely uncharacterised. Sequence-to-function models predict regulatory activity from DNA and are proposed for prioritising such variants [5, 6], though earlier models of this family perform less well in regions that distinguish cell types [7].</w:t>
      </w:r>
    </w:p>
    <w:p>
      <w:r>
        <w:t>We set out to prioritise regulatory candidates here.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pPr>
      <w:r>
        <w:t>Main text</w:t>
      </w:r>
    </w:p>
    <w:p>
      <w:pPr>
        <w:pStyle w:val="Heading3"/>
      </w:pPr>
      <w:r>
        <w:t>Methods</w:t>
      </w:r>
    </w:p>
    <w:p>
      <w:r/>
      <w:r>
        <w:rPr>
          <w:b/>
        </w:rPr>
        <w:t>Variants.</w:t>
      </w:r>
      <w:r>
        <w:t xml:space="preserve"> The interval spanning APOL3 to MYH9, chr22:36,140,330-36,388,018 (GRCh38, 247,688 bp), fits within one model sequence context. Variants were retrieved on 13 September 2026 from the gnomAD v4 [8] GraphQL application programming interface (API) [9] (dataset </w:t>
      </w:r>
      <w:r>
        <w:rPr>
          <w:rFonts w:ascii="Menlo" w:hAnsi="Menlo"/>
        </w:rPr>
        <w:t>gnomad_r4</w:t>
      </w:r>
      <w:r>
        <w:t xml:space="preserve">, GRCh38 region query), taking allele counts from the </w:t>
      </w:r>
      <w:r>
        <w:rPr>
          <w:rFonts w:ascii="Menlo" w:hAnsi="Menlo"/>
        </w:rPr>
        <w:t>afr</w:t>
      </w:r>
      <w:r>
        <w:t xml:space="preserve"> block of the genome callset with exome fallback; the raw response is deposited. Retaining single-nucleotide substitutions at African-ancestry allele frequency of at least 1% gave </w:t>
      </w:r>
      <w:r>
        <w:rPr>
          <w:b/>
        </w:rPr>
        <w:t>1,930 distinct alternate alleles at 1,921 positions</w:t>
      </w:r>
      <w:r>
        <w:t>. The unit of analysis is a unique build, chromosome, position, REF and ALT combination; nine positions are multi-allelic and contribute two alleles each. A deduplication ledger is deposited.</w:t>
      </w:r>
    </w:p>
    <w:p>
      <w:r/>
      <w:r>
        <w:rPr>
          <w:b/>
        </w:rPr>
        <w:t>Predictions.</w:t>
      </w:r>
      <w:r>
        <w:t xml:space="preserve"> Predictions came from the AlphaGenome public API [6] using the </w:t>
      </w:r>
      <w:r>
        <w:rPr>
          <w:rFonts w:ascii="Menlo" w:hAnsi="Menlo"/>
        </w:rPr>
        <w:t>ALL_FOLDS</w:t>
      </w:r>
      <w:r>
        <w:t xml:space="preserve"> model version, the default when none is specified, with the recommended DNase scorer. In client 0.9.0 that is </w:t>
      </w:r>
      <w:r>
        <w:rPr>
          <w:rFonts w:ascii="Menlo" w:hAnsi="Menlo"/>
        </w:rPr>
        <w:t>CenterMaskScorer(requested_output=DNASE, width=501, aggregation_type=DIFF_LOG2_SUM)</w:t>
      </w:r>
      <w:r>
        <w:t>: signal is summed over a 501 bp window centred on the variant, and the score is the difference of log2 summed signals between alternate and reference. Each variant was scored in its own 1,048,576 bp context centred on the variant (</w:t>
      </w:r>
      <w:r>
        <w:rPr>
          <w:rFonts w:ascii="Menlo" w:hAnsi="Menlo"/>
        </w:rPr>
        <w:t>start = max(0, pos - 524288)</w:t>
      </w:r>
      <w:r>
        <w:t xml:space="preserve">, </w:t>
      </w:r>
      <w:r>
        <w:rPr>
          <w:rFonts w:ascii="Menlo" w:hAnsi="Menlo"/>
        </w:rPr>
        <w:t>pos</w:t>
      </w:r>
      <w:r>
        <w:t xml:space="preserve"> the 1-based gnomAD coordinate). Predictions were obtained on 13 September 2026 at the test locus and 15 September 2026 for the comparator rankings and the comparison locus. Rankings use the </w:t>
      </w:r>
      <w:r>
        <w:rPr>
          <w:b/>
        </w:rPr>
        <w:t>absolute value of that score</w:t>
      </w:r>
      <w:r>
        <w:t>, sorted descending, with no quantile calibration applied; "raw" here means uncalibrated, not untransformed. Ties are broken arbitrarily by the sort, but no tie spans a reported cutoff at any depth for any of the seven rankings, so tie order changes no reported result. Seven tissue outputs were ranked: podocyte (glomerular visceral epithelial cell), whole kidney, hepatocyte, liver, lung, brain and stomach. These seven are a different list from the six tissues used below to define shared peaks. Because the scorer is differential, the endpoint tests whether predictions concentrate at accessible positions, not which allele changes accessibility.</w:t>
      </w:r>
    </w:p>
    <w:p>
      <w:r/>
      <w:r>
        <w:rPr>
          <w:b/>
        </w:rPr>
        <w:t>This evaluation is not independent of model training.</w:t>
      </w:r>
      <w:r>
        <w:t xml:space="preserve"> AlphaGenome is trained on ENCODE DNase-seq coverage, and every kidney biosample used here corresponds to a named training experiment (ENCSR206OJJ, ENCSR785BDQ, ENCSR000EPW, ENCSR000EOL, ENCSR000EOK, ENCSR175IWT). The served </w:t>
      </w:r>
      <w:r>
        <w:rPr>
          <w:rFonts w:ascii="Menlo" w:hAnsi="Menlo"/>
        </w:rPr>
        <w:t>ALL_FOLDS</w:t>
      </w:r>
      <w:r>
        <w:t xml:space="preserve"> version is described as a distilled model whose teachers were trained across all folds, so no genomic region is held out from it; the API also exposes </w:t>
      </w:r>
      <w:r>
        <w:rPr>
          <w:rFonts w:ascii="Menlo" w:hAnsi="Menlo"/>
        </w:rPr>
        <w:t>FOLD_0</w:t>
      </w:r>
      <w:r>
        <w:t xml:space="preserve"> to </w:t>
      </w:r>
      <w:r>
        <w:rPr>
          <w:rFonts w:ascii="Menlo" w:hAnsi="Menlo"/>
        </w:rPr>
        <w:t>FOLD_3</w:t>
      </w:r>
      <w:r>
        <w:t>. We did not establish which released checkpoint, if any, holds this locus out, and make no claim about a held-out evaluation in either direction. What follows are consistency checks between predictions and the data underlying them.</w:t>
      </w:r>
    </w:p>
    <w:p>
      <w:r/>
      <w:r>
        <w:rPr>
          <w:b/>
        </w:rPr>
        <w:t>Measured reference sets.</w:t>
      </w:r>
      <w:r>
        <w:t xml:space="preserve"> ENCODE DNase-seq peak files (GRCh38, released, peak output) [10] were merged over each locus. Coordinates are GRCh38 BED half-open intervals and touching intervals merge (next start not greater than current end). Peaks are classified unclipped, so one merged peak at APOL1-MYH9 extends 447 bp beyond the interval; coverage percentages are computed from the intersection with the evaluated interval, and no peak overhangs at the comparison locus. Six locus and reference combinations were evaluated (Table 1): whole kidney alone (</w:t>
      </w:r>
      <w:r>
        <w:rPr>
          <w:rFonts w:ascii="Menlo" w:hAnsi="Menlo"/>
        </w:rPr>
        <w:t>term_name=kidney</w:t>
      </w:r>
      <w:r>
        <w:t xml:space="preserve">); a </w:t>
      </w:r>
      <w:r>
        <w:rPr>
          <w:b/>
        </w:rPr>
        <w:t>podocyte-inclusive kidney union</w:t>
      </w:r>
      <w:r>
        <w:t xml:space="preserve"> adding </w:t>
      </w:r>
      <w:r>
        <w:rPr>
          <w:rFonts w:ascii="Menlo" w:hAnsi="Menlo"/>
        </w:rPr>
        <w:t>glomerular visceral epithelial cell</w:t>
      </w:r>
      <w:r>
        <w:t xml:space="preserve">; that union partitioned into </w:t>
      </w:r>
      <w:r>
        <w:rPr>
          <w:b/>
        </w:rPr>
        <w:t>kidney-restricted</w:t>
      </w:r>
      <w:r>
        <w:t xml:space="preserve"> and </w:t>
      </w:r>
      <w:r>
        <w:rPr>
          <w:b/>
        </w:rPr>
        <w:t>shared</w:t>
      </w:r>
      <w:r>
        <w:t xml:space="preserve">; and both whole-kidney and podocyte-inclusive definitions at the comparison locus. A merged kidney peak is classified </w:t>
      </w:r>
      <w:r>
        <w:rPr>
          <w:b/>
        </w:rPr>
        <w:t>shared</w:t>
      </w:r>
      <w:r>
        <w:t xml:space="preserve"> if a peak from any of six comparison tissues (liver, lung, heart left ventricle, stomach, spleen, thyroid gland; four files per tissue) </w:t>
      </w:r>
      <w:r>
        <w:rPr>
          <w:b/>
        </w:rPr>
        <w:t>covers its midpoint</w:t>
      </w:r>
      <w:r>
        <w:t xml:space="preserve">, and </w:t>
      </w:r>
      <w:r>
        <w:rPr>
          <w:b/>
        </w:rPr>
        <w:t>kidney-restricted</w:t>
      </w:r>
      <w:r>
        <w:t xml:space="preserve"> otherwise, so part of a kidney-restricted peak may still overlap a comparison peak. Partitions are mutually exclusive and sum to the union in peaks, base pairs and alleles, asserted in code. Within each locus, the eligible allele set and each tissue ranking were held fixed across reference definitions; the two loci have different allele sets. A peak manifest listing every file, term and contribution is deposited.</w:t>
      </w:r>
    </w:p>
    <w:p>
      <w:r/>
      <w:r>
        <w:rPr>
          <w:b/>
        </w:rPr>
        <w:t>Statistics.</w:t>
      </w:r>
      <w: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not tests of ranking differences.</w:t>
      </w:r>
    </w:p>
    <w:p>
      <w:r/>
      <w:r>
        <w:rPr>
          <w:b/>
        </w:rPr>
        <w:t>Resampling.</w:t>
      </w:r>
      <w:r>
        <w:t xml:space="preserve"> Each of 500 bootstrap replicates draws, with replacement, 27 kidney-restricted merged peaks, these being the peaks of the 39 that contain at least one eligible allele. A peak drawn k times contributes its allele records k times. Every remaining record is appended once. Each tissue ranking is then recomputed over that whole replicate pool and its top 200 records taken, so membership of the top set is a consequence of reranking and an allele in the observed top 200 need not survive it. The fixed part of the pool is fixed in its records and scores, not in its contingency membership. One list of draws is generated (seed 20260921, </w:t>
      </w:r>
      <w:r>
        <w:rPr>
          <w:rFonts w:ascii="Menlo" w:hAnsi="Menlo"/>
        </w:rPr>
        <w:t>numpy</w:t>
      </w:r>
      <w:r>
        <w:t xml:space="preserve"> PCG64) and every comparator and both reference definitions are evaluated on each draw, so the six estimates are paired. Alternate alleles at one position always travel together. The observed point estimate and every replicate use the same estimator, a Haldane-corrected log cross-product ratio, which is deliberately not the conditional maximum-likelihood odds ratio of Table 1 and is not interchangeable with it. Intervals are the 2.5th and 97.5th percentiles, unadjusted across six comparators, and conditional on the fixed background. Nine further configurations (three replicate counts by three seeds), yielding 54 comparator-specific intervals, are deposited as a stability check, with pseudocode for the procedure.</w:t>
      </w:r>
    </w:p>
    <w:p>
      <w:r/>
      <w:r>
        <w:rPr>
          <w:b/>
        </w:rPr>
        <w:t>Comparison locus.</w:t>
      </w:r>
      <w:r>
        <w:t xml:space="preserve"> The beta-globin cluster, chr11:5,150,000-5,397,688, matched on length and paralogue-cluster structure and </w:t>
      </w:r>
      <w:r>
        <w:rPr>
          <w:b/>
        </w:rPr>
        <w:t>approximately count-matched</w:t>
      </w:r>
      <w:r>
        <w:t xml:space="preserve"> by subsampling stratified on African-ancestry allele frequency in eight bins: 1,929 alleles against 1,930, because in the 0.10 to 0.20 stratum the test locus required 463 and the control contained 462. No exact matching was attempted.</w:t>
      </w:r>
    </w:p>
    <w:p>
      <w:pPr>
        <w:pStyle w:val="Heading3"/>
      </w:pPr>
      <w:r>
        <w:t>Results</w:t>
      </w:r>
    </w:p>
    <w:p>
      <w:r/>
      <w:r>
        <w:rPr>
          <w:b/>
        </w:rPr>
        <w:t>Whole-kidney reference.</w:t>
      </w:r>
      <w:r>
        <w:t xml:space="preserve"> Against whole-kidney peaks alone (67 peaks, 29,989 bp within the locus, 12.1%) the podocyte ranking gave an odds ratio of 5.98 (95% CI 4.18-8.52) at depth 200, numerically above the strongest non-renal ranking at that depth, lung at 5.46 (3.81-7.79), by a small margin. In a nested sensitivity analysis at depth 100 that ordering reversed: podocyte 5.25 and hepatocyte 6.72.</w:t>
      </w:r>
    </w:p>
    <w:p>
      <w:r/>
      <w:r>
        <w:rPr>
          <w:b/>
        </w:rPr>
        <w:t>Podocyte-inclusive union.</w:t>
      </w:r>
      <w:r>
        <w:t xml:space="preserve"> Against the union (110 peaks, 44,129 bp within the locus, 17.8%) the podocyte ranking gave 8.76 (6.30-12.20) against 5.61 (4.02-7.81) for lung (Figure 1). The separation is larger than under the whole-kidney reference: a difference in the size of a numerical gap, not a demonstration that discrimination is absent under one reference and established under the other.</w:t>
      </w:r>
    </w:p>
    <w:p>
      <w:r/>
      <w:r>
        <w:rPr>
          <w:b/>
        </w:rPr>
        <w:t>Partitions.</w:t>
      </w:r>
      <w:r>
        <w:t xml:space="preserve"> The union partitions into 39 kidney-restricted peaks (14,686 bp) and 71 shared (29,443 bp within the locus),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We detected no change in relative enrichment under this resampling scheme. That is not evidence of equivalence, and it answers a different question from the whole-kidney to union comparison above.</w:t>
      </w:r>
    </w:p>
    <w:p>
      <w:r/>
      <w:r>
        <w:rPr>
          <w:b/>
        </w:rPr>
        <w:t>Comparison locus.</w:t>
      </w:r>
      <w:r>
        <w:t xml:space="preserve"> Against whole-kidney peaks the beta-globin cluster gave 1.44 (0.16-6.56, one-sided p = 0.43; 10 peaks, 2,598 bp). Against the podocyte-inclusive union it gave 7.54 (3.66-15.31; 18 peaks, 5,851 bp). Positional enrichment is therefore </w:t>
      </w:r>
      <w:r>
        <w:rPr>
          <w:b/>
        </w:rPr>
        <w:t>also observed at the comparison locus</w:t>
      </w:r>
      <w:r>
        <w:t xml:space="preserve"> under the union definition. We do not read that as equivalent performance: the loci differ in the architecture evaluated, with union coverage of 17.8% at APOL1-MYH9 against 2.4% here, and overlapping intervals are not an equivalence test. Equally, the wide whole-kidney interval is too imprecise to establish an absence of enrichment.</w:t>
      </w:r>
    </w:p>
    <w:p>
      <w:r>
        <w:t>Table 1 sets out each reference set with its denominator and named comparator.</w:t>
      </w:r>
    </w:p>
    <w:p>
      <w:pPr>
        <w:pStyle w:val="Heading3"/>
      </w:pPr>
      <w:r>
        <w:t>Discussion</w:t>
      </w:r>
    </w:p>
    <w:p>
      <w:r>
        <w:t>Reference definition changed the magnitude and the interpretation of positional enrichment at both loci. At APOL1-MYH9 the podocyte estimate was numerically above the strongest non-renal estimate under both the whole-kidney and the podocyte-inclusive reference, with greater separation under the latter. Adding podocyte files changes coverage and peak composition as well as cell-type representation, and these analyses do not isolate those contributions from one another.</w:t>
      </w:r>
    </w:p>
    <w:p>
      <w:r>
        <w:t>The beta-globin comparison also showed enrichment under the podocyte-inclusive definition. That does not establish equivalent performance between the loci, and the imprecise whole-kidney estimate does not establish its absence. Likewise the conditional partition analysis detected no change in the relative enrichment contrast without establishing equivalence.</w:t>
      </w:r>
    </w:p>
    <w:p>
      <w:r>
        <w:t>Three practical safeguards follow. Specify the measured reference and the predicted output together, since neither alone fixes the endpoint. Verify in code that partitions reconstruct their parent in peaks, base pairs and alleles before interpreting any difference between them; an earlier version of this analysis compared partitions against a pooled set built on a different reference. Apply consistent reference definitions across loci. Because the evaluation overlaps model training and tests position rather than allelic effect, it does not validate tissue-specific variant-effect accuracy or identify an APOL1 regulatory modifier.</w:t>
      </w:r>
    </w:p>
    <w:p>
      <w:pPr>
        <w:pStyle w:val="Heading2"/>
      </w:pPr>
      <w:r>
        <w:t>Limitations</w:t>
      </w:r>
    </w:p>
    <w:p>
      <w:r>
        <w:t>This is an exploratory analysis of one primary locus and one comparison locus, with no pre-registered plan, and the comparisons reported were arrived at iteratively.</w:t>
      </w:r>
    </w:p>
    <w:p>
      <w:r>
        <w:t>The evaluation is not independent of model training, which is the binding limitation: the tracks are named training experiments, and the served model is distilled from teachers trained across all folds. We did not identify a released checkpoint holding this locus out, so these results speak to internal consistency and not to generalisation.</w:t>
      </w:r>
    </w:p>
    <w:p>
      <w:r>
        <w:t>The endpoint is positional. A differential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r>
        <w:t>The bootstrap resamples kidney-restricted peaks and holds everything else fixed, including alleles in shared peaks, so its intervals are conditional on that background rather than a general estimate of sampling uncertainty. They are unadjusted for six comparisons. Resampling whole peaks preserves within-peak clustering but does not account for dependence between separate peaks. The deposited configurations support the stability of zero inclusion; they do not establish precise endpoint stability. A non-significant interaction is not evidence of no interaction, and we specify no margin below which a change would be negligible.</w:t>
      </w:r>
    </w:p>
    <w:p>
      <w:r>
        <w:t>"Kidney-restricted" is defined by a midpoint rule against six comparison tissues and would change with a different panel or rule.</w:t>
      </w:r>
    </w:p>
    <w:p>
      <w:r>
        <w:t>The prioritisation exercise that prompted this work yielded no candidate list reportable under its specified procedure of linkage and prior-literature screening; those intermediate analyses are deposited, and nothing here establishes or excludes an APOL1 regulatory modifier.</w:t>
      </w:r>
    </w:p>
    <w:p>
      <w:pPr>
        <w:pStyle w:val="Heading2"/>
      </w:pPr>
      <w:r>
        <w:t>Conclusion</w:t>
      </w:r>
    </w:p>
    <w:p>
      <w: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pPr>
      <w:r>
        <w:t>Abbreviations</w:t>
      </w:r>
    </w:p>
    <w:p>
      <w:r>
        <w:t>API: application programming interface; bp: base pairs; CI: confidence interval; DNase: deoxyribonuclease; ENCODE: Encyclopedia of DNA Elements; gnomAD: Genome Aggregation Database; GRCh38: Genome Reference Consortium Human Build 38; OR: odds ratio; REF/ALT: reference/alternate allele.</w:t>
      </w:r>
    </w:p>
    <w:p>
      <w:pPr>
        <w:pStyle w:val="Heading2"/>
      </w:pPr>
      <w:r>
        <w:t>Declarations</w:t>
      </w:r>
    </w:p>
    <w:p>
      <w:r/>
      <w:r>
        <w:rPr>
          <w:b/>
        </w:rPr>
        <w:t>Ethics approval and consent to participate.</w:t>
      </w:r>
      <w:r>
        <w:t xml:space="preserve"> Not applicable. No new participant data were collected; the study analysed existing publicly available ENCODE and gnomAD data together with model predictions.</w:t>
      </w:r>
    </w:p>
    <w:p>
      <w:r/>
      <w:r>
        <w:rPr>
          <w:b/>
        </w:rPr>
        <w:t>Consent for publication.</w:t>
      </w:r>
      <w:r>
        <w:t xml:space="preserve"> Not applicable.</w:t>
      </w:r>
    </w:p>
    <w:p>
      <w:r/>
      <w:r>
        <w:rPr>
          <w:b/>
        </w:rPr>
        <w:t>Availability of data and materials.</w:t>
      </w:r>
      <w:r>
        <w:t xml:space="preserve"> All analysis code, the frozen allele ledger, per-variant predictions, contingency counts for every endpoint, the ENCODE peak manifest, partition labels, the ranking provenance record, the six change-in-contrast estimates with intervals, and the bootstrap stability table are available in the apol1-alphagenome repository [11]. Variant frequencies are from gnomAD v4 [8, 9]; peak calls from the ENCODE portal [10]. Model predictions were obtained under AlphaGenome's non-commercial research terms and are redistributed subject to them; model weights were not accessed.</w:t>
      </w:r>
    </w:p>
    <w:p>
      <w:r/>
      <w:r>
        <w:rPr>
          <w:b/>
        </w:rPr>
        <w:t>Competing interests.</w:t>
      </w:r>
      <w:r>
        <w:t xml:space="preserve"> The author declares no competing interests.</w:t>
      </w:r>
    </w:p>
    <w:p>
      <w:r/>
      <w:r>
        <w:rPr>
          <w:b/>
        </w:rPr>
        <w:t>Funding.</w:t>
      </w:r>
      <w:r>
        <w:t xml:space="preserve"> No funding was received.</w:t>
      </w:r>
    </w:p>
    <w:p>
      <w:r/>
      <w:r>
        <w:rPr>
          <w:b/>
        </w:rPr>
        <w:t>Authors' contributions.</w:t>
      </w:r>
      <w:r>
        <w:t xml:space="preserve"> CL is the sole author and conceived the study, wrote the code, performed the analyses and wrote the manuscript.</w:t>
      </w:r>
    </w:p>
    <w:p>
      <w:r/>
      <w:r>
        <w:rPr>
          <w:b/>
        </w:rPr>
        <w:t>Acknowledgements.</w:t>
      </w:r>
      <w:r>
        <w:t xml:space="preserve"> Not applicable.</w:t>
      </w:r>
    </w:p>
    <w:p>
      <w:pPr>
        <w:pStyle w:val="Heading2"/>
      </w:pPr>
      <w:r>
        <w:t>References</w:t>
      </w:r>
    </w:p>
    <w:p>
      <w:pPr>
        <w:pStyle w:val="ListNumber"/>
      </w:pPr>
      <w:r>
        <w:t>Genovese G, Friedman DJ, Ross MD, Lecordier L, Uzureau P, Freedman BI, et al. Association of trypanolytic ApoL1 variants with kidney disease in African Americans. Science. 2010;329:841-5.</w:t>
      </w:r>
    </w:p>
    <w:p>
      <w:pPr>
        <w:pStyle w:val="ListNumber"/>
      </w:pPr>
      <w:r>
        <w:t>Kopp JB, Smith MW, Nelson GW, Johnson RC, Freedman BI, Bowden DW, et al. MYH9 is a major-effect risk gene for focal segmental glomerulosclerosis. Nat Genet. 2008;40:1175-84.</w:t>
      </w:r>
    </w:p>
    <w:p>
      <w:pPr>
        <w:pStyle w:val="ListNumber"/>
      </w:pPr>
      <w:r>
        <w:t>Beckerman P, Bi-Karchin J, Park AS, Qiu C, Dummer PD, Soomro I, et al. Transgenic expression of human APOL1 risk variants in podocytes induces kidney disease in mice. Nat Med. 2017;23:429-38.</w:t>
      </w:r>
    </w:p>
    <w:p>
      <w:pPr>
        <w:pStyle w:val="ListNumber"/>
      </w:pPr>
      <w:r>
        <w:t>Ojo AO, Adu D, Bramham K, Freedman BI, Gbadegesin RA, Ilori TO, et al. APOL1 kidney disease: conclusions from a Kidney Disease: Improving Global Outcomes (KDIGO) Controversies Conference. Kidney Int. 2025;108:763-79.</w:t>
      </w:r>
    </w:p>
    <w:p>
      <w:pPr>
        <w:pStyle w:val="ListNumber"/>
      </w:pPr>
      <w:r>
        <w:t>Linder J, Srivastava D, Yuan H, Agarwal V, Kelley DR. Predicting RNA-seq coverage from DNA sequence as a unifying model of gene regulation. Nat Genet. 2025;57:949-61.</w:t>
      </w:r>
    </w:p>
    <w:p>
      <w:pPr>
        <w:pStyle w:val="ListNumber"/>
      </w:pPr>
      <w:r>
        <w:t>Avsec Ž, Latysheva N, Cheng J, Novati G, Taylor KR, Ward T, et al. Advancing regulatory variant effect prediction with AlphaGenome. Nature. 2026;649:1206-18.</w:t>
      </w:r>
    </w:p>
    <w:p>
      <w:pPr>
        <w:pStyle w:val="ListNumber"/>
      </w:pPr>
      <w:r>
        <w:t>Kathail P, Shuai RW, Chung R, Ye CJ, Loeb GB, Ioannidis NM. Current genomic deep learning models display decreased performance in cell type-specific accessible regions. Genome Biol. 2024;25:202.</w:t>
      </w:r>
    </w:p>
    <w:p>
      <w:pPr>
        <w:pStyle w:val="ListNumber"/>
      </w:pPr>
      <w:r>
        <w:t>Chen S, Francioli LC, Goodrich JK, Collins RL, Kanai M, Wang Q, et al. A genomic mutational constraint map using variation in 76,156 human genomes. Nature. 2024;625:92-100.</w:t>
      </w:r>
    </w:p>
    <w:p>
      <w:pPr>
        <w:pStyle w:val="ListNumber"/>
      </w:pPr>
      <w:r>
        <w:t xml:space="preserve">Genome Aggregation Database. gnomAD v4, GraphQL API dataset identifier </w:t>
      </w:r>
      <w:r>
        <w:rPr>
          <w:rFonts w:ascii="Menlo" w:hAnsi="Menlo"/>
        </w:rPr>
        <w:t>gnomad_r4</w:t>
      </w:r>
      <w:r>
        <w:t xml:space="preserve">, GRCh38 region query, </w:t>
      </w:r>
      <w:r>
        <w:rPr>
          <w:rFonts w:ascii="Menlo" w:hAnsi="Menlo"/>
        </w:rPr>
        <w:t>afr</w:t>
      </w:r>
      <w:r>
        <w:t xml:space="preserve"> genetic-ancestry group, genome callset with exome fallback. https://gnomad.broadinstitute.org/api (accessed 13 September 2026). The raw API response is deposited with the analysis archive.</w:t>
      </w:r>
    </w:p>
    <w:p>
      <w:pPr>
        <w:pStyle w:val="ListNumber"/>
      </w:pPr>
      <w:r>
        <w:t>ENCODE Project Consortium. Expanded encyclopaedias of DNA elements in the human and mouse genomes. Nature. 2020;583:699-710. Individual experiment and file accessions are listed in the deposited peak manifest.</w:t>
      </w:r>
    </w:p>
    <w:p>
      <w:pPr>
        <w:pStyle w:val="ListNumber"/>
      </w:pPr>
      <w:r>
        <w:t>Lawrence C. apol1-alphagenome: analysis code and frozen results, release v1.0-bmcrn. https://github.com/PatientThread/apol1-alphagenome/releases/tag/v1.0-bmcrn (accessed 21 September 2026).</w:t>
      </w:r>
    </w:p>
    <w:p>
      <w:pPr>
        <w:pStyle w:val="Heading2"/>
      </w:pPr>
      <w:r>
        <w:t>Figure legends</w:t>
      </w:r>
    </w:p>
    <w:p>
      <w:r/>
      <w:r>
        <w:rPr>
          <w:b/>
        </w:rPr>
        <w:t>Figure 1.</w:t>
      </w:r>
      <w: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r/>
      <w:r>
        <w:rPr>
          <w:b/>
        </w:rPr>
        <w:t>Figure 2.</w:t>
      </w:r>
      <w:r>
        <w:t xml:space="preserve"> Change in tissue contrast on partitioning, for each of six comparators. The quantity plotted is the podocyte-minus-comparator contrast in kidney-restricted regions minus the same contrast in the podocyte-inclusive union, in natural-log odds ratio, so a positive value means the podocyte ranking gains relative advantage in kidney-restricted regions. Estimated on one list of 500 bootstrap draws of kidney-restricted peaks shared by all six comparators, with all other records held fixed. Points and intervals both use the Haldane-corrected log cross-product ratio, not the conditional maximum-likelihood estimator of Table</w:t>
      </w:r>
    </w:p>
    <w:p>
      <w:pPr>
        <w:pStyle w:val="ListNumber"/>
      </w:pPr>
      <w:r>
        <w:t>Intervals are the 2.5th and 97.5th percentiles, unadjusted for six</w:t>
      </w:r>
    </w:p>
    <w:p>
      <w:r>
        <w:t>comparisons; numerical limits are printed beside each point. No interval excludes zero, which is not a test of equivalence.</w:t>
      </w:r>
    </w:p>
    <w:p>
      <w:pPr>
        <w:pStyle w:val="Heading2"/>
      </w:pPr>
      <w:r>
        <w:t>Tables</w:t>
      </w:r>
    </w:p>
    <w:p>
      <w:r/>
      <w:r>
        <w:rPr>
          <w:b/>
        </w:rPr>
        <w:t>Table 1.</w:t>
      </w:r>
      <w: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Locus</w:t>
            </w:r>
          </w:p>
        </w:tc>
        <w:tc>
          <w:tcPr>
            <w:tcW w:type="dxa" w:w="1234"/>
          </w:tcPr>
          <w:p>
            <w:r>
              <w:t>Reference set</w:t>
            </w:r>
          </w:p>
        </w:tc>
        <w:tc>
          <w:tcPr>
            <w:tcW w:type="dxa" w:w="1234"/>
          </w:tcPr>
          <w:p>
            <w:r>
              <w:t>Peaks</w:t>
            </w:r>
          </w:p>
        </w:tc>
        <w:tc>
          <w:tcPr>
            <w:tcW w:type="dxa" w:w="1234"/>
          </w:tcPr>
          <w:p>
            <w:r>
              <w:t>bp (% locus)</w:t>
            </w:r>
          </w:p>
        </w:tc>
        <w:tc>
          <w:tcPr>
            <w:tcW w:type="dxa" w:w="1234"/>
          </w:tcPr>
          <w:p>
            <w:r>
              <w:t>n</w:t>
            </w:r>
          </w:p>
        </w:tc>
        <w:tc>
          <w:tcPr>
            <w:tcW w:type="dxa" w:w="1234"/>
          </w:tcPr>
          <w:p>
            <w:r>
              <w:t>Podocyte OR (95% CI)</w:t>
            </w:r>
          </w:p>
        </w:tc>
        <w:tc>
          <w:tcPr>
            <w:tcW w:type="dxa" w:w="1234"/>
          </w:tcPr>
          <w:p>
            <w:r>
              <w:t>Strongest non-renal OR (95% CI)</w:t>
            </w:r>
          </w:p>
        </w:tc>
      </w:tr>
      <w:tr>
        <w:tc>
          <w:tcPr>
            <w:tcW w:type="dxa" w:w="1234"/>
          </w:tcPr>
          <w:p>
            <w:r>
              <w:t>APOL1-MYH9</w:t>
            </w:r>
          </w:p>
        </w:tc>
        <w:tc>
          <w:tcPr>
            <w:tcW w:type="dxa" w:w="1234"/>
          </w:tcPr>
          <w:p>
            <w:r>
              <w:t>Whole kidney</w:t>
            </w:r>
          </w:p>
        </w:tc>
        <w:tc>
          <w:tcPr>
            <w:tcW w:type="dxa" w:w="1234"/>
          </w:tcPr>
          <w:p>
            <w:r>
              <w:t>67</w:t>
            </w:r>
          </w:p>
        </w:tc>
        <w:tc>
          <w:tcPr>
            <w:tcW w:type="dxa" w:w="1234"/>
          </w:tcPr>
          <w:p>
            <w:r>
              <w:t>29,989 (12.1)</w:t>
            </w:r>
          </w:p>
        </w:tc>
        <w:tc>
          <w:tcPr>
            <w:tcW w:type="dxa" w:w="1234"/>
          </w:tcPr>
          <w:p>
            <w:r>
              <w:t>1,930</w:t>
            </w:r>
          </w:p>
        </w:tc>
        <w:tc>
          <w:tcPr>
            <w:tcW w:type="dxa" w:w="1234"/>
          </w:tcPr>
          <w:p>
            <w:r>
              <w:t>5.98 (4.18-8.52)</w:t>
            </w:r>
          </w:p>
        </w:tc>
        <w:tc>
          <w:tcPr>
            <w:tcW w:type="dxa" w:w="1234"/>
          </w:tcPr>
          <w:p>
            <w:r>
              <w:t>lung 5.46 (3.81-7.79)</w:t>
            </w:r>
          </w:p>
        </w:tc>
      </w:tr>
      <w:tr>
        <w:tc>
          <w:tcPr>
            <w:tcW w:type="dxa" w:w="1234"/>
          </w:tcPr>
          <w:p>
            <w:r>
              <w:t>APOL1-MYH9</w:t>
            </w:r>
          </w:p>
        </w:tc>
        <w:tc>
          <w:tcPr>
            <w:tcW w:type="dxa" w:w="1234"/>
          </w:tcPr>
          <w:p>
            <w:r>
              <w:t>Podocyte-inclusive union</w:t>
            </w:r>
          </w:p>
        </w:tc>
        <w:tc>
          <w:tcPr>
            <w:tcW w:type="dxa" w:w="1234"/>
          </w:tcPr>
          <w:p>
            <w:r>
              <w:t>110</w:t>
            </w:r>
          </w:p>
        </w:tc>
        <w:tc>
          <w:tcPr>
            <w:tcW w:type="dxa" w:w="1234"/>
          </w:tcPr>
          <w:p>
            <w:r>
              <w:t>44,129 (17.8)</w:t>
            </w:r>
          </w:p>
        </w:tc>
        <w:tc>
          <w:tcPr>
            <w:tcW w:type="dxa" w:w="1234"/>
          </w:tcPr>
          <w:p>
            <w:r>
              <w:t>1,930</w:t>
            </w:r>
          </w:p>
        </w:tc>
        <w:tc>
          <w:tcPr>
            <w:tcW w:type="dxa" w:w="1234"/>
          </w:tcPr>
          <w:p>
            <w:r>
              <w:t>8.76 (6.30-12.20)</w:t>
            </w:r>
          </w:p>
        </w:tc>
        <w:tc>
          <w:tcPr>
            <w:tcW w:type="dxa" w:w="1234"/>
          </w:tcPr>
          <w:p>
            <w:r>
              <w:t>lung 5.61 (4.02-7.81)</w:t>
            </w:r>
          </w:p>
        </w:tc>
      </w:tr>
      <w:tr>
        <w:tc>
          <w:tcPr>
            <w:tcW w:type="dxa" w:w="1234"/>
          </w:tcPr>
          <w:p>
            <w:r>
              <w:t>APOL1-MYH9</w:t>
            </w:r>
          </w:p>
        </w:tc>
        <w:tc>
          <w:tcPr>
            <w:tcW w:type="dxa" w:w="1234"/>
          </w:tcPr>
          <w:p>
            <w:r>
              <w:t>Union, kidney-restricted</w:t>
            </w:r>
          </w:p>
        </w:tc>
        <w:tc>
          <w:tcPr>
            <w:tcW w:type="dxa" w:w="1234"/>
          </w:tcPr>
          <w:p>
            <w:r>
              <w:t>39</w:t>
            </w:r>
          </w:p>
        </w:tc>
        <w:tc>
          <w:tcPr>
            <w:tcW w:type="dxa" w:w="1234"/>
          </w:tcPr>
          <w:p>
            <w:r>
              <w:t>14,686 (5.9)</w:t>
            </w:r>
          </w:p>
        </w:tc>
        <w:tc>
          <w:tcPr>
            <w:tcW w:type="dxa" w:w="1234"/>
          </w:tcPr>
          <w:p>
            <w:r>
              <w:t>1,930</w:t>
            </w:r>
          </w:p>
        </w:tc>
        <w:tc>
          <w:tcPr>
            <w:tcW w:type="dxa" w:w="1234"/>
          </w:tcPr>
          <w:p>
            <w:r>
              <w:t>4.30 (2.53-7.15)</w:t>
            </w:r>
          </w:p>
        </w:tc>
        <w:tc>
          <w:tcPr>
            <w:tcW w:type="dxa" w:w="1234"/>
          </w:tcPr>
          <w:p>
            <w:r>
              <w:t>lung 2.49 (1.36-4.36)</w:t>
            </w:r>
          </w:p>
        </w:tc>
      </w:tr>
      <w:tr>
        <w:tc>
          <w:tcPr>
            <w:tcW w:type="dxa" w:w="1234"/>
          </w:tcPr>
          <w:p>
            <w:r>
              <w:t>APOL1-MYH9</w:t>
            </w:r>
          </w:p>
        </w:tc>
        <w:tc>
          <w:tcPr>
            <w:tcW w:type="dxa" w:w="1234"/>
          </w:tcPr>
          <w:p>
            <w:r>
              <w:t>Union, shared</w:t>
            </w:r>
          </w:p>
        </w:tc>
        <w:tc>
          <w:tcPr>
            <w:tcW w:type="dxa" w:w="1234"/>
          </w:tcPr>
          <w:p>
            <w:r>
              <w:t>71</w:t>
            </w:r>
          </w:p>
        </w:tc>
        <w:tc>
          <w:tcPr>
            <w:tcW w:type="dxa" w:w="1234"/>
          </w:tcPr>
          <w:p>
            <w:r>
              <w:t>29,443 (11.9)</w:t>
            </w:r>
          </w:p>
        </w:tc>
        <w:tc>
          <w:tcPr>
            <w:tcW w:type="dxa" w:w="1234"/>
          </w:tcPr>
          <w:p>
            <w:r>
              <w:t>1,930</w:t>
            </w:r>
          </w:p>
        </w:tc>
        <w:tc>
          <w:tcPr>
            <w:tcW w:type="dxa" w:w="1234"/>
          </w:tcPr>
          <w:p>
            <w:r>
              <w:t>7.94 (5.55-11.33)</w:t>
            </w:r>
          </w:p>
        </w:tc>
        <w:tc>
          <w:tcPr>
            <w:tcW w:type="dxa" w:w="1234"/>
          </w:tcPr>
          <w:p>
            <w:r>
              <w:t>lung 6.02 (4.18-8.62)</w:t>
            </w:r>
          </w:p>
        </w:tc>
      </w:tr>
      <w:tr>
        <w:tc>
          <w:tcPr>
            <w:tcW w:type="dxa" w:w="1234"/>
          </w:tcPr>
          <w:p>
            <w:r>
              <w:t>beta-globin</w:t>
            </w:r>
          </w:p>
        </w:tc>
        <w:tc>
          <w:tcPr>
            <w:tcW w:type="dxa" w:w="1234"/>
          </w:tcPr>
          <w:p>
            <w:r>
              <w:t>Whole kidney</w:t>
            </w:r>
          </w:p>
        </w:tc>
        <w:tc>
          <w:tcPr>
            <w:tcW w:type="dxa" w:w="1234"/>
          </w:tcPr>
          <w:p>
            <w:r>
              <w:t>10</w:t>
            </w:r>
          </w:p>
        </w:tc>
        <w:tc>
          <w:tcPr>
            <w:tcW w:type="dxa" w:w="1234"/>
          </w:tcPr>
          <w:p>
            <w:r>
              <w:t>2,598 (1.0)</w:t>
            </w:r>
          </w:p>
        </w:tc>
        <w:tc>
          <w:tcPr>
            <w:tcW w:type="dxa" w:w="1234"/>
          </w:tcPr>
          <w:p>
            <w:r>
              <w:t>1,929</w:t>
            </w:r>
          </w:p>
        </w:tc>
        <w:tc>
          <w:tcPr>
            <w:tcW w:type="dxa" w:w="1234"/>
          </w:tcPr>
          <w:p>
            <w:r>
              <w:t>1.44 (0.16-6.56)</w:t>
            </w:r>
          </w:p>
        </w:tc>
        <w:tc>
          <w:tcPr>
            <w:tcW w:type="dxa" w:w="1234"/>
          </w:tcPr>
          <w:p>
            <w:r>
              <w:t>not evaluated</w:t>
            </w:r>
          </w:p>
        </w:tc>
      </w:tr>
      <w:tr>
        <w:tc>
          <w:tcPr>
            <w:tcW w:type="dxa" w:w="1234"/>
          </w:tcPr>
          <w:p>
            <w:r>
              <w:t>beta-globin</w:t>
            </w:r>
          </w:p>
        </w:tc>
        <w:tc>
          <w:tcPr>
            <w:tcW w:type="dxa" w:w="1234"/>
          </w:tcPr>
          <w:p>
            <w:r>
              <w:t>Podocyte-inclusive union</w:t>
            </w:r>
          </w:p>
        </w:tc>
        <w:tc>
          <w:tcPr>
            <w:tcW w:type="dxa" w:w="1234"/>
          </w:tcPr>
          <w:p>
            <w:r>
              <w:t>18</w:t>
            </w:r>
          </w:p>
        </w:tc>
        <w:tc>
          <w:tcPr>
            <w:tcW w:type="dxa" w:w="1234"/>
          </w:tcPr>
          <w:p>
            <w:r>
              <w:t>5,851 (2.4)</w:t>
            </w:r>
          </w:p>
        </w:tc>
        <w:tc>
          <w:tcPr>
            <w:tcW w:type="dxa" w:w="1234"/>
          </w:tcPr>
          <w:p>
            <w:r>
              <w:t>1,929</w:t>
            </w:r>
          </w:p>
        </w:tc>
        <w:tc>
          <w:tcPr>
            <w:tcW w:type="dxa" w:w="1234"/>
          </w:tcPr>
          <w:p>
            <w:r>
              <w:t>7.54 (3.66-15.31)</w:t>
            </w:r>
          </w:p>
        </w:tc>
        <w:tc>
          <w:tcPr>
            <w:tcW w:type="dxa" w:w="1234"/>
          </w:tcPr>
          <w:p>
            <w:r>
              <w:t>not evaluated</w:t>
            </w:r>
          </w:p>
        </w:tc>
      </w:tr>
    </w:tbl>
    <w:p>
      <w:r>
        <w:t>Coverage percentages are of the 247,688 bp evaluated at each locus, computed from the intersection of merged peaks with that interval. Each estimate is specific to the endpoint its row defines.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