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36"/>
        </w:rPr>
        <w:t>Benchmark design determines whether a sequence model appears tissue-blind: a worked example at the APOL1-MYH9 locus</w:t>
      </w:r>
    </w:p>
    <w:p>
      <w:r>
        <w:rPr>
          <w:b/>
          <w:color w:val="000000"/>
        </w:rPr>
        <w:t>Christopher Lawrence</w:t>
      </w:r>
      <w:r>
        <w:rPr>
          <w:color w:val="000000"/>
        </w:rPr>
        <w:t xml:space="preserve"> Consultant Nephrologist, London, United Kingdom ORCID 0000-0002-8159-0879 Correspondence: Christopher.lawrence3@nhs.net</w:t>
      </w:r>
    </w:p>
    <w:p>
      <w:r>
        <w:rPr>
          <w:b/>
          <w:color w:val="000000"/>
        </w:rPr>
        <w:t>Running head:</w:t>
      </w:r>
      <w:r>
        <w:rPr>
          <w:color w:val="000000"/>
        </w:rPr>
        <w:t xml:space="preserve"> Benchmark design and apparent tissue-blindness</w:t>
      </w:r>
    </w:p>
    <w:p>
      <w:r>
        <w:rPr>
          <w:b/>
          <w:color w:val="000000"/>
        </w:rPr>
        <w:t>Keywords:</w:t>
      </w:r>
      <w:r>
        <w:rPr>
          <w:color w:val="000000"/>
        </w:rPr>
        <w:t xml:space="preserve"> APOL1; chronic kidney disease; gene expression regulation; machine learning; MYH9</w:t>
      </w:r>
    </w:p>
    <w:p>
      <w:pPr>
        <w:pBdr>
          <w:bottom w:val="single" w:sz="6" w:space="1" w:color="999999"/>
        </w:pBdr>
      </w:pPr>
    </w:p>
    <w:p>
      <w:r>
        <w:rPr>
          <w:b/>
          <w:color w:val="000000"/>
          <w:sz w:val="28"/>
        </w:rPr>
        <w:t>Abstract</w:t>
      </w:r>
    </w:p>
    <w:p>
      <w:r>
        <w:rPr>
          <w:b/>
          <w:color w:val="000000"/>
        </w:rPr>
        <w:t>Background and hypothesis.</w:t>
      </w:r>
      <w:r>
        <w:rPr>
          <w:color w:val="000000"/>
        </w:rPr>
        <w:t xml:space="preserve"> Sequence-to-function models are increasingly used to prioritise non-coding variants at kidney disease loci, and their tissue-labelled outputs are read as tissue-specific. We asked whether that reading is justified at the APOL1-MYH9 locus, and found that the answer depends almost entirely on how the benchmark is constructed.</w:t>
      </w:r>
    </w:p>
    <w:p>
      <w:r>
        <w:rPr>
          <w:b/>
          <w:color w:val="000000"/>
        </w:rPr>
        <w:t>Methods.</w:t>
      </w:r>
      <w:r>
        <w:rPr>
          <w:color w:val="000000"/>
        </w:rPr>
        <w:t xml:space="preserve"> We scored 1,930 variants common in African genetic-ancestry populations across chr22:36,140,330-36,388,018 with AlphaGenome, and tested rankings for enrichment in measured ENCODE kidney open chromatin against the other common variants at the same locus. We then repeated the test after partitioning measured accessible regions into those open in kidney but closed in six comparison tissues, those shared, and those specific to other tissues. Rankings were compared pairwise with peaks, not variants, as the resampling unit. Linkage disequilibrium with G1 and G2 was computed directly from phased haplotypes in seven African populations, reporting D' and the maximum r-squared the allele frequencies permit alongside r-squared.</w:t>
      </w:r>
    </w:p>
    <w:p>
      <w:r>
        <w:rPr>
          <w:b/>
          <w:color w:val="000000"/>
        </w:rPr>
        <w:t>Results.</w:t>
      </w:r>
      <w:r>
        <w:rPr>
          <w:color w:val="000000"/>
        </w:rPr>
        <w:t xml:space="preserve"> Pooling all measured kidney peaks, a hepatocyte ranking identified them almost as well as a kidney ranking, which suggests the tissue label is uninformative. Partitioning reverses this. In kidney-specific regions the podocyte ranking reached an odds ratio of 4.28 (95% CI 2.52-7.11) against 2.48 for the best non-kidney ranking, and exceeded five of six alternatives with paired intervals excluding zero. In regions specific to other tissues it was the weakest of seven. Shared regions, where all rankings perform similarly, dominate the locus and therefore dominate the pooled result.</w:t>
      </w:r>
    </w:p>
    <w:p>
      <w:r>
        <w:rPr>
          <w:b/>
          <w:color w:val="000000"/>
        </w:rPr>
        <w:t>Conclusions.</w:t>
      </w:r>
      <w:r>
        <w:rPr>
          <w:color w:val="000000"/>
        </w:rPr>
        <w:t xml:space="preserve"> The model does encode tissue identity; the original benchmark could not detect it. Benchmarks that pool tissue-specific with shared regulatory regions will understate tissue discrimination. We also show that ENCODE-based validation of this model is not independent, and that candidate prioritisation at this locus survives neither linkage nor prior-literature scrutiny.</w:t>
      </w:r>
    </w:p>
    <w:p>
      <w:pPr>
        <w:pBdr>
          <w:bottom w:val="single" w:sz="6" w:space="1" w:color="999999"/>
        </w:pBdr>
      </w:pPr>
    </w:p>
    <w:p>
      <w:r>
        <w:rPr>
          <w:b/>
          <w:color w:val="000000"/>
          <w:sz w:val="28"/>
        </w:rPr>
        <w:t>Key learning points</w:t>
      </w:r>
    </w:p>
    <w:p>
      <w:r>
        <w:rPr>
          <w:b/>
          <w:color w:val="000000"/>
        </w:rPr>
        <w:t>What was known</w:t>
      </w:r>
    </w:p>
    <w:p>
      <w:pPr>
        <w:pStyle w:val="ListBullet"/>
      </w:pPr>
      <w:r>
        <w:rPr>
          <w:color w:val="000000"/>
        </w:rPr>
        <w:t>Two coding haplotypes at APOL1, G1 and G2, carry most of the excess kidney disease risk in people of recent African ancestry, but only a minority of two-allele carriers develop disease.</w:t>
      </w:r>
    </w:p>
    <w:p>
      <w:pPr>
        <w:pStyle w:val="ListBullet"/>
      </w:pPr>
      <w:r>
        <w:rPr>
          <w:color w:val="000000"/>
        </w:rPr>
        <w:t>Sequence-to-function models are proposed for interpreting the non-coding variation at such loci, and their tissue-labelled outputs are widely read as carrying tissue-specific information.</w:t>
      </w:r>
    </w:p>
    <w:p>
      <w:pPr>
        <w:pStyle w:val="ListBullet"/>
      </w:pPr>
      <w:r>
        <w:rPr>
          <w:color w:val="000000"/>
        </w:rPr>
        <w:t>Regulatory variation at this locus is under active investigation, including variants associated with circulating APOL1 and methylation differences across the APOL1-APOL4-MYH9 region.</w:t>
      </w:r>
    </w:p>
    <w:p>
      <w:r>
        <w:rPr>
          <w:b/>
          <w:color w:val="000000"/>
        </w:rPr>
        <w:t>This study adds</w:t>
      </w:r>
    </w:p>
    <w:p>
      <w:pPr>
        <w:pStyle w:val="ListBullet"/>
      </w:pPr>
      <w:r>
        <w:rPr>
          <w:color w:val="000000"/>
        </w:rPr>
        <w:t>Whether a model appears tissue-blind depends on benchmark construction: pooling tissue-specific with shared regulatory regions hid a discrimination that is clear once the two are separated.</w:t>
      </w:r>
    </w:p>
    <w:p>
      <w:pPr>
        <w:pStyle w:val="ListBullet"/>
      </w:pPr>
      <w:r>
        <w:rPr>
          <w:color w:val="000000"/>
        </w:rPr>
        <w:t>Validation of this model against ENCODE data is not independent; the tracks used here are named training experiments and the locus lies in a training fold.</w:t>
      </w:r>
    </w:p>
    <w:p>
      <w:pPr>
        <w:pStyle w:val="ListBullet"/>
      </w:pPr>
      <w:r>
        <w:rPr>
          <w:color w:val="000000"/>
        </w:rPr>
        <w:t>Candidate prioritisation at this locus did not survive scrutiny: low r-squared with G1 and G2 reflected allele-frequency differences rather than haplotypic independence for most candidates.</w:t>
      </w:r>
    </w:p>
    <w:p>
      <w:r>
        <w:rPr>
          <w:b/>
          <w:color w:val="000000"/>
        </w:rPr>
        <w:t>Potential impact</w:t>
      </w:r>
    </w:p>
    <w:p>
      <w:pPr>
        <w:pStyle w:val="ListBullet"/>
      </w:pPr>
      <w:r>
        <w:rPr>
          <w:color w:val="000000"/>
        </w:rPr>
        <w:t>Investigators benchmarking these models in kidney should partition measured regulatory regions by tissue restriction before concluding anything about tissue specificity.</w:t>
      </w:r>
    </w:p>
    <w:p>
      <w:pPr>
        <w:pStyle w:val="ListBullet"/>
      </w:pPr>
      <w:r>
        <w:rPr>
          <w:color w:val="000000"/>
        </w:rPr>
        <w:t>Model provenance, specifically the version used and the fold containing the locus, should be reported as routinely as software versions.</w:t>
      </w:r>
    </w:p>
    <w:p>
      <w:pPr>
        <w:pStyle w:val="ListBullet"/>
      </w:pPr>
      <w:r>
        <w:rPr>
          <w:color w:val="000000"/>
        </w:rPr>
        <w:t>Nothing here identifies a modifier of APOL1 penetrance, a target gene or a clinically actionable variant, and none is claimed.</w:t>
      </w:r>
    </w:p>
    <w:p>
      <w:pPr>
        <w:pBdr>
          <w:bottom w:val="single" w:sz="6" w:space="1" w:color="999999"/>
        </w:pBdr>
      </w:pPr>
    </w:p>
    <w:p>
      <w:r>
        <w:rPr>
          <w:b/>
          <w:color w:val="000000"/>
          <w:sz w:val="28"/>
        </w:rPr>
        <w:t>1. Introduction</w:t>
      </w:r>
    </w:p>
    <w:p>
      <w:r>
        <w:rPr>
          <w:color w:val="000000"/>
        </w:rPr>
        <w:t>Two coding haplotypes at APOL1, G1 and G2, account for much of the excess risk of non-diabetic kidney disease in people of recent African genetic ancestry [1]. The association was first mapped to the adjacent gene MYH9 [2] and resolved to APOL1 two years later, with the MYH9 signal attributed to linkage disequilibrium [1].</w:t>
      </w:r>
    </w:p>
    <w:p>
      <w:r>
        <w:rPr>
          <w:color w:val="000000"/>
        </w:rPr>
        <w:t>Penetrance is incomplete, and because the mechanism is dose-dependent, genetic modifiers of APOL1 expression are a plausible explanation [3]. Regulatory variation at this locus is under active investigation: cis-regulatory variants have been associated with circulating APOL1 concentration [4], and APOL1 risk genotypes are associated with methylation differences at enhancers and promoters across the APOL1-APOL4-MYH9 region [5]. Kidney expression resources have improved, including maps from 659 microdissected kidney samples [6], though ancestry representation and variant coverage remain limiting.</w:t>
      </w:r>
    </w:p>
    <w:p>
      <w:r>
        <w:rPr>
          <w:color w:val="000000"/>
        </w:rPr>
        <w:t>Sequence-to-function models predict regulatory activity from DNA and are proposed for prioritising non-coding variants [7, 8]. Earlier models of this family perform less well in regions that distinguish cell types [9, 10], and a companion analysis found that kidney-labelled outputs predicted kidney expression effects no better than outputs labelled for other tissues, leaving open whether that reflected genuinely shared regulatory effects or limited use of tissue identity [11].</w:t>
      </w:r>
    </w:p>
    <w:p>
      <w:r>
        <w:rPr>
          <w:color w:val="000000"/>
        </w:rPr>
        <w:t>We set out to prioritise regulatory candidates at this locus. That attempt largely failed, for reasons reported here. In the course of testing it, we found that the apparent answer to the tissue-specificity question depends on how the benchmark is built, and that is the finding we consider most useful.</w:t>
      </w:r>
    </w:p>
    <w:p>
      <w:r>
        <w:rPr>
          <w:b/>
          <w:color w:val="000000"/>
          <w:sz w:val="28"/>
        </w:rPr>
        <w:t>2. Materials and methods</w:t>
      </w:r>
    </w:p>
    <w:p>
      <w:r>
        <w:rPr>
          <w:b/>
          <w:color w:val="000000"/>
          <w:sz w:val="24"/>
        </w:rPr>
        <w:t>2.1 Locus, variants and selection</w:t>
      </w:r>
    </w:p>
    <w:p>
      <w:r>
        <w:rPr>
          <w:color w:val="000000"/>
        </w:rPr>
        <w:t>The interval spanning APOL3 to MYH9, chr22:36,140,330-36,388,018 (GRCh38, 247,688 bp), fits inside one model context window. All variants catalogued by gnomAD v4 were retrieved with African genetic-ancestry group alternate allele frequencies. We retained single-nucleotide substitutions with frequency at least 1%, giving 1,930 variants of which 1,865 were non-coding. The approximately 99,000 non-coding variants at the locus were therefore not all evaluated; frequency and variant-type filtering, not model prioritisation, removed most of them.</w:t>
      </w:r>
    </w:p>
    <w:p>
      <w:r>
        <w:rPr>
          <w:b/>
          <w:color w:val="000000"/>
          <w:sz w:val="24"/>
        </w:rPr>
        <w:t>2.2 Model, version and provenance</w:t>
      </w:r>
    </w:p>
    <w:p>
      <w:r>
        <w:rPr>
          <w:color w:val="000000"/>
        </w:rPr>
        <w:t>Predictions were generated through the AlphaGenome public API [8] using the ALL_FOLDS model version, which is the default when no version is specified. Two channels were used: a gene-masked RNA scorer restricted to the APOL1 transcript, and position-local DNase and ATAC scorers. Kidney tracks were named explicitly rather than matched by substring.</w:t>
      </w:r>
    </w:p>
    <w:p>
      <w:r>
        <w:rPr>
          <w:b/>
          <w:color w:val="000000"/>
        </w:rPr>
        <w:t>This is not independent validation, and we do not describe it as such.</w:t>
      </w:r>
      <w:r>
        <w:rPr>
          <w:color w:val="000000"/>
        </w:rPr>
        <w:t xml:space="preserve"> AlphaGenome is trained on ENCODE DNase-seq and ATAC-seq coverage. Every kidney biosample used here corresponds to a named training experiment in the model's published track manifest (ENCSR206OJJ, ENCSR785BDQ, ENCSR000EPW, ENCSR000EOL, ENCSR000EOK, ENCSR175IWT, ENCSR297VGU). Moreover, the ALL_FOLDS model is trained on all eight genomic sections and has no held-out genomic regions; the developers state that such models lack a dedicated holdout and were not used for track prediction evaluations. Applying the published fold definitions, this locus lies in fold 6, which is in the training partition of every released checkpoint except one, where it is the validation partition. It is the test partition of none. We therefore describe the enrichment analyses as a consistency check between predictions and the experimental data underlying them.</w:t>
      </w:r>
    </w:p>
    <w:p>
      <w:r>
        <w:rPr>
          <w:b/>
          <w:color w:val="000000"/>
          <w:sz w:val="24"/>
        </w:rPr>
        <w:t>2.3 Expression channel and its control</w:t>
      </w:r>
    </w:p>
    <w:p>
      <w:r>
        <w:rPr>
          <w:color w:val="000000"/>
        </w:rPr>
        <w:t xml:space="preserve">The gene-masked scorer assigns larger predicted effects nearer the gene. We stratified by gene body, regressed log absolute effect on log distance and ranked on the residual. As a control we asked whether the coding risk variants remained extreme after correction. </w:t>
      </w:r>
      <w:r>
        <w:rPr>
          <w:b/>
          <w:color w:val="000000"/>
        </w:rPr>
        <w:t>This control is weaker than we first treated it as.</w:t>
      </w:r>
      <w:r>
        <w:rPr>
          <w:color w:val="000000"/>
        </w:rPr>
        <w:t xml:space="preserve"> Coding variants are not expression-null: a coding change can alter splicing, transcript stability or abundance, so a high predicted expression effect for G1 or G2 is not by itself evidence of model failure. We report the raw and adjusted results as sensitivity analyses rather than as a pass-or-fail test.</w:t>
      </w:r>
    </w:p>
    <w:p>
      <w:r>
        <w:rPr>
          <w:b/>
          <w:color w:val="000000"/>
          <w:sz w:val="24"/>
        </w:rPr>
        <w:t>2.4 Measured accessibility and the partition</w:t>
      </w:r>
    </w:p>
    <w:p>
      <w:r>
        <w:rPr>
          <w:color w:val="000000"/>
        </w:rPr>
        <w:t xml:space="preserve">ENCODE DNase-seq peak files (GRCh38, released) were merged over the locus for kidney and podocyte, and separately for six comparison tissues: liver, lung, heart left ventricle, stomach, spleen and thyroid gland. Measured accessible regions were then partitioned into </w:t>
      </w:r>
      <w:r>
        <w:rPr>
          <w:b/>
          <w:color w:val="000000"/>
        </w:rPr>
        <w:t>kidney-specific</w:t>
      </w:r>
      <w:r>
        <w:rPr>
          <w:color w:val="000000"/>
        </w:rPr>
        <w:t xml:space="preserve"> (open in kidney, closed in all comparison tissues), </w:t>
      </w:r>
      <w:r>
        <w:rPr>
          <w:b/>
          <w:color w:val="000000"/>
        </w:rPr>
        <w:t>shared</w:t>
      </w:r>
      <w:r>
        <w:rPr>
          <w:color w:val="000000"/>
        </w:rPr>
        <w:t xml:space="preserve"> (open in kidney and at least one comparison tissue) and </w:t>
      </w:r>
      <w:r>
        <w:rPr>
          <w:b/>
          <w:color w:val="000000"/>
        </w:rPr>
        <w:t>other-tissue-specific</w:t>
      </w:r>
      <w:r>
        <w:rPr>
          <w:color w:val="000000"/>
        </w:rPr>
        <w:t>.</w:t>
      </w:r>
    </w:p>
    <w:p>
      <w:r>
        <w:rPr>
          <w:color w:val="000000"/>
        </w:rPr>
        <w:t>Enrichment of top-ranked variants was tested by Fisher exact test against the other common variants at the same locus, with conditional maximum-likelihood odds ratios and exact 95% intervals. We report all 2x2 counts. The same-locus background matches sequence composition and gene density only approximately, since these vary within the interval.</w:t>
      </w:r>
    </w:p>
    <w:p>
      <w:r>
        <w:rPr>
          <w:color w:val="000000"/>
        </w:rPr>
        <w:t xml:space="preserve">Variants inside one peak share the element and have highly correlated scores, so paired comparisons between rankings resample </w:t>
      </w:r>
      <w:r>
        <w:rPr>
          <w:b/>
          <w:color w:val="000000"/>
        </w:rPr>
        <w:t>peaks</w:t>
      </w:r>
      <w:r>
        <w:rPr>
          <w:color w:val="000000"/>
        </w:rPr>
        <w:t>, not variants, with 600 replicates. The four ranking depths are nested sensitivity analyses, not independent replications; a depth of 200 is the primary analysis.</w:t>
      </w:r>
    </w:p>
    <w:p>
      <w:r>
        <w:rPr>
          <w:b/>
          <w:color w:val="000000"/>
          <w:sz w:val="24"/>
        </w:rPr>
        <w:t>2.5 Linkage disequilibrium with G1 and G2</w:t>
      </w:r>
    </w:p>
    <w:p>
      <w:r>
        <w:rPr>
          <w:color w:val="000000"/>
        </w:rPr>
        <w:t>Earlier analysis reported that G2 was untestable. That was incorrect. The six-base deletion is absent from the biallelic GRCh38 lift we first used, but present in the original 1000 Genomes phase 3 release at chr22:36,662,041 (GRCh37) as AATAATT&gt;A, carrying no identifier, which is why identifier-based searches failed [12]. Its frequency confirms identity: 19.5% in Gambian, 18.2% in Mende, 0% in European and East Asian panels.</w:t>
      </w:r>
    </w:p>
    <w:p>
      <w:r>
        <w:rPr>
          <w:color w:val="000000"/>
        </w:rPr>
        <w:t xml:space="preserve">We computed r-squared with G1 and G2 separately, in seven African populations analysed individually, from phased haplotypes. </w:t>
      </w:r>
      <w:r>
        <w:rPr>
          <w:b/>
          <w:color w:val="000000"/>
        </w:rPr>
        <w:t>We also report D' and the maximum r-squared attainable given the two allele frequencies</w:t>
      </w:r>
      <w:r>
        <w:rPr>
          <w:color w:val="000000"/>
        </w:rPr>
        <w:t>, because low r-squared between variants of different frequency does not establish haplotypic independence: at frequencies of 0.026 and 0.20, r-squared cannot exceed about 0.107 even under complete nesting.</w:t>
      </w:r>
    </w:p>
    <w:p>
      <w:r>
        <w:rPr>
          <w:b/>
          <w:color w:val="000000"/>
          <w:sz w:val="24"/>
        </w:rPr>
        <w:t>2.6 Control locus and prior-record search</w:t>
      </w:r>
    </w:p>
    <w:p>
      <w:r>
        <w:rPr>
          <w:color w:val="000000"/>
        </w:rPr>
        <w:t>The pipeline was repeated at the beta-globin cluster, chr11:5,150,000-5,397,688, matched on length, paralogue-cluster structure and, by frequency-stratified subsampling, variant count. Candidates were searched against Europe PMC full text, the GWAS Catalog [13] and GTEx v8 [14]; a positive control confirmed that full-text search reaches variants of this class.</w:t>
      </w:r>
    </w:p>
    <w:p>
      <w:r>
        <w:rPr>
          <w:b/>
          <w:color w:val="000000"/>
          <w:sz w:val="24"/>
        </w:rPr>
        <w:t>2.7 Data and code</w:t>
      </w:r>
    </w:p>
    <w:p>
      <w:r>
        <w:rPr>
          <w:color w:val="000000"/>
        </w:rPr>
        <w:t>Analysis code, the frozen variant set, all per-variant predictions, raw overlap counts and the selection flow are deposited (below). This study used publicly available, de-identified genotype and haplotype data from 1000 Genomes and gnomAD, and no new individual-level data were generated or accessed.</w:t>
      </w:r>
    </w:p>
    <w:p>
      <w:r>
        <w:rPr>
          <w:b/>
          <w:color w:val="000000"/>
          <w:sz w:val="28"/>
        </w:rPr>
        <w:t>3. Results</w:t>
      </w:r>
    </w:p>
    <w:p>
      <w:r>
        <w:rPr>
          <w:b/>
          <w:color w:val="000000"/>
          <w:sz w:val="24"/>
        </w:rPr>
        <w:t>3.1 The expression channel tracks position</w:t>
      </w:r>
    </w:p>
    <w:p>
      <w:r>
        <w:rPr>
          <w:color w:val="000000"/>
        </w:rPr>
        <w:t>Variants inside the APOL1 gene body scored roughly three times higher than those outside (median absolute effect 0.0022, n = 134, against 0.00077, n = 1,796), and distance alone explained 5.7% of the variance in log absolute effect. Within the gene body the 13 coding variants scored higher still (0.0062). After residualising on distance the coding risk variants remained in the upper tail, at the 88th to 98th percentile.</w:t>
      </w:r>
    </w:p>
    <w:p>
      <w:r>
        <w:rPr>
          <w:color w:val="000000"/>
        </w:rPr>
        <w:t>We do not read this as demonstrating that the channel is unusable. Coding variants can genuinely affect expression, and 5.7% of variance is a modest positional component. We report it as a confound of unknown size and use the position-local accessibility channel for the remaining analyses, which do not carry it: distance explained 0.3% of variance for podocyte DNase and none for kidney ATAC.</w:t>
      </w:r>
    </w:p>
    <w:p>
      <w:r>
        <w:rPr>
          <w:b/>
          <w:color w:val="000000"/>
          <w:sz w:val="24"/>
        </w:rPr>
        <w:t>3.2 Pooled, the ranking appears tissue-blind</w:t>
      </w:r>
    </w:p>
    <w:p>
      <w:r>
        <w:rPr>
          <w:color w:val="000000"/>
        </w:rPr>
        <w:t>Measured kidney peaks covered 30,358 bp, 12.3% of the locus. Ranking by predicted podocyte accessibility, 69 of the top 200 variants (34.5%) fell inside them against 7.9% of the remainder: odds ratio 6.13.</w:t>
      </w:r>
    </w:p>
    <w:p>
      <w:r>
        <w:rPr>
          <w:color w:val="000000"/>
        </w:rPr>
        <w:t>Repeating this with eight deliberately non-renal tissue outputs gave closely similar results (Table 1). A hepatocyte ranking reached 6.69 at a depth of 100 against 5.23 for podocyte. On this endpoint the tissue label appears to carry little information.</w:t>
      </w:r>
    </w:p>
    <w:p>
      <w:r>
        <w:rPr>
          <w:b/>
          <w:color w:val="000000"/>
          <w:sz w:val="24"/>
        </w:rPr>
        <w:t>3.3 Partitioned, the same data show clear tissue discrimination</w:t>
      </w:r>
    </w:p>
    <w:p>
      <w:r>
        <w:rPr>
          <w:color w:val="000000"/>
        </w:rPr>
        <w:t>Measured accessible regions divided into 39 kidney-specific peaks (14,686 bp), 71 shared (29,890 bp) and 47 other-tissue-specific (16,354 bp). Shared regions are the largest partition.</w:t>
      </w:r>
    </w:p>
    <w:p>
      <w:r>
        <w:rPr>
          <w:color w:val="000000"/>
        </w:rPr>
        <w:t xml:space="preserve">In </w:t>
      </w:r>
      <w:r>
        <w:rPr>
          <w:b/>
          <w:color w:val="000000"/>
        </w:rPr>
        <w:t>kidney-specific</w:t>
      </w:r>
      <w:r>
        <w:rPr>
          <w:color w:val="000000"/>
        </w:rPr>
        <w:t xml:space="preserve"> regions the podocyte ranking reached an odds ratio of 4.28 (2.52-7.11), against 2.48 (1.35-4.34) for the best non-kidney ranking (Table 2, Figure 2). Paired comparison on the same variants, resampling peaks, gave differences in log odds ratio excluding zero against five of six alternatives: liver +1.66 (0.75-2.51), whole kidney +1.58 (0.91-2.34), stomach +1.04 (0.41-1.66), hepatocyte +0.84 (0.53-1.15) and brain +0.79 (0.17-1.39). Only lung was not significantly exceeded, +0.54 (-0.17 to +1.14).</w:t>
      </w:r>
    </w:p>
    <w:p>
      <w:r>
        <w:rPr>
          <w:color w:val="000000"/>
        </w:rPr>
        <w:t xml:space="preserve">The mirror control agrees. In </w:t>
      </w:r>
      <w:r>
        <w:rPr>
          <w:b/>
          <w:color w:val="000000"/>
        </w:rPr>
        <w:t>other-tissue-specific</w:t>
      </w:r>
      <w:r>
        <w:rPr>
          <w:color w:val="000000"/>
        </w:rPr>
        <w:t xml:space="preserve"> regions the podocyte ranking was the weakest of all seven (1.51, 0.73-2.86) while stomach, hepatocyte and lung led (3.42, 3.19, 2.97).</w:t>
      </w:r>
    </w:p>
    <w:p>
      <w:r>
        <w:rPr>
          <w:color w:val="000000"/>
        </w:rPr>
        <w:t xml:space="preserve">In </w:t>
      </w:r>
      <w:r>
        <w:rPr>
          <w:b/>
          <w:color w:val="000000"/>
        </w:rPr>
        <w:t>shared</w:t>
      </w:r>
      <w:r>
        <w:rPr>
          <w:color w:val="000000"/>
        </w:rPr>
        <w:t xml:space="preserve"> regions every ranking was strongly enriched and the differences narrowed: podocyte 8.14, lung 5.98, hepatocyte 5.80.</w:t>
      </w:r>
    </w:p>
    <w:p>
      <w:r>
        <w:rPr>
          <w:color w:val="000000"/>
        </w:rPr>
        <w:t>Because shared regions dominate the locus, an endpoint that pools all measured kidney peaks is largely measuring shared accessibility. That is why the pooled analysis in section 3.2 suggested the tissue label was uninformative when the partitioned analysis shows it is not.</w:t>
      </w:r>
    </w:p>
    <w:p>
      <w:r>
        <w:rPr>
          <w:b/>
          <w:color w:val="000000"/>
          <w:sz w:val="24"/>
        </w:rPr>
        <w:t>3.4 Candidate prioritisation does not survive scrutiny</w:t>
      </w:r>
    </w:p>
    <w:p>
      <w:r>
        <w:rPr>
          <w:color w:val="000000"/>
        </w:rPr>
        <w:t>Fifteen candidates were taken forward from the accessibility ranking. Testing against G1 and G2 directly, the maximum r-squared against any risk variant was 0.177, which taken alone suggests independence. It does not. Of 45 comparisons, 22 combine D' at or near 1.0 with r-squared below 0.2, and several sit at 96-100% of the maximum their allele frequencies permit, indicating complete haplotypic nesting on the risk background. Requiring D' below 0.8 against all three risk variants leaves four candidates: rs4820232, rs6000250, rs132708 and rs713797 (Table 3).</w:t>
      </w:r>
    </w:p>
    <w:p>
      <w:r>
        <w:rPr>
          <w:color w:val="000000"/>
        </w:rPr>
        <w:t>Three of those four already have published regulatory records, and none points at APOL1. rs132708 is a GTEx eQTL for APOL4; rs713797 is a catalogued plasma protein quantitative trait locus and an eQTL for FOXRED2; rs4820232 is correlated with rs5750250 (r-squared 0.55, D' 1.0), among the strongest associations in the MYH9 intron 13-15 region identified by dense mapping [15]. An eQTL association does not establish that the indexed variant is causal, and an association with APOL4 or FOXRED2 does not exclude an additional effect on APOL1.</w:t>
      </w:r>
    </w:p>
    <w:p>
      <w:r>
        <w:rPr>
          <w:color w:val="000000"/>
        </w:rPr>
        <w:t>One candidate, rs6000250, is both haplotypically independent of the risk variants and without prior record. We regard that as an illustration of what the workflow yields rather than as a finding, and no functional evidence supports it.</w:t>
      </w:r>
    </w:p>
    <w:p>
      <w:r>
        <w:rPr>
          <w:b/>
          <w:color w:val="000000"/>
          <w:sz w:val="24"/>
        </w:rPr>
        <w:t>3.5 The control locus excludes nothing</w:t>
      </w:r>
    </w:p>
    <w:p>
      <w:r>
        <w:rPr>
          <w:color w:val="000000"/>
        </w:rPr>
        <w:t xml:space="preserve">At the beta-globin cluster, 2 of the top 200 variants fell in measured kidney chromatin against 12 of 1,718: odds ratio 1.44, one-sided p = 0.44, exact 95% CI 0.155-6.520. No significant enrichment was detected. </w:t>
      </w:r>
      <w:r>
        <w:rPr>
          <w:b/>
          <w:color w:val="000000"/>
        </w:rPr>
        <w:t>That interval includes the test-locus estimate of 6.13, as does the interval at every other depth</w:t>
      </w:r>
      <w:r>
        <w:rPr>
          <w:color w:val="000000"/>
        </w:rPr>
        <w:t>, so this control does not exclude an effect of the size observed at APOL1-MYH9. It is an absence of evidence and we report it as such. The control locus also carries much less kidney chromatin (1.0% of its length against 12.3%), so a single interval of this width cannot establish that the pipeline never produces spurious enrichment.</w:t>
      </w:r>
    </w:p>
    <w:p>
      <w:r>
        <w:rPr>
          <w:b/>
          <w:color w:val="000000"/>
          <w:sz w:val="28"/>
        </w:rPr>
        <w:t>4. Discussion</w:t>
      </w:r>
    </w:p>
    <w:p>
      <w:r>
        <w:rPr>
          <w:color w:val="000000"/>
        </w:rPr>
        <w:t>The useful result here is about benchmark construction rather than about this model. Pooling every measured kidney peak, a hepatocyte ranking recovered them almost as well as a kidney ranking, and we initially concluded that the tissue label was close to decorative. Separating regions that are open only in kidney from those open in many tissues reverses that conclusion: the podocyte ranking leads clearly where tissue identity is the whole signal, and is the weakest of seven where it should be. Shared regions dominate, so they dominated the pooled endpoint and hid a discrimination that was plainly present.</w:t>
      </w:r>
    </w:p>
    <w:p>
      <w:r>
        <w:rPr>
          <w:color w:val="000000"/>
        </w:rPr>
        <w:t>The general point is that a benchmark which does not separate tissue-specific from shared regulatory regions will understate tissue discrimination, possibly to the point of concluding that a model has none. We made that error before correcting it, and it is an easy one to make because the pooled analysis looks reasonable and returns a clean answer. This also bears on our companion analysis, which left open whether similar cross-tissue performance reflected genuinely shared effects or limited use of tissue identity [11]. The evidence here favours the former.</w:t>
      </w:r>
    </w:p>
    <w:p>
      <w:r>
        <w:rPr>
          <w:color w:val="000000"/>
        </w:rPr>
        <w:t>Two limitations bound everything above, and neither is incidental.</w:t>
      </w:r>
    </w:p>
    <w:p>
      <w:r>
        <w:rPr>
          <w:color w:val="000000"/>
        </w:rPr>
        <w:t>First, none of this is independent validation. AlphaGenome is trained on ENCODE accessibility data; every kidney track used here is a named training experiment; and the locus sits in a training fold of the served model. What we demonstrate is that predictions are consistent with the data underlying them, in a way that discriminates tissue. A genuine test of generalisation would require a held-out locus and a checkpoint that excludes it, and no released checkpoint holds this locus out. We report model version, fold assignment and track accessions so that the limitation is auditable rather than implicit.</w:t>
      </w:r>
    </w:p>
    <w:p>
      <w:r>
        <w:rPr>
          <w:color w:val="000000"/>
        </w:rPr>
        <w:t>Second, the candidate list does not survive. Our first linkage analysis used r-squared alone and called seven candidates independent of the risk haplotypes. Reporting D' and the maximum r-squared the allele frequencies permit shows that most of those were completely nested on the risk background, and that low r-squared reflected a frequency difference. Four survive, three of those are already described with non-APOL1 targets, and one remains. We therefore make no claim to have identified regulatory modifiers of APOL1.</w:t>
      </w:r>
    </w:p>
    <w:p>
      <w:r>
        <w:rPr>
          <w:color w:val="000000"/>
        </w:rPr>
        <w:t>The awkward observation deserves stating plainly rather than as a footnote. Most candidates lie within MYH9, the gene to which this association was first mapped [2] and from which it was moved in 2010 [1]. We are not reopening that question, and nothing here indicates that MYH9 rather than APOL1 explains the disease association. The explanation is mundane: the ranking channel is position-local and gene-agnostic, MYH9 occupies much of the interval, and accessible chromatin is denser there. It does mean that "APOL1 locus" is the wrong description of what was prioritised.</w:t>
      </w:r>
    </w:p>
    <w:p>
      <w:r>
        <w:rPr>
          <w:color w:val="000000"/>
        </w:rPr>
        <w:t>What this study does not establish should be equally explicit. No candidate is shown to alter expression of any gene. No target gene is assigned. No tissue-specific activity is demonstrated for any individual variant, as distinct from the ranking as a whole. No association with kidney disease is tested, and nothing here bears on prognosis, on which carriers develop disease, or on treatment.</w:t>
      </w:r>
    </w:p>
    <w:p>
      <w:r>
        <w:rPr>
          <w:color w:val="000000"/>
        </w:rPr>
        <w:t>For investigators applying these models at kidney loci we would suggest three things. Partition measured regulatory regions by tissue restriction before drawing conclusions about tissue specificity. Report the model version and the fold containing the locus, because the default served model holds nothing out. And test linkage with D' and the attainable maximum, not r-squared alone, because allele frequency differences will otherwise manufacture apparent independence.</w:t>
      </w:r>
    </w:p>
    <w:p>
      <w:r>
        <w:rPr>
          <w:b/>
          <w:color w:val="000000"/>
          <w:sz w:val="28"/>
        </w:rPr>
        <w:t>Data availability</w:t>
      </w:r>
    </w:p>
    <w:p>
      <w:r>
        <w:rPr>
          <w:color w:val="000000"/>
        </w:rPr>
        <w:t>Analysis code, the frozen variant set, per-variant predictions, all raw overlap counts, the candidate selection flow and the fold assignment of the locus are available at https://github.com/PatientThread/apol1-alphagenome and will be deposited with a persistent identifier on publication. Variant frequencies are from gnomAD v4; peak calls from the ENCODE portal [16] with accessions listed; haplotypes from 1000 Genomes phase 3 [17]. Model predictions were obtained under AlphaGenome's non-commercial research terms and are redistributed subject to them; model weights were not accessed.</w:t>
      </w:r>
    </w:p>
    <w:p>
      <w:r>
        <w:rPr>
          <w:b/>
          <w:color w:val="000000"/>
          <w:sz w:val="28"/>
        </w:rPr>
        <w:t>Acknowledgements</w:t>
      </w:r>
    </w:p>
    <w:p>
      <w:r>
        <w:rPr>
          <w:color w:val="000000"/>
        </w:rPr>
        <w:t>This work used data generated by the ENCODE Consortium, gnomAD and the 1000 Genomes Project. I thank the participants and investigators of those projects.</w:t>
      </w:r>
    </w:p>
    <w:p>
      <w:r>
        <w:rPr>
          <w:b/>
          <w:color w:val="000000"/>
          <w:sz w:val="28"/>
        </w:rPr>
        <w:t>Author contributions</w:t>
      </w:r>
    </w:p>
    <w:p>
      <w:r>
        <w:rPr>
          <w:color w:val="000000"/>
        </w:rPr>
        <w:t>CL is the sole author and conceived the study, wrote the analysis code, performed the analyses, prepared the figures and wrote the manuscript.</w:t>
      </w:r>
    </w:p>
    <w:p>
      <w:r>
        <w:rPr>
          <w:b/>
          <w:color w:val="000000"/>
          <w:sz w:val="28"/>
        </w:rPr>
        <w:t>Funding</w:t>
      </w:r>
    </w:p>
    <w:p>
      <w:r>
        <w:rPr>
          <w:color w:val="000000"/>
        </w:rPr>
        <w:t>No funding was received in support of this study.</w:t>
      </w:r>
    </w:p>
    <w:p>
      <w:r>
        <w:rPr>
          <w:b/>
          <w:color w:val="000000"/>
          <w:sz w:val="28"/>
        </w:rPr>
        <w:t>Conflict of interest statement</w:t>
      </w:r>
    </w:p>
    <w:p>
      <w:r>
        <w:rPr>
          <w:color w:val="000000"/>
        </w:rPr>
        <w:t>None declared.</w:t>
      </w:r>
    </w:p>
    <w:p>
      <w:r>
        <w:rPr>
          <w:b/>
          <w:color w:val="000000"/>
          <w:sz w:val="28"/>
        </w:rPr>
        <w:t>Ethical approval</w:t>
      </w:r>
    </w:p>
    <w:p>
      <w:r>
        <w:rPr>
          <w:color w:val="000000"/>
        </w:rPr>
        <w:t>Ethical approval was not required. This study analysed publicly available, de-identified, summary-level and genotype data from open consortia. No new individual-level data were generated or accessed and no participants were recruited.</w:t>
      </w:r>
    </w:p>
    <w:p>
      <w:r>
        <w:rPr>
          <w:b/>
          <w:color w:val="000000"/>
          <w:sz w:val="28"/>
        </w:rPr>
        <w:t>References</w:t>
      </w:r>
    </w:p>
    <w:p>
      <w:pPr>
        <w:pStyle w:val="ListNumber"/>
      </w:pPr>
      <w:r>
        <w:rPr>
          <w:color w:val="000000"/>
        </w:rPr>
        <w:t>Genovese G, Friedman DJ, Ross MD, et al. Association of trypanolytic ApoL1 variants with kidney disease in African Americans. Science 2010; 329: 841-845</w:t>
      </w:r>
    </w:p>
    <w:p>
      <w:pPr>
        <w:pStyle w:val="ListNumber"/>
      </w:pPr>
      <w:r>
        <w:rPr>
          <w:color w:val="000000"/>
        </w:rPr>
        <w:t>Kopp JB, Smith MW, Nelson GW, et al. MYH9 is a major-effect risk gene for focal segmental glomerulosclerosis. Nat Genet 2008; 40: 1175-1184</w:t>
      </w:r>
    </w:p>
    <w:p>
      <w:pPr>
        <w:pStyle w:val="ListNumber"/>
      </w:pPr>
      <w:r>
        <w:rPr>
          <w:color w:val="000000"/>
        </w:rPr>
        <w:t>Ojo AO, Adu D, Bramham K, et al. APOL1 kidney disease: conclusions from a Kidney Disease: Improving Global Outcomes (KDIGO) Controversies Conference. Kidney Int 2025; 108: 763-779</w:t>
      </w:r>
    </w:p>
    <w:p>
      <w:pPr>
        <w:pStyle w:val="ListNumber"/>
      </w:pPr>
      <w:r>
        <w:rPr>
          <w:color w:val="000000"/>
        </w:rPr>
        <w:t>Adamson WE, Noyes H, Ogunsola J, Parekh RS, Cooper A, MacLeod A. Coding, modifier, and regulatory effects shape circulating APOL1 levels. Hum Mol Genet 2026; 35: ddag087</w:t>
      </w:r>
    </w:p>
    <w:p>
      <w:pPr>
        <w:pStyle w:val="ListNumber"/>
      </w:pPr>
      <w:r>
        <w:rPr>
          <w:color w:val="000000"/>
        </w:rPr>
        <w:t>Li Y, Bozack AK, Schlosser P, et al. APOL1 risk genotypes influence DNA methylation across multiple genomic elements in APOL1-APOL4-MYH9 region in African Americans. Clin Epigenetics 2026; 18: 147</w:t>
      </w:r>
    </w:p>
    <w:p>
      <w:pPr>
        <w:pStyle w:val="ListNumber"/>
      </w:pPr>
      <w:r>
        <w:rPr>
          <w:color w:val="000000"/>
        </w:rPr>
        <w:t>Sheng X, Guan Y, Ma Z, et al. Mapping the genetic architecture of human traits to cell types in the kidney identifies mechanisms of disease and potential treatments. Nat Genet 2021; 53: 1322-1333</w:t>
      </w:r>
    </w:p>
    <w:p>
      <w:pPr>
        <w:pStyle w:val="ListNumber"/>
      </w:pPr>
      <w:r>
        <w:rPr>
          <w:color w:val="000000"/>
        </w:rPr>
        <w:t>Linder J, Srivastava D, Yuan H, et al. Predicting RNA-seq coverage from DNA sequence as a unifying model of gene regulation. Nat Genet 2025; 57: 949-961</w:t>
      </w:r>
    </w:p>
    <w:p>
      <w:pPr>
        <w:pStyle w:val="ListNumber"/>
      </w:pPr>
      <w:r>
        <w:rPr>
          <w:color w:val="000000"/>
        </w:rPr>
        <w:t>Avsec Ž, Latysheva N, Cheng J, et al. Advancing regulatory variant effect prediction with AlphaGenome. Nature 2026; 649: 1206-1218</w:t>
      </w:r>
    </w:p>
    <w:p>
      <w:pPr>
        <w:pStyle w:val="ListNumber"/>
      </w:pPr>
      <w:r>
        <w:rPr>
          <w:color w:val="000000"/>
        </w:rPr>
        <w:t>Karollus A, Mauermeier T, Gagneur J. Current sequence-based models capture gene expression determinants in promoters but mostly ignore distal enhancers. Genome Biol 2023; 24: 56</w:t>
      </w:r>
    </w:p>
    <w:p>
      <w:pPr>
        <w:pStyle w:val="ListNumber"/>
      </w:pPr>
      <w:r>
        <w:rPr>
          <w:color w:val="000000"/>
        </w:rPr>
        <w:t>Kathail P, Shuai RW, Chung R, et al. Current genomic deep learning models display decreased performance in cell type-specific accessible regions. Genome Biol 2024; 25: 202</w:t>
      </w:r>
    </w:p>
    <w:p>
      <w:pPr>
        <w:pStyle w:val="ListNumber"/>
      </w:pPr>
      <w:r>
        <w:rPr>
          <w:color w:val="000000"/>
        </w:rPr>
        <w:t>Lawrence C. Kidney representation and uncertainty in AlphaGenome regulatory variant prediction. Submitted manuscript, available from the author</w:t>
      </w:r>
    </w:p>
    <w:p>
      <w:pPr>
        <w:pStyle w:val="ListNumber"/>
      </w:pPr>
      <w:r>
        <w:rPr>
          <w:color w:val="000000"/>
        </w:rPr>
        <w:t>Zhang Z, Hao K, Ross MJ, Murphy B, Menon MC. APOL1 G2 risk allele-clarifying nomenclature. Kidney Int 2017; 92: 518-519</w:t>
      </w:r>
    </w:p>
    <w:p>
      <w:pPr>
        <w:pStyle w:val="ListNumber"/>
      </w:pPr>
      <w:r>
        <w:rPr>
          <w:color w:val="000000"/>
        </w:rPr>
        <w:t>Sollis E, Mosaku A, Abid A, et al. The NHGRI-EBI GWAS Catalog: knowledgebase and deposition resource. Nucleic Acids Res 2023; 51: D977-D985</w:t>
      </w:r>
    </w:p>
    <w:p>
      <w:pPr>
        <w:pStyle w:val="ListNumber"/>
      </w:pPr>
      <w:r>
        <w:rPr>
          <w:color w:val="000000"/>
        </w:rPr>
        <w:t>GTEx Consortium. The GTEx Consortium atlas of genetic regulatory effects across human tissues. Science 2020; 369: 1318-1330</w:t>
      </w:r>
    </w:p>
    <w:p>
      <w:pPr>
        <w:pStyle w:val="ListNumber"/>
      </w:pPr>
      <w:r>
        <w:rPr>
          <w:color w:val="000000"/>
        </w:rPr>
        <w:t>Nelson GW, Freedman BI, Bowden DW, et al. Dense mapping of MYH9 localizes the strongest kidney disease associations to the region of introns 13 to 15. Hum Mol Genet 2010; 19: 1805-1815</w:t>
      </w:r>
    </w:p>
    <w:p>
      <w:pPr>
        <w:pStyle w:val="ListNumber"/>
      </w:pPr>
      <w:r>
        <w:rPr>
          <w:color w:val="000000"/>
        </w:rPr>
        <w:t>ENCODE Project Consortium. Expanded encyclopaedias of DNA elements in the human and mouse genomes. Nature 2020; 583: 699-710</w:t>
      </w:r>
    </w:p>
    <w:p>
      <w:pPr>
        <w:pStyle w:val="ListNumber"/>
      </w:pPr>
      <w:r>
        <w:rPr>
          <w:color w:val="000000"/>
        </w:rPr>
        <w:t>1000 Genomes Project Consortium. A global reference for human genetic variation. Nature 2015; 526: 68-74</w:t>
      </w:r>
    </w:p>
    <w:p>
      <w:r>
        <w:rPr>
          <w:b/>
          <w:color w:val="000000"/>
          <w:sz w:val="28"/>
        </w:rPr>
        <w:t>Figure legends</w:t>
      </w:r>
    </w:p>
    <w:p>
      <w:r>
        <w:rPr>
          <w:b/>
          <w:color w:val="000000"/>
        </w:rPr>
        <w:t>Figure 1.</w:t>
      </w:r>
      <w:r>
        <w:rPr>
          <w:color w:val="000000"/>
        </w:rPr>
        <w:t xml:space="preserve"> Enrichment of top-ranked variants in measured accessible regions, by the tissue output used to rank and by partition. Points are conditional odds ratios with exact 95% intervals; the background is the other common variants at the same locus. Kidney rankings are shown in black. The podocyte ranking leads in the kidney-specific partition and is the weakest in the other-tissue-specific partition, while rankings differ much less in the shared partition.</w:t>
      </w:r>
    </w:p>
    <w:p>
      <w:r>
        <w:rPr>
          <w:b/>
          <w:color w:val="000000"/>
        </w:rPr>
        <w:t>Figure 2.</w:t>
      </w:r>
      <w:r>
        <w:rPr>
          <w:color w:val="000000"/>
        </w:rPr>
        <w:t xml:space="preserve"> Paired differences in log odds ratio between the podocyte ranking and each alternative, within the kidney-specific partition, with peaks resampled rather than variants. Intervals exclude zero for five of six comparisons.</w:t>
      </w:r>
    </w:p>
    <w:p>
      <w:r>
        <w:rPr>
          <w:b/>
          <w:color w:val="000000"/>
        </w:rPr>
        <w:t>Figure 3.</w:t>
      </w:r>
      <w:r>
        <w:rPr>
          <w:color w:val="000000"/>
        </w:rPr>
        <w:t xml:space="preserve"> The expression channel. Predicted absolute effect on APOL1 expression by position, with the group median marked, and the distribution of the residual after regressing log effect on log distance with the three coding risk variants marked.</w:t>
      </w:r>
    </w:p>
    <w:p>
      <w:r>
        <w:rPr>
          <w:b/>
          <w:color w:val="000000"/>
        </w:rPr>
        <w:t>Figure 4.</w:t>
      </w:r>
      <w:r>
        <w:rPr>
          <w:color w:val="000000"/>
        </w:rPr>
        <w:t xml:space="preserve"> The control locus. Conditional odds ratios with exact 95% intervals at the beta-globin cluster against the test locus, same pipeline and peak source. The control intervals include the test-locus estimate at every depth.</w:t>
      </w:r>
    </w:p>
    <w:p>
      <w:r>
        <w:rPr>
          <w:b/>
          <w:color w:val="000000"/>
          <w:sz w:val="28"/>
        </w:rPr>
        <w:t>Tables</w:t>
      </w:r>
    </w:p>
    <w:p>
      <w:r>
        <w:rPr>
          <w:b/>
          <w:color w:val="000000"/>
        </w:rPr>
        <w:t>Table 1.</w:t>
      </w:r>
      <w:r>
        <w:rPr>
          <w:color w:val="000000"/>
        </w:rPr>
        <w:t xml:space="preserve"> Enrichment in all measured kidney open chromatin, pooled, by the tissue output used to rank the same 1,930 variants. Conditional odds ratios at four nested ranking depths; depth 200 is the primary analysis and the others are sensitivity analyses. Raw counts are deposited.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color w:val="000000"/>
              </w:rPr>
              <w:t>Ranked by</w:t>
            </w:r>
          </w:p>
        </w:tc>
        <w:tc>
          <w:tcPr>
            <w:tcW w:type="dxa" w:w="1728"/>
          </w:tcPr>
          <w:p>
            <w:r>
              <w:rPr>
                <w:b/>
                <w:color w:val="000000"/>
              </w:rPr>
              <w:t>Top 25</w:t>
            </w:r>
          </w:p>
        </w:tc>
        <w:tc>
          <w:tcPr>
            <w:tcW w:type="dxa" w:w="1728"/>
          </w:tcPr>
          <w:p>
            <w:r>
              <w:rPr>
                <w:b/>
                <w:color w:val="000000"/>
              </w:rPr>
              <w:t>Top 50</w:t>
            </w:r>
          </w:p>
        </w:tc>
        <w:tc>
          <w:tcPr>
            <w:tcW w:type="dxa" w:w="1728"/>
          </w:tcPr>
          <w:p>
            <w:r>
              <w:rPr>
                <w:b/>
                <w:color w:val="000000"/>
              </w:rPr>
              <w:t>Top 100</w:t>
            </w:r>
          </w:p>
        </w:tc>
        <w:tc>
          <w:tcPr>
            <w:tcW w:type="dxa" w:w="1728"/>
          </w:tcPr>
          <w:p>
            <w:r>
              <w:rPr>
                <w:b/>
                <w:color w:val="000000"/>
              </w:rPr>
              <w:t>Top 200</w:t>
            </w:r>
          </w:p>
        </w:tc>
      </w:tr>
      <w:tr>
        <w:tc>
          <w:tcPr>
            <w:tcW w:type="dxa" w:w="1728"/>
          </w:tcPr>
          <w:p>
            <w:r>
              <w:rPr>
                <w:color w:val="000000"/>
              </w:rPr>
              <w:t>Podocyte (kidney)</w:t>
            </w:r>
          </w:p>
        </w:tc>
        <w:tc>
          <w:tcPr>
            <w:tcW w:type="dxa" w:w="1728"/>
          </w:tcPr>
          <w:p>
            <w:r>
              <w:rPr>
                <w:color w:val="000000"/>
              </w:rPr>
              <w:t>4.88</w:t>
            </w:r>
          </w:p>
        </w:tc>
        <w:tc>
          <w:tcPr>
            <w:tcW w:type="dxa" w:w="1728"/>
          </w:tcPr>
          <w:p>
            <w:r>
              <w:rPr>
                <w:color w:val="000000"/>
              </w:rPr>
              <w:t>4.19</w:t>
            </w:r>
          </w:p>
        </w:tc>
        <w:tc>
          <w:tcPr>
            <w:tcW w:type="dxa" w:w="1728"/>
          </w:tcPr>
          <w:p>
            <w:r>
              <w:rPr>
                <w:color w:val="000000"/>
              </w:rPr>
              <w:t>5.23</w:t>
            </w:r>
          </w:p>
        </w:tc>
        <w:tc>
          <w:tcPr>
            <w:tcW w:type="dxa" w:w="1728"/>
          </w:tcPr>
          <w:p>
            <w:r>
              <w:rPr>
                <w:color w:val="000000"/>
              </w:rPr>
              <w:t>6.14</w:t>
            </w:r>
          </w:p>
        </w:tc>
      </w:tr>
      <w:tr>
        <w:tc>
          <w:tcPr>
            <w:tcW w:type="dxa" w:w="1728"/>
          </w:tcPr>
          <w:p>
            <w:r>
              <w:rPr>
                <w:color w:val="000000"/>
              </w:rPr>
              <w:t>Kidney (whole)</w:t>
            </w:r>
          </w:p>
        </w:tc>
        <w:tc>
          <w:tcPr>
            <w:tcW w:type="dxa" w:w="1728"/>
          </w:tcPr>
          <w:p>
            <w:r>
              <w:rPr>
                <w:color w:val="000000"/>
              </w:rPr>
              <w:t>4.06</w:t>
            </w:r>
          </w:p>
        </w:tc>
        <w:tc>
          <w:tcPr>
            <w:tcW w:type="dxa" w:w="1728"/>
          </w:tcPr>
          <w:p>
            <w:r>
              <w:rPr>
                <w:color w:val="000000"/>
              </w:rPr>
              <w:t>3.79</w:t>
            </w:r>
          </w:p>
        </w:tc>
        <w:tc>
          <w:tcPr>
            <w:tcW w:type="dxa" w:w="1728"/>
          </w:tcPr>
          <w:p>
            <w:r>
              <w:rPr>
                <w:color w:val="000000"/>
              </w:rPr>
              <w:t>3.04</w:t>
            </w:r>
          </w:p>
        </w:tc>
        <w:tc>
          <w:tcPr>
            <w:tcW w:type="dxa" w:w="1728"/>
          </w:tcPr>
          <w:p>
            <w:r>
              <w:rPr>
                <w:color w:val="000000"/>
              </w:rPr>
              <w:t>2.27</w:t>
            </w:r>
          </w:p>
        </w:tc>
      </w:tr>
      <w:tr>
        <w:tc>
          <w:tcPr>
            <w:tcW w:type="dxa" w:w="1728"/>
          </w:tcPr>
          <w:p>
            <w:r>
              <w:rPr>
                <w:color w:val="000000"/>
              </w:rPr>
              <w:t>Hepatocyte</w:t>
            </w:r>
          </w:p>
        </w:tc>
        <w:tc>
          <w:tcPr>
            <w:tcW w:type="dxa" w:w="1728"/>
          </w:tcPr>
          <w:p>
            <w:r>
              <w:rPr>
                <w:color w:val="000000"/>
              </w:rPr>
              <w:t>4.88</w:t>
            </w:r>
          </w:p>
        </w:tc>
        <w:tc>
          <w:tcPr>
            <w:tcW w:type="dxa" w:w="1728"/>
          </w:tcPr>
          <w:p>
            <w:r>
              <w:rPr>
                <w:color w:val="000000"/>
              </w:rPr>
              <w:t>5.07</w:t>
            </w:r>
          </w:p>
        </w:tc>
        <w:tc>
          <w:tcPr>
            <w:tcW w:type="dxa" w:w="1728"/>
          </w:tcPr>
          <w:p>
            <w:r>
              <w:rPr>
                <w:color w:val="000000"/>
              </w:rPr>
              <w:t>6.69</w:t>
            </w:r>
          </w:p>
        </w:tc>
        <w:tc>
          <w:tcPr>
            <w:tcW w:type="dxa" w:w="1728"/>
          </w:tcPr>
          <w:p>
            <w:r>
              <w:rPr>
                <w:color w:val="000000"/>
              </w:rPr>
              <w:t>4.81</w:t>
            </w:r>
          </w:p>
        </w:tc>
      </w:tr>
      <w:tr>
        <w:tc>
          <w:tcPr>
            <w:tcW w:type="dxa" w:w="1728"/>
          </w:tcPr>
          <w:p>
            <w:r>
              <w:rPr>
                <w:color w:val="000000"/>
              </w:rPr>
              <w:t>Lung</w:t>
            </w:r>
          </w:p>
        </w:tc>
        <w:tc>
          <w:tcPr>
            <w:tcW w:type="dxa" w:w="1728"/>
          </w:tcPr>
          <w:p>
            <w:r>
              <w:rPr>
                <w:color w:val="000000"/>
              </w:rPr>
              <w:t>4.06</w:t>
            </w:r>
          </w:p>
        </w:tc>
        <w:tc>
          <w:tcPr>
            <w:tcW w:type="dxa" w:w="1728"/>
          </w:tcPr>
          <w:p>
            <w:r>
              <w:rPr>
                <w:color w:val="000000"/>
              </w:rPr>
              <w:t>4.19</w:t>
            </w:r>
          </w:p>
        </w:tc>
        <w:tc>
          <w:tcPr>
            <w:tcW w:type="dxa" w:w="1728"/>
          </w:tcPr>
          <w:p>
            <w:r>
              <w:rPr>
                <w:color w:val="000000"/>
              </w:rPr>
              <w:t>5.23</w:t>
            </w:r>
          </w:p>
        </w:tc>
        <w:tc>
          <w:tcPr>
            <w:tcW w:type="dxa" w:w="1728"/>
          </w:tcPr>
          <w:p>
            <w:r>
              <w:rPr>
                <w:color w:val="000000"/>
              </w:rPr>
              <w:t>5.44</w:t>
            </w:r>
          </w:p>
        </w:tc>
      </w:tr>
      <w:tr>
        <w:tc>
          <w:tcPr>
            <w:tcW w:type="dxa" w:w="1728"/>
          </w:tcPr>
          <w:p>
            <w:r>
              <w:rPr>
                <w:color w:val="000000"/>
              </w:rPr>
              <w:t>Frontal cortex</w:t>
            </w:r>
          </w:p>
        </w:tc>
        <w:tc>
          <w:tcPr>
            <w:tcW w:type="dxa" w:w="1728"/>
          </w:tcPr>
          <w:p>
            <w:r>
              <w:rPr>
                <w:color w:val="000000"/>
              </w:rPr>
              <w:t>4.88</w:t>
            </w:r>
          </w:p>
        </w:tc>
        <w:tc>
          <w:tcPr>
            <w:tcW w:type="dxa" w:w="1728"/>
          </w:tcPr>
          <w:p>
            <w:r>
              <w:rPr>
                <w:color w:val="000000"/>
              </w:rPr>
              <w:t>4.19</w:t>
            </w:r>
          </w:p>
        </w:tc>
        <w:tc>
          <w:tcPr>
            <w:tcW w:type="dxa" w:w="1728"/>
          </w:tcPr>
          <w:p>
            <w:r>
              <w:rPr>
                <w:color w:val="000000"/>
              </w:rPr>
              <w:t>4.25</w:t>
            </w:r>
          </w:p>
        </w:tc>
        <w:tc>
          <w:tcPr>
            <w:tcW w:type="dxa" w:w="1728"/>
          </w:tcPr>
          <w:p>
            <w:r>
              <w:rPr>
                <w:color w:val="000000"/>
              </w:rPr>
              <w:t>3.85</w:t>
            </w:r>
          </w:p>
        </w:tc>
      </w:tr>
      <w:tr>
        <w:tc>
          <w:tcPr>
            <w:tcW w:type="dxa" w:w="1728"/>
          </w:tcPr>
          <w:p>
            <w:r>
              <w:rPr>
                <w:color w:val="000000"/>
              </w:rPr>
              <w:t>Brain</w:t>
            </w:r>
          </w:p>
        </w:tc>
        <w:tc>
          <w:tcPr>
            <w:tcW w:type="dxa" w:w="1728"/>
          </w:tcPr>
          <w:p>
            <w:r>
              <w:rPr>
                <w:color w:val="000000"/>
              </w:rPr>
              <w:t>3.33</w:t>
            </w:r>
          </w:p>
        </w:tc>
        <w:tc>
          <w:tcPr>
            <w:tcW w:type="dxa" w:w="1728"/>
          </w:tcPr>
          <w:p>
            <w:r>
              <w:rPr>
                <w:color w:val="000000"/>
              </w:rPr>
              <w:t>2.75</w:t>
            </w:r>
          </w:p>
        </w:tc>
        <w:tc>
          <w:tcPr>
            <w:tcW w:type="dxa" w:w="1728"/>
          </w:tcPr>
          <w:p>
            <w:r>
              <w:rPr>
                <w:color w:val="000000"/>
              </w:rPr>
              <w:t>4.48</w:t>
            </w:r>
          </w:p>
        </w:tc>
        <w:tc>
          <w:tcPr>
            <w:tcW w:type="dxa" w:w="1728"/>
          </w:tcPr>
          <w:p>
            <w:r>
              <w:rPr>
                <w:color w:val="000000"/>
              </w:rPr>
              <w:t>4.37</w:t>
            </w:r>
          </w:p>
        </w:tc>
      </w:tr>
      <w:tr>
        <w:tc>
          <w:tcPr>
            <w:tcW w:type="dxa" w:w="1728"/>
          </w:tcPr>
          <w:p>
            <w:r>
              <w:rPr>
                <w:color w:val="000000"/>
              </w:rPr>
              <w:t>Stomach</w:t>
            </w:r>
          </w:p>
        </w:tc>
        <w:tc>
          <w:tcPr>
            <w:tcW w:type="dxa" w:w="1728"/>
          </w:tcPr>
          <w:p>
            <w:r>
              <w:rPr>
                <w:color w:val="000000"/>
              </w:rPr>
              <w:t>4.06</w:t>
            </w:r>
          </w:p>
        </w:tc>
        <w:tc>
          <w:tcPr>
            <w:tcW w:type="dxa" w:w="1728"/>
          </w:tcPr>
          <w:p>
            <w:r>
              <w:rPr>
                <w:color w:val="000000"/>
              </w:rPr>
              <w:t>3.42</w:t>
            </w:r>
          </w:p>
        </w:tc>
        <w:tc>
          <w:tcPr>
            <w:tcW w:type="dxa" w:w="1728"/>
          </w:tcPr>
          <w:p>
            <w:r>
              <w:rPr>
                <w:color w:val="000000"/>
              </w:rPr>
              <w:t>4.48</w:t>
            </w:r>
          </w:p>
        </w:tc>
        <w:tc>
          <w:tcPr>
            <w:tcW w:type="dxa" w:w="1728"/>
          </w:tcPr>
          <w:p>
            <w:r>
              <w:rPr>
                <w:color w:val="000000"/>
              </w:rPr>
              <w:t>4.24</w:t>
            </w:r>
          </w:p>
        </w:tc>
      </w:tr>
      <w:tr>
        <w:tc>
          <w:tcPr>
            <w:tcW w:type="dxa" w:w="1728"/>
          </w:tcPr>
          <w:p>
            <w:r>
              <w:rPr>
                <w:color w:val="000000"/>
              </w:rPr>
              <w:t>Heart, left ventricle</w:t>
            </w:r>
          </w:p>
        </w:tc>
        <w:tc>
          <w:tcPr>
            <w:tcW w:type="dxa" w:w="1728"/>
          </w:tcPr>
          <w:p>
            <w:r>
              <w:rPr>
                <w:color w:val="000000"/>
              </w:rPr>
              <w:t>3.33</w:t>
            </w:r>
          </w:p>
        </w:tc>
        <w:tc>
          <w:tcPr>
            <w:tcW w:type="dxa" w:w="1728"/>
          </w:tcPr>
          <w:p>
            <w:r>
              <w:rPr>
                <w:color w:val="000000"/>
              </w:rPr>
              <w:t>3.79</w:t>
            </w:r>
          </w:p>
        </w:tc>
        <w:tc>
          <w:tcPr>
            <w:tcW w:type="dxa" w:w="1728"/>
          </w:tcPr>
          <w:p>
            <w:r>
              <w:rPr>
                <w:color w:val="000000"/>
              </w:rPr>
              <w:t>3.82</w:t>
            </w:r>
          </w:p>
        </w:tc>
        <w:tc>
          <w:tcPr>
            <w:tcW w:type="dxa" w:w="1728"/>
          </w:tcPr>
          <w:p>
            <w:r>
              <w:rPr>
                <w:color w:val="000000"/>
              </w:rPr>
              <w:t>3.15</w:t>
            </w:r>
          </w:p>
        </w:tc>
      </w:tr>
      <w:tr>
        <w:tc>
          <w:tcPr>
            <w:tcW w:type="dxa" w:w="1728"/>
          </w:tcPr>
          <w:p>
            <w:r>
              <w:rPr>
                <w:color w:val="000000"/>
              </w:rPr>
              <w:t>Liver</w:t>
            </w:r>
          </w:p>
        </w:tc>
        <w:tc>
          <w:tcPr>
            <w:tcW w:type="dxa" w:w="1728"/>
          </w:tcPr>
          <w:p>
            <w:r>
              <w:rPr>
                <w:color w:val="000000"/>
              </w:rPr>
              <w:t>4.06</w:t>
            </w:r>
          </w:p>
        </w:tc>
        <w:tc>
          <w:tcPr>
            <w:tcW w:type="dxa" w:w="1728"/>
          </w:tcPr>
          <w:p>
            <w:r>
              <w:rPr>
                <w:color w:val="000000"/>
              </w:rPr>
              <w:t>2.75</w:t>
            </w:r>
          </w:p>
        </w:tc>
        <w:tc>
          <w:tcPr>
            <w:tcW w:type="dxa" w:w="1728"/>
          </w:tcPr>
          <w:p>
            <w:r>
              <w:rPr>
                <w:color w:val="000000"/>
              </w:rPr>
              <w:t>3.22</w:t>
            </w:r>
          </w:p>
        </w:tc>
        <w:tc>
          <w:tcPr>
            <w:tcW w:type="dxa" w:w="1728"/>
          </w:tcPr>
          <w:p>
            <w:r>
              <w:rPr>
                <w:color w:val="000000"/>
              </w:rPr>
              <w:t>2.36</w:t>
            </w:r>
          </w:p>
        </w:tc>
      </w:tr>
      <w:tr>
        <w:tc>
          <w:tcPr>
            <w:tcW w:type="dxa" w:w="1728"/>
          </w:tcPr>
          <w:p>
            <w:r>
              <w:rPr>
                <w:color w:val="000000"/>
              </w:rPr>
              <w:t>Lung (left)</w:t>
            </w:r>
          </w:p>
        </w:tc>
        <w:tc>
          <w:tcPr>
            <w:tcW w:type="dxa" w:w="1728"/>
          </w:tcPr>
          <w:p>
            <w:r>
              <w:rPr>
                <w:color w:val="000000"/>
              </w:rPr>
              <w:t>1.61</w:t>
            </w:r>
          </w:p>
        </w:tc>
        <w:tc>
          <w:tcPr>
            <w:tcW w:type="dxa" w:w="1728"/>
          </w:tcPr>
          <w:p>
            <w:r>
              <w:rPr>
                <w:color w:val="000000"/>
              </w:rPr>
              <w:t>2.44</w:t>
            </w:r>
          </w:p>
        </w:tc>
        <w:tc>
          <w:tcPr>
            <w:tcW w:type="dxa" w:w="1728"/>
          </w:tcPr>
          <w:p>
            <w:r>
              <w:rPr>
                <w:color w:val="000000"/>
              </w:rPr>
              <w:t>2.37</w:t>
            </w:r>
          </w:p>
        </w:tc>
        <w:tc>
          <w:tcPr>
            <w:tcW w:type="dxa" w:w="1728"/>
          </w:tcPr>
          <w:p>
            <w:r>
              <w:rPr>
                <w:color w:val="000000"/>
              </w:rPr>
              <w:t>1.49</w:t>
            </w:r>
          </w:p>
        </w:tc>
      </w:tr>
    </w:tbl>
    <w:p/>
    <w:p>
      <w:r>
        <w:rPr>
          <w:b/>
          <w:color w:val="000000"/>
        </w:rPr>
        <w:t>Table 2.</w:t>
      </w:r>
      <w:r>
        <w:rPr>
          <w:color w:val="000000"/>
        </w:rPr>
        <w:t xml:space="preserve"> Enrichment by partition, top 200 by each tissue output. Conditional odds ratios with exact 95% intervals, and the number of the top 200 falling in the partition. Partition sizes: kidney-specific 39 peaks, shared 71, other-tissue-specific 47.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000000"/>
              </w:rPr>
              <w:t>Ranked by</w:t>
            </w:r>
          </w:p>
        </w:tc>
        <w:tc>
          <w:tcPr>
            <w:tcW w:type="dxa" w:w="2160"/>
          </w:tcPr>
          <w:p>
            <w:r>
              <w:rPr>
                <w:b/>
                <w:color w:val="000000"/>
              </w:rPr>
              <w:t>Kidney-specific</w:t>
            </w:r>
          </w:p>
        </w:tc>
        <w:tc>
          <w:tcPr>
            <w:tcW w:type="dxa" w:w="2160"/>
          </w:tcPr>
          <w:p>
            <w:r>
              <w:rPr>
                <w:b/>
                <w:color w:val="000000"/>
              </w:rPr>
              <w:t>Shared</w:t>
            </w:r>
          </w:p>
        </w:tc>
        <w:tc>
          <w:tcPr>
            <w:tcW w:type="dxa" w:w="2160"/>
          </w:tcPr>
          <w:p>
            <w:r>
              <w:rPr>
                <w:b/>
                <w:color w:val="000000"/>
              </w:rPr>
              <w:t>Other-tissue-specific</w:t>
            </w:r>
          </w:p>
        </w:tc>
      </w:tr>
      <w:tr>
        <w:tc>
          <w:tcPr>
            <w:tcW w:type="dxa" w:w="2160"/>
          </w:tcPr>
          <w:p>
            <w:r>
              <w:rPr>
                <w:color w:val="000000"/>
              </w:rPr>
              <w:t>Podocyte (kidney)</w:t>
            </w:r>
          </w:p>
        </w:tc>
        <w:tc>
          <w:tcPr>
            <w:tcW w:type="dxa" w:w="2160"/>
          </w:tcPr>
          <w:p>
            <w:r>
              <w:rPr>
                <w:b/>
                <w:color w:val="000000"/>
              </w:rPr>
              <w:t>4.28 (2.52-7.11)</w:t>
            </w:r>
            <w:r>
              <w:rPr>
                <w:color w:val="000000"/>
              </w:rPr>
              <w:t>, n=26</w:t>
            </w:r>
          </w:p>
        </w:tc>
        <w:tc>
          <w:tcPr>
            <w:tcW w:type="dxa" w:w="2160"/>
          </w:tcPr>
          <w:p>
            <w:r>
              <w:rPr>
                <w:color w:val="000000"/>
              </w:rPr>
              <w:t>8.14 (5.69-11.61), n=75</w:t>
            </w:r>
          </w:p>
        </w:tc>
        <w:tc>
          <w:tcPr>
            <w:tcW w:type="dxa" w:w="2160"/>
          </w:tcPr>
          <w:p>
            <w:r>
              <w:rPr>
                <w:color w:val="000000"/>
              </w:rPr>
              <w:t>1.51 (0.73-2.86), n=12</w:t>
            </w:r>
          </w:p>
        </w:tc>
      </w:tr>
      <w:tr>
        <w:tc>
          <w:tcPr>
            <w:tcW w:type="dxa" w:w="2160"/>
          </w:tcPr>
          <w:p>
            <w:r>
              <w:rPr>
                <w:color w:val="000000"/>
              </w:rPr>
              <w:t>Lung</w:t>
            </w:r>
          </w:p>
        </w:tc>
        <w:tc>
          <w:tcPr>
            <w:tcW w:type="dxa" w:w="2160"/>
          </w:tcPr>
          <w:p>
            <w:r>
              <w:rPr>
                <w:color w:val="000000"/>
              </w:rPr>
              <w:t>2.48 (1.35-4.34), n=18</w:t>
            </w:r>
          </w:p>
        </w:tc>
        <w:tc>
          <w:tcPr>
            <w:tcW w:type="dxa" w:w="2160"/>
          </w:tcPr>
          <w:p>
            <w:r>
              <w:rPr>
                <w:color w:val="000000"/>
              </w:rPr>
              <w:t>5.98 (4.16-8.57), n=65</w:t>
            </w:r>
          </w:p>
        </w:tc>
        <w:tc>
          <w:tcPr>
            <w:tcW w:type="dxa" w:w="2160"/>
          </w:tcPr>
          <w:p>
            <w:r>
              <w:rPr>
                <w:color w:val="000000"/>
              </w:rPr>
              <w:t>2.97 (1.66-5.12), n=20</w:t>
            </w:r>
          </w:p>
        </w:tc>
      </w:tr>
      <w:tr>
        <w:tc>
          <w:tcPr>
            <w:tcW w:type="dxa" w:w="2160"/>
          </w:tcPr>
          <w:p>
            <w:r>
              <w:rPr>
                <w:color w:val="000000"/>
              </w:rPr>
              <w:t>Hepatocyte</w:t>
            </w:r>
          </w:p>
        </w:tc>
        <w:tc>
          <w:tcPr>
            <w:tcW w:type="dxa" w:w="2160"/>
          </w:tcPr>
          <w:p>
            <w:r>
              <w:rPr>
                <w:color w:val="000000"/>
              </w:rPr>
              <w:t>1.94 (1.01-3.51), n=15</w:t>
            </w:r>
          </w:p>
        </w:tc>
        <w:tc>
          <w:tcPr>
            <w:tcW w:type="dxa" w:w="2160"/>
          </w:tcPr>
          <w:p>
            <w:r>
              <w:rPr>
                <w:color w:val="000000"/>
              </w:rPr>
              <w:t>5.80 (4.03-8.31), n=64</w:t>
            </w:r>
          </w:p>
        </w:tc>
        <w:tc>
          <w:tcPr>
            <w:tcW w:type="dxa" w:w="2160"/>
          </w:tcPr>
          <w:p>
            <w:r>
              <w:rPr>
                <w:color w:val="000000"/>
              </w:rPr>
              <w:t>3.19 (1.80-5.46), n=21</w:t>
            </w:r>
          </w:p>
        </w:tc>
      </w:tr>
      <w:tr>
        <w:tc>
          <w:tcPr>
            <w:tcW w:type="dxa" w:w="2160"/>
          </w:tcPr>
          <w:p>
            <w:r>
              <w:rPr>
                <w:color w:val="000000"/>
              </w:rPr>
              <w:t>Brain</w:t>
            </w:r>
          </w:p>
        </w:tc>
        <w:tc>
          <w:tcPr>
            <w:tcW w:type="dxa" w:w="2160"/>
          </w:tcPr>
          <w:p>
            <w:r>
              <w:rPr>
                <w:color w:val="000000"/>
              </w:rPr>
              <w:t>1.94 (1.01-3.51), n=15</w:t>
            </w:r>
          </w:p>
        </w:tc>
        <w:tc>
          <w:tcPr>
            <w:tcW w:type="dxa" w:w="2160"/>
          </w:tcPr>
          <w:p>
            <w:r>
              <w:rPr>
                <w:color w:val="000000"/>
              </w:rPr>
              <w:t>4.07 (2.78-5.89), n=53</w:t>
            </w:r>
          </w:p>
        </w:tc>
        <w:tc>
          <w:tcPr>
            <w:tcW w:type="dxa" w:w="2160"/>
          </w:tcPr>
          <w:p>
            <w:r>
              <w:rPr>
                <w:color w:val="000000"/>
              </w:rPr>
              <w:t>2.37 (1.27-4.19), n=17</w:t>
            </w:r>
          </w:p>
        </w:tc>
      </w:tr>
      <w:tr>
        <w:tc>
          <w:tcPr>
            <w:tcW w:type="dxa" w:w="2160"/>
          </w:tcPr>
          <w:p>
            <w:r>
              <w:rPr>
                <w:color w:val="000000"/>
              </w:rPr>
              <w:t>Stomach</w:t>
            </w:r>
          </w:p>
        </w:tc>
        <w:tc>
          <w:tcPr>
            <w:tcW w:type="dxa" w:w="2160"/>
          </w:tcPr>
          <w:p>
            <w:r>
              <w:rPr>
                <w:color w:val="000000"/>
              </w:rPr>
              <w:t>1.46 (0.71-2.78), n=12</w:t>
            </w:r>
          </w:p>
        </w:tc>
        <w:tc>
          <w:tcPr>
            <w:tcW w:type="dxa" w:w="2160"/>
          </w:tcPr>
          <w:p>
            <w:r>
              <w:rPr>
                <w:color w:val="000000"/>
              </w:rPr>
              <w:t>5.80 (4.03-8.31), n=64</w:t>
            </w:r>
          </w:p>
        </w:tc>
        <w:tc>
          <w:tcPr>
            <w:tcW w:type="dxa" w:w="2160"/>
          </w:tcPr>
          <w:p>
            <w:r>
              <w:rPr>
                <w:b/>
                <w:color w:val="000000"/>
              </w:rPr>
              <w:t>3.42 (1.95-5.82)</w:t>
            </w:r>
            <w:r>
              <w:rPr>
                <w:color w:val="000000"/>
              </w:rPr>
              <w:t>, n=22</w:t>
            </w:r>
          </w:p>
        </w:tc>
      </w:tr>
      <w:tr>
        <w:tc>
          <w:tcPr>
            <w:tcW w:type="dxa" w:w="2160"/>
          </w:tcPr>
          <w:p>
            <w:r>
              <w:rPr>
                <w:color w:val="000000"/>
              </w:rPr>
              <w:t>Kidney (whole)</w:t>
            </w:r>
          </w:p>
        </w:tc>
        <w:tc>
          <w:tcPr>
            <w:tcW w:type="dxa" w:w="2160"/>
          </w:tcPr>
          <w:p>
            <w:r>
              <w:rPr>
                <w:color w:val="000000"/>
              </w:rPr>
              <w:t>0.90 (0.37-1.91), n=8</w:t>
            </w:r>
          </w:p>
        </w:tc>
        <w:tc>
          <w:tcPr>
            <w:tcW w:type="dxa" w:w="2160"/>
          </w:tcPr>
          <w:p>
            <w:r>
              <w:rPr>
                <w:color w:val="000000"/>
              </w:rPr>
              <w:t>2.46 (1.63-3.67), n=39</w:t>
            </w:r>
          </w:p>
        </w:tc>
        <w:tc>
          <w:tcPr>
            <w:tcW w:type="dxa" w:w="2160"/>
          </w:tcPr>
          <w:p>
            <w:r>
              <w:rPr>
                <w:color w:val="000000"/>
              </w:rPr>
              <w:t>2.37 (1.27-4.19), n=17</w:t>
            </w:r>
          </w:p>
        </w:tc>
      </w:tr>
      <w:tr>
        <w:tc>
          <w:tcPr>
            <w:tcW w:type="dxa" w:w="2160"/>
          </w:tcPr>
          <w:p>
            <w:r>
              <w:rPr>
                <w:color w:val="000000"/>
              </w:rPr>
              <w:t>Liver</w:t>
            </w:r>
          </w:p>
        </w:tc>
        <w:tc>
          <w:tcPr>
            <w:tcW w:type="dxa" w:w="2160"/>
          </w:tcPr>
          <w:p>
            <w:r>
              <w:rPr>
                <w:color w:val="000000"/>
              </w:rPr>
              <w:t>0.90 (0.37-1.91), n=8</w:t>
            </w:r>
          </w:p>
        </w:tc>
        <w:tc>
          <w:tcPr>
            <w:tcW w:type="dxa" w:w="2160"/>
          </w:tcPr>
          <w:p>
            <w:r>
              <w:rPr>
                <w:color w:val="000000"/>
              </w:rPr>
              <w:t>2.66 (1.77-3.94), n=41</w:t>
            </w:r>
          </w:p>
        </w:tc>
        <w:tc>
          <w:tcPr>
            <w:tcW w:type="dxa" w:w="2160"/>
          </w:tcPr>
          <w:p>
            <w:r>
              <w:rPr>
                <w:color w:val="000000"/>
              </w:rPr>
              <w:t>2.37 (1.27-4.19), n=17</w:t>
            </w:r>
          </w:p>
        </w:tc>
      </w:tr>
    </w:tbl>
    <w:p/>
    <w:p>
      <w:r>
        <w:rPr>
          <w:b/>
          <w:color w:val="000000"/>
        </w:rPr>
        <w:t>Table 3.</w:t>
      </w:r>
      <w:r>
        <w:rPr>
          <w:color w:val="000000"/>
        </w:rPr>
        <w:t xml:space="preserve"> The four candidates surviving linkage filtering, with prior published record. Alternate allele frequency is in the African genetic-ancestry group of gnomAD v4. r-squared and D' are the maximum against G1a, G1b or G2 across seven African populations analysed separately.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color w:val="000000"/>
              </w:rPr>
              <w:t>Variant</w:t>
            </w:r>
          </w:p>
        </w:tc>
        <w:tc>
          <w:tcPr>
            <w:tcW w:type="dxa" w:w="1440"/>
          </w:tcPr>
          <w:p>
            <w:r>
              <w:rPr>
                <w:b/>
                <w:color w:val="000000"/>
              </w:rPr>
              <w:t>Alt AF</w:t>
            </w:r>
          </w:p>
        </w:tc>
        <w:tc>
          <w:tcPr>
            <w:tcW w:type="dxa" w:w="1440"/>
          </w:tcPr>
          <w:p>
            <w:r>
              <w:rPr>
                <w:b/>
                <w:color w:val="000000"/>
              </w:rPr>
              <w:t>max r²</w:t>
            </w:r>
          </w:p>
        </w:tc>
        <w:tc>
          <w:tcPr>
            <w:tcW w:type="dxa" w:w="1440"/>
          </w:tcPr>
          <w:p>
            <w:r>
              <w:rPr>
                <w:b/>
                <w:color w:val="000000"/>
              </w:rPr>
              <w:t>max D'</w:t>
            </w:r>
          </w:p>
        </w:tc>
        <w:tc>
          <w:tcPr>
            <w:tcW w:type="dxa" w:w="1440"/>
          </w:tcPr>
          <w:p>
            <w:r>
              <w:rPr>
                <w:b/>
                <w:color w:val="000000"/>
              </w:rPr>
              <w:t>Nearest gene</w:t>
            </w:r>
          </w:p>
        </w:tc>
        <w:tc>
          <w:tcPr>
            <w:tcW w:type="dxa" w:w="1440"/>
          </w:tcPr>
          <w:p>
            <w:r>
              <w:rPr>
                <w:b/>
                <w:color w:val="000000"/>
              </w:rPr>
              <w:t>Prior published record</w:t>
            </w:r>
          </w:p>
        </w:tc>
      </w:tr>
      <w:tr>
        <w:tc>
          <w:tcPr>
            <w:tcW w:type="dxa" w:w="1440"/>
          </w:tcPr>
          <w:p>
            <w:r>
              <w:rPr>
                <w:color w:val="000000"/>
              </w:rPr>
              <w:t>rs713797</w:t>
            </w:r>
          </w:p>
        </w:tc>
        <w:tc>
          <w:tcPr>
            <w:tcW w:type="dxa" w:w="1440"/>
          </w:tcPr>
          <w:p>
            <w:r>
              <w:rPr>
                <w:color w:val="000000"/>
              </w:rPr>
              <w:t>0.396</w:t>
            </w:r>
          </w:p>
        </w:tc>
        <w:tc>
          <w:tcPr>
            <w:tcW w:type="dxa" w:w="1440"/>
          </w:tcPr>
          <w:p>
            <w:r>
              <w:rPr>
                <w:color w:val="000000"/>
              </w:rPr>
              <w:t>0.070</w:t>
            </w:r>
          </w:p>
        </w:tc>
        <w:tc>
          <w:tcPr>
            <w:tcW w:type="dxa" w:w="1440"/>
          </w:tcPr>
          <w:p>
            <w:r>
              <w:rPr>
                <w:color w:val="000000"/>
              </w:rPr>
              <w:t>0.38</w:t>
            </w:r>
          </w:p>
        </w:tc>
        <w:tc>
          <w:tcPr>
            <w:tcW w:type="dxa" w:w="1440"/>
          </w:tcPr>
          <w:p>
            <w:r>
              <w:rPr>
                <w:color w:val="000000"/>
              </w:rPr>
              <w:t>MYH9</w:t>
            </w:r>
          </w:p>
        </w:tc>
        <w:tc>
          <w:tcPr>
            <w:tcW w:type="dxa" w:w="1440"/>
          </w:tcPr>
          <w:p>
            <w:r>
              <w:rPr>
                <w:color w:val="000000"/>
              </w:rPr>
              <w:t>FOXRED2 eQTL; three plasma protein associations</w:t>
            </w:r>
          </w:p>
        </w:tc>
      </w:tr>
      <w:tr>
        <w:tc>
          <w:tcPr>
            <w:tcW w:type="dxa" w:w="1440"/>
          </w:tcPr>
          <w:p>
            <w:r>
              <w:rPr>
                <w:color w:val="000000"/>
              </w:rPr>
              <w:t>rs132708</w:t>
            </w:r>
          </w:p>
        </w:tc>
        <w:tc>
          <w:tcPr>
            <w:tcW w:type="dxa" w:w="1440"/>
          </w:tcPr>
          <w:p>
            <w:r>
              <w:rPr>
                <w:color w:val="000000"/>
              </w:rPr>
              <w:t>0.839</w:t>
            </w:r>
          </w:p>
        </w:tc>
        <w:tc>
          <w:tcPr>
            <w:tcW w:type="dxa" w:w="1440"/>
          </w:tcPr>
          <w:p>
            <w:r>
              <w:rPr>
                <w:color w:val="000000"/>
              </w:rPr>
              <w:t>0.062</w:t>
            </w:r>
          </w:p>
        </w:tc>
        <w:tc>
          <w:tcPr>
            <w:tcW w:type="dxa" w:w="1440"/>
          </w:tcPr>
          <w:p>
            <w:r>
              <w:rPr>
                <w:color w:val="000000"/>
              </w:rPr>
              <w:t>0.66</w:t>
            </w:r>
          </w:p>
        </w:tc>
        <w:tc>
          <w:tcPr>
            <w:tcW w:type="dxa" w:w="1440"/>
          </w:tcPr>
          <w:p>
            <w:r>
              <w:rPr>
                <w:color w:val="000000"/>
              </w:rPr>
              <w:t>APOL4</w:t>
            </w:r>
          </w:p>
        </w:tc>
        <w:tc>
          <w:tcPr>
            <w:tcW w:type="dxa" w:w="1440"/>
          </w:tcPr>
          <w:p>
            <w:r>
              <w:rPr>
                <w:color w:val="000000"/>
              </w:rPr>
              <w:t>APOL4 eQTL across multiple tissues</w:t>
            </w:r>
          </w:p>
        </w:tc>
      </w:tr>
      <w:tr>
        <w:tc>
          <w:tcPr>
            <w:tcW w:type="dxa" w:w="1440"/>
          </w:tcPr>
          <w:p>
            <w:r>
              <w:rPr>
                <w:color w:val="000000"/>
              </w:rPr>
              <w:t>rs6000250</w:t>
            </w:r>
          </w:p>
        </w:tc>
        <w:tc>
          <w:tcPr>
            <w:tcW w:type="dxa" w:w="1440"/>
          </w:tcPr>
          <w:p>
            <w:r>
              <w:rPr>
                <w:color w:val="000000"/>
              </w:rPr>
              <w:t>0.111</w:t>
            </w:r>
          </w:p>
        </w:tc>
        <w:tc>
          <w:tcPr>
            <w:tcW w:type="dxa" w:w="1440"/>
          </w:tcPr>
          <w:p>
            <w:r>
              <w:rPr>
                <w:color w:val="000000"/>
              </w:rPr>
              <w:t>0.177</w:t>
            </w:r>
          </w:p>
        </w:tc>
        <w:tc>
          <w:tcPr>
            <w:tcW w:type="dxa" w:w="1440"/>
          </w:tcPr>
          <w:p>
            <w:r>
              <w:rPr>
                <w:color w:val="000000"/>
              </w:rPr>
              <w:t>0.69</w:t>
            </w:r>
          </w:p>
        </w:tc>
        <w:tc>
          <w:tcPr>
            <w:tcW w:type="dxa" w:w="1440"/>
          </w:tcPr>
          <w:p>
            <w:r>
              <w:rPr>
                <w:color w:val="000000"/>
              </w:rPr>
              <w:t>MYH9</w:t>
            </w:r>
          </w:p>
        </w:tc>
        <w:tc>
          <w:tcPr>
            <w:tcW w:type="dxa" w:w="1440"/>
          </w:tcPr>
          <w:p>
            <w:r>
              <w:rPr>
                <w:color w:val="000000"/>
              </w:rPr>
              <w:t>none identified</w:t>
            </w:r>
          </w:p>
        </w:tc>
      </w:tr>
      <w:tr>
        <w:tc>
          <w:tcPr>
            <w:tcW w:type="dxa" w:w="1440"/>
          </w:tcPr>
          <w:p>
            <w:r>
              <w:rPr>
                <w:color w:val="000000"/>
              </w:rPr>
              <w:t>rs4820232</w:t>
            </w:r>
          </w:p>
        </w:tc>
        <w:tc>
          <w:tcPr>
            <w:tcW w:type="dxa" w:w="1440"/>
          </w:tcPr>
          <w:p>
            <w:r>
              <w:rPr>
                <w:color w:val="000000"/>
              </w:rPr>
              <w:t>0.301</w:t>
            </w:r>
          </w:p>
        </w:tc>
        <w:tc>
          <w:tcPr>
            <w:tcW w:type="dxa" w:w="1440"/>
          </w:tcPr>
          <w:p>
            <w:r>
              <w:rPr>
                <w:color w:val="000000"/>
              </w:rPr>
              <w:t>0.106</w:t>
            </w:r>
          </w:p>
        </w:tc>
        <w:tc>
          <w:tcPr>
            <w:tcW w:type="dxa" w:w="1440"/>
          </w:tcPr>
          <w:p>
            <w:r>
              <w:rPr>
                <w:color w:val="000000"/>
              </w:rPr>
              <w:t>0.79</w:t>
            </w:r>
          </w:p>
        </w:tc>
        <w:tc>
          <w:tcPr>
            <w:tcW w:type="dxa" w:w="1440"/>
          </w:tcPr>
          <w:p>
            <w:r>
              <w:rPr>
                <w:color w:val="000000"/>
              </w:rPr>
              <w:t>MYH9</w:t>
            </w:r>
          </w:p>
        </w:tc>
        <w:tc>
          <w:tcPr>
            <w:tcW w:type="dxa" w:w="1440"/>
          </w:tcPr>
          <w:p>
            <w:r>
              <w:rPr>
                <w:color w:val="000000"/>
              </w:rPr>
              <w:t>correlated with rs5750250 (r² 0.55, D' 1.0)</w:t>
            </w:r>
          </w:p>
        </w:tc>
      </w:tr>
    </w:tbl>
    <w:p/>
    <w:p>
      <w:r>
        <w:rPr>
          <w:color w:val="000000"/>
        </w:rPr>
        <w:t>Eleven further candidates were excluded: D' at or near 1.0 with G1 or G2 despite low r-squared, indicating haplotypic nesting rather than independence.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