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130E89" w14:textId="5FC3CC6F" w:rsidR="006C3552" w:rsidRDefault="00000000" w:rsidP="006C3552">
      <w:pPr>
        <w:jc w:val="center"/>
      </w:pPr>
      <w:r>
        <w:t>9 Harley Street, London W1G 6AL, United Kingdom</w:t>
      </w:r>
    </w:p>
    <w:p w14:paraId="18EAC25B" w14:textId="02EA82BE" w:rsidR="006C3552" w:rsidRDefault="006C3552">
      <w:hyperlink r:id="rId8" w:history="1">
        <w:r w:rsidRPr="008F2DC3">
          <w:rPr>
            <w:rStyle w:val="Hyperlink"/>
          </w:rPr>
          <w:t>Christopher.lawrence3@nhs.net</w:t>
        </w:r>
      </w:hyperlink>
      <w:r w:rsidR="00000000">
        <w:t xml:space="preserve"> </w:t>
      </w:r>
    </w:p>
    <w:p w14:paraId="28CD12C8" w14:textId="4D217DFA" w:rsidR="00EF7A2E" w:rsidRDefault="00000000">
      <w:r>
        <w:t>ORCID 0000-0002-8159-0879</w:t>
      </w:r>
    </w:p>
    <w:p w14:paraId="5E564664" w14:textId="77777777" w:rsidR="00EF7A2E" w:rsidRDefault="00000000">
      <w:r>
        <w:t>21 September 2026</w:t>
      </w:r>
    </w:p>
    <w:p w14:paraId="2ED74BF6" w14:textId="77777777" w:rsidR="00EF7A2E" w:rsidRDefault="00000000">
      <w:r>
        <w:t>The Editors BMC Research Notes</w:t>
      </w:r>
    </w:p>
    <w:p w14:paraId="1489E9D9" w14:textId="77777777" w:rsidR="00EF7A2E" w:rsidRDefault="00000000">
      <w:r>
        <w:t>Dear Editors,</w:t>
      </w:r>
    </w:p>
    <w:p w14:paraId="09DCD645" w14:textId="77777777" w:rsidR="00EF7A2E" w:rsidRDefault="00000000">
      <w:r>
        <w:t>I am submitting "Reference choice affects positional enrichment of AlphaGenome variant rankings at APOL1-MYH9" for consideration as a Research note.</w:t>
      </w:r>
    </w:p>
    <w:p w14:paraId="7814BD86" w14:textId="77777777" w:rsidR="00EF7A2E" w:rsidRDefault="00000000">
      <w:r>
        <w:t>The paper reports a single empirical observation. Ranking common variants at the APOL1-MYH9 locus by a podocyte-labelled AlphaGenome accessibility score, the apparent strength of positional enrichment, and the interpretation it invites, changed substantially with the measured ENCODE reference set used to evaluate it: odds ratio 5.98 against whole-kidney peaks and 8.76 against a podocyte-inclusive union, over the same variants and the same ranking. A beta-globin comparison locus behaved the same way, giving 1.44 under one reference and 7.54 under the other.</w:t>
      </w:r>
    </w:p>
    <w:p w14:paraId="4EB7C12E" w14:textId="77777777" w:rsidR="00EF7A2E" w:rsidRDefault="00000000">
      <w:r>
        <w:t>The work began as a regulatory-variant prioritisation project at APOL1-MYH9. It did not produce a candidate list I was willing to report, and I am submitting it because the reference sensitivity encountered on the way seems more useful than the candidates would have been. Each reference set is a defensible choice, the differences between them are easy to overlook, and the paper sets out three practical safeguards that follow. I hope this fits your remit for informative projects that did not yield their originally intended result.</w:t>
      </w:r>
    </w:p>
    <w:p w14:paraId="7A7AD328" w14:textId="77777777" w:rsidR="00EF7A2E" w:rsidRDefault="00000000">
      <w:r>
        <w:t>The claims are deliberately narrow. The evaluation overlaps the model's training data and tests position rather than allelic effect, so it does not validate tissue-specific variant-effect accuracy, does not establish equivalent performance between the two loci, and does not identify an APOL1 regulatory modifier. Each of these is stated in the Limitations.</w:t>
      </w:r>
    </w:p>
    <w:p w14:paraId="55039061" w14:textId="77777777" w:rsidR="00EF7A2E" w:rsidRDefault="00000000">
      <w:r>
        <w:t>All code and frozen results, including the allele ledger, per-variant predictions, every contingency table, the ENCODE peak and track manifests, the bootstrap pseudocode and its stability tables, are archived at Zenodo, doi:10.5281/zenodo.22875737, and openly available.</w:t>
      </w:r>
    </w:p>
    <w:p w14:paraId="04C6B3D5" w14:textId="46D79E31" w:rsidR="00EF7A2E" w:rsidRDefault="00000000">
      <w:r>
        <w:t xml:space="preserve">I am writing to request a full waiver of the article processing charge, and I should be clear that the submission depends on it. I have no institutional affiliation and no access to institutional or grant funding for publication. I work </w:t>
      </w:r>
      <w:r w:rsidR="006C3552">
        <w:t>in a very limited clinical capacity</w:t>
      </w:r>
      <w:r>
        <w:t xml:space="preserve">, I was recently made redundant from an industry role, and I am a single parent. I do not have the means to pay the charge in full from personal funds. This work was carried out without funding of any kind, using </w:t>
      </w:r>
      <w:r>
        <w:lastRenderedPageBreak/>
        <w:t>publicly available data and an academic research API, and the full archive is already openly deposited at no cost to any reader.</w:t>
      </w:r>
    </w:p>
    <w:p w14:paraId="55ED96A5" w14:textId="706E0872" w:rsidR="00EF7A2E" w:rsidRDefault="00000000">
      <w:r>
        <w:t xml:space="preserve">I understand waivers are granted at editorial discretion and are not guaranteed. If a full waiver is not </w:t>
      </w:r>
      <w:proofErr w:type="gramStart"/>
      <w:r>
        <w:t>possible</w:t>
      </w:r>
      <w:proofErr w:type="gramEnd"/>
      <w:r>
        <w:t xml:space="preserve"> I would be grateful to know what reduction might be, but if the charge cannot be substantially </w:t>
      </w:r>
      <w:proofErr w:type="gramStart"/>
      <w:r>
        <w:t>covered</w:t>
      </w:r>
      <w:proofErr w:type="gramEnd"/>
      <w:r>
        <w:t xml:space="preserve"> I would have to withdraw the manuscript rather than leave an unpayable invoice outstanding. I raise this now, before review, because your guidance states that waiver requests cannot be considered later</w:t>
      </w:r>
      <w:r w:rsidR="006C3552">
        <w:t>.</w:t>
      </w:r>
    </w:p>
    <w:p w14:paraId="16B90E7D" w14:textId="77777777" w:rsidR="00EF7A2E" w:rsidRDefault="00000000">
      <w:r>
        <w:t>The manuscript is original, is not under consideration elsewhere, and reports no new participant data, so ethical approval was not required. I am the sole author, declare no competing interests, and received no funding. In line with your policy on generative AI, I used Claude (Opus 5, Anthropic) to search and verify the literature, to check figures and citations against primary sources, and to draft and revise the text and analysis code; this is declared in the Acknowledgements, the tool is not listed as an author, and I take full responsibility for the content.</w:t>
      </w:r>
    </w:p>
    <w:p w14:paraId="546D7D04" w14:textId="77777777" w:rsidR="00EF7A2E" w:rsidRDefault="00000000">
      <w:r>
        <w:t>Yours faithfully,</w:t>
      </w:r>
    </w:p>
    <w:p w14:paraId="0761F7B8" w14:textId="77777777" w:rsidR="00EF7A2E" w:rsidRDefault="00000000">
      <w:r>
        <w:t>Christopher Lawrence</w:t>
      </w:r>
    </w:p>
    <w:sectPr w:rsidR="00EF7A2E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734EB6" w14:textId="77777777" w:rsidR="000B1B53" w:rsidRDefault="000B1B53" w:rsidP="006C3552">
      <w:pPr>
        <w:spacing w:after="0" w:line="240" w:lineRule="auto"/>
      </w:pPr>
      <w:r>
        <w:separator/>
      </w:r>
    </w:p>
  </w:endnote>
  <w:endnote w:type="continuationSeparator" w:id="0">
    <w:p w14:paraId="6C35DAF2" w14:textId="77777777" w:rsidR="000B1B53" w:rsidRDefault="000B1B53" w:rsidP="006C3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95AE7D" w14:textId="77777777" w:rsidR="000B1B53" w:rsidRDefault="000B1B53" w:rsidP="006C3552">
      <w:pPr>
        <w:spacing w:after="0" w:line="240" w:lineRule="auto"/>
      </w:pPr>
      <w:r>
        <w:separator/>
      </w:r>
    </w:p>
  </w:footnote>
  <w:footnote w:type="continuationSeparator" w:id="0">
    <w:p w14:paraId="779403C4" w14:textId="77777777" w:rsidR="000B1B53" w:rsidRDefault="000B1B53" w:rsidP="006C3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248A67" w14:textId="2991B3BA" w:rsidR="006C3552" w:rsidRPr="006C3552" w:rsidRDefault="006C3552" w:rsidP="006C3552">
    <w:pPr>
      <w:jc w:val="center"/>
      <w:rPr>
        <w:sz w:val="28"/>
        <w:szCs w:val="28"/>
      </w:rPr>
    </w:pPr>
    <w:r w:rsidRPr="006C3552">
      <w:rPr>
        <w:sz w:val="28"/>
        <w:szCs w:val="28"/>
      </w:rPr>
      <w:t>Christopher Lawrence</w:t>
    </w:r>
  </w:p>
  <w:p w14:paraId="0FFF4112" w14:textId="77777777" w:rsidR="006C3552" w:rsidRDefault="006C3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930571">
    <w:abstractNumId w:val="8"/>
  </w:num>
  <w:num w:numId="2" w16cid:durableId="829948011">
    <w:abstractNumId w:val="6"/>
  </w:num>
  <w:num w:numId="3" w16cid:durableId="739442789">
    <w:abstractNumId w:val="5"/>
  </w:num>
  <w:num w:numId="4" w16cid:durableId="1218198045">
    <w:abstractNumId w:val="4"/>
  </w:num>
  <w:num w:numId="5" w16cid:durableId="810947719">
    <w:abstractNumId w:val="7"/>
  </w:num>
  <w:num w:numId="6" w16cid:durableId="1722631614">
    <w:abstractNumId w:val="3"/>
  </w:num>
  <w:num w:numId="7" w16cid:durableId="1501192562">
    <w:abstractNumId w:val="2"/>
  </w:num>
  <w:num w:numId="8" w16cid:durableId="1135442533">
    <w:abstractNumId w:val="1"/>
  </w:num>
  <w:num w:numId="9" w16cid:durableId="1739564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B53"/>
    <w:rsid w:val="0015074B"/>
    <w:rsid w:val="0029639D"/>
    <w:rsid w:val="00326F90"/>
    <w:rsid w:val="006C3552"/>
    <w:rsid w:val="008E70AB"/>
    <w:rsid w:val="00AA1D8D"/>
    <w:rsid w:val="00B47730"/>
    <w:rsid w:val="00CB0664"/>
    <w:rsid w:val="00EF7A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0341B"/>
  <w14:defaultImageDpi w14:val="300"/>
  <w15:docId w15:val="{FAE8083B-65C6-1D43-9E3C-A2C7FA68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C35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opher.lawrence3@nhs.n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Lawrence</cp:lastModifiedBy>
  <cp:revision>2</cp:revision>
  <dcterms:created xsi:type="dcterms:W3CDTF">2013-12-23T23:15:00Z</dcterms:created>
  <dcterms:modified xsi:type="dcterms:W3CDTF">2026-09-21T13:22:00Z</dcterms:modified>
  <cp:category/>
</cp:coreProperties>
</file>