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9 Harley Street, London W1G 6AL, United Kingdom ORCID 0000-0002-8159-0879 Correspondence: Christopher.lawrence3@nhs.net</w:t>
      </w:r>
    </w:p>
    <w:p>
      <w:r/>
      <w:r>
        <w:rPr>
          <w:b/>
        </w:rPr>
        <w:t>Keywords:</w:t>
      </w:r>
      <w:r>
        <w:t xml:space="preserve"> APOL1; AlphaGenome; DNase-seq; chromatin accessibility; variant prioritisation; reference selection; benchmarking</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rPr>
        <w:t>gnomad_r4</w:t>
      </w:r>
      <w:r>
        <w:t xml:space="preserve">, GRCh38 region query), taking allele counts from the </w:t>
      </w:r>
      <w:r>
        <w:rPr>
          <w:rFonts w:ascii="Menlo" w:hAnsi="Menlo"/>
        </w:rPr>
        <w:t>afr</w:t>
      </w:r>
      <w:r>
        <w:t xml:space="preserve"> block of the genome callset with exome fallback; the raw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contributing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scorer. In client 0.9.0 that is </w:t>
      </w:r>
      <w:r>
        <w:rPr>
          <w:rFonts w:ascii="Menlo" w:hAnsi="Menlo"/>
        </w:rPr>
        <w:t>CenterMaskScorer(requested_output=DNASE, width=501, aggregation_type=DIFF_LOG2_SUM)</w:t>
      </w:r>
      <w: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rPr>
        <w:t>biosample_name</w:t>
      </w:r>
      <w:r>
        <w:t xml:space="preserve"> matches exactly and averages them; exactly one matched for every ranking, so no averaging occurred. The track manifest is deposited. Each variant was scored in a 1,048,576 bp context centred on it (</w:t>
      </w:r>
      <w:r>
        <w:rPr>
          <w:rFonts w:ascii="Menlo" w:hAnsi="Menlo"/>
        </w:rPr>
        <w:t>start = max(0, pos - 524288)</w:t>
      </w:r>
      <w:r>
        <w:t xml:space="preserve">, </w:t>
      </w:r>
      <w:r>
        <w:rPr>
          <w:rFonts w:ascii="Menlo" w:hAnsi="Menlo"/>
        </w:rPr>
        <w:t>pos</w:t>
      </w:r>
      <w:r>
        <w:t xml:space="preserve"> the 1-based gnomAD coordinate). Predictions were obtained on 13 and 15 September 2026. Rankings use the </w:t>
      </w:r>
      <w:r>
        <w:rPr>
          <w:b/>
        </w:rPr>
        <w:t>absolute value of that score</w:t>
      </w:r>
      <w: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distilled from teachers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and make no claim about a held-out evaluation.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r/>
      <w:r>
        <w:rPr>
          <w:b/>
        </w:rPr>
        <w:t>Resampling.</w:t>
      </w:r>
      <w: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rPr>
        <w:t>numpy</w:t>
      </w:r>
      <w: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1,929 alleles against 1,930, because in the 0.10 to 0.20 stratum the test locus required 463 and the control held 462.</w:t>
      </w:r>
    </w:p>
    <w:p>
      <w:pPr>
        <w:pStyle w:val="Heading3"/>
      </w:pPr>
      <w:r>
        <w:t>Results</w:t>
      </w:r>
    </w:p>
    <w:p>
      <w:r/>
      <w:r>
        <w:rPr>
          <w:b/>
        </w:rPr>
        <w:t>Whole-kidney reference.</w:t>
      </w:r>
      <w: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r/>
      <w:r>
        <w:rPr>
          <w:b/>
        </w:rPr>
        <w:t>Podocyte-inclusive union.</w:t>
      </w:r>
      <w: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pPr>
      <w:r>
        <w:t>Discussion</w:t>
      </w:r>
    </w:p>
    <w:p>
      <w: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pPr>
      <w:r>
        <w:t>Limitations</w:t>
      </w:r>
    </w:p>
    <w:p>
      <w:r>
        <w:t>This is an exploratory analysis of one primary locus and one comparison locus,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r>
        <w:t>"Kidney-restricted" is defined by a midpoint rule against six comparison tissues and would change with a different panel or rule.</w:t>
      </w:r>
    </w:p>
    <w:p>
      <w: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archived at Zenodo [11].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During the preparation of this work the author used Claude (Opus 5, Anthropic) to search and verify the published literature, to check quoted figures and citations against primary sources, and to draft and revise the text and analysis code. After using this tool the author reviewed and edited the content as needed and takes full responsibility for the content of the publication. The tool is not listed as an author.</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version v1.0-bmcrn. Zenodo; 2026. doi:10.5281/zenodo.22875737. Also at https://github.com/PatientThread/apol1-alphagenome</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29,989 (12.1)</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44,129 (17.8)</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29,443 (11.9)</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Coverage percentages are of the 247,688 bp evaluated at each locus, computed from the intersection of merged peaks with that interval. Each estimate is specific to the endpoint its row defines.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