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after="0"/>
      </w:pPr>
      <w:r>
        <w:rPr>
          <w:sz w:val="24"/>
        </w:rPr>
        <w:t>Reference choice affects positional enrichment of AlphaGenome variant rankings at APOL1-MYH9</w:t>
      </w:r>
    </w:p>
    <w:p>
      <w:pPr>
        <w:spacing w:line="480" w:lineRule="auto" w:after="0"/>
      </w:pPr>
      <w:r>
        <w:rPr>
          <w:sz w:val="24"/>
        </w:rPr>
      </w:r>
      <w:r>
        <w:rPr>
          <w:b/>
          <w:sz w:val="24"/>
        </w:rPr>
        <w:t>Christopher Lawrence</w:t>
      </w:r>
      <w:r>
        <w:rPr>
          <w:sz w:val="24"/>
        </w:rPr>
        <w:t xml:space="preserve"> Consultant Nephrologist 9 Harley Street, London W1G 6AL, United Kingdom ORCID 0000-0002-8159-0879 Correspondence: Christopher.lawrence3@nhs.net</w:t>
      </w:r>
    </w:p>
    <w:p>
      <w:pPr>
        <w:spacing w:line="480" w:lineRule="auto" w:after="0"/>
      </w:pPr>
      <w:r>
        <w:rPr>
          <w:sz w:val="24"/>
        </w:rPr>
      </w:r>
      <w:r>
        <w:rPr>
          <w:b/>
          <w:sz w:val="24"/>
        </w:rPr>
        <w:t>Keywords:</w:t>
      </w:r>
      <w:r>
        <w:rPr>
          <w:sz w:val="24"/>
        </w:rPr>
        <w:t xml:space="preserve"> APOL1; AlphaGenome; DNase-seq; chromatin accessibility; variant prioritisation; reference selection; benchmarking</w:t>
      </w:r>
    </w:p>
    <w:p>
      <w:pPr>
        <w:pStyle w:val="Heading2"/>
        <w:spacing w:line="480" w:lineRule="auto" w:after="0"/>
      </w:pPr>
      <w:r>
        <w:rPr>
          <w:sz w:val="24"/>
        </w:rPr>
        <w:t>Abstract</w:t>
      </w:r>
    </w:p>
    <w:p>
      <w:pPr>
        <w:spacing w:line="480" w:lineRule="auto" w:after="0"/>
      </w:pPr>
      <w:r>
        <w:rPr>
          <w:sz w:val="24"/>
        </w:rPr>
      </w:r>
      <w:r>
        <w:rPr>
          <w:b/>
          <w:sz w:val="24"/>
        </w:rPr>
        <w:t>Objective.</w:t>
      </w:r>
      <w:r>
        <w:rPr>
          <w:sz w:val="24"/>
        </w:rP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pPr>
        <w:spacing w:line="480" w:lineRule="auto" w:after="0"/>
      </w:pPr>
      <w:r>
        <w:rPr>
          <w:sz w:val="24"/>
        </w:rPr>
      </w:r>
      <w:r>
        <w:rPr>
          <w:b/>
          <w:sz w:val="24"/>
        </w:rPr>
        <w:t>Results.</w:t>
      </w:r>
      <w:r>
        <w:rPr>
          <w:sz w:val="24"/>
        </w:rP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spacing w:line="480" w:lineRule="auto" w:after="0"/>
      </w:pPr>
      <w:r>
        <w:rPr>
          <w:sz w:val="24"/>
        </w:rPr>
        <w:t>Introduction</w:t>
      </w:r>
    </w:p>
    <w:p>
      <w:pPr>
        <w:spacing w:line="480" w:lineRule="auto" w:after="0"/>
      </w:pPr>
      <w:r>
        <w:rPr>
          <w:sz w:val="24"/>
        </w:rP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pPr>
        <w:spacing w:line="480" w:lineRule="auto" w:after="0"/>
      </w:pPr>
      <w:r>
        <w:rPr>
          <w:sz w:val="24"/>
        </w:rP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spacing w:line="480" w:lineRule="auto" w:after="0"/>
      </w:pPr>
      <w:r>
        <w:rPr>
          <w:sz w:val="24"/>
        </w:rPr>
        <w:t>Main text</w:t>
      </w:r>
    </w:p>
    <w:p>
      <w:pPr>
        <w:pStyle w:val="Heading3"/>
        <w:spacing w:line="480" w:lineRule="auto" w:after="0"/>
      </w:pPr>
      <w:r>
        <w:rPr>
          <w:sz w:val="24"/>
        </w:rPr>
        <w:t>Methods</w:t>
      </w:r>
    </w:p>
    <w:p>
      <w:pPr>
        <w:spacing w:line="480" w:lineRule="auto" w:after="0"/>
      </w:pPr>
      <w:r>
        <w:rPr>
          <w:sz w:val="24"/>
        </w:rPr>
      </w:r>
      <w:r>
        <w:rPr>
          <w:b/>
          <w:sz w:val="24"/>
        </w:rPr>
        <w:t>Variants.</w:t>
      </w:r>
      <w:r>
        <w:rPr>
          <w:sz w:val="24"/>
        </w:rP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sz w:val="24"/>
        </w:rPr>
        <w:t>gnomad_r4</w:t>
      </w:r>
      <w:r>
        <w:rPr>
          <w:sz w:val="24"/>
        </w:rPr>
        <w:t xml:space="preserve">, GRCh38 region query), taking allele counts from the </w:t>
      </w:r>
      <w:r>
        <w:rPr>
          <w:rFonts w:ascii="Menlo" w:hAnsi="Menlo"/>
          <w:sz w:val="24"/>
        </w:rPr>
        <w:t>afr</w:t>
      </w:r>
      <w:r>
        <w:rPr>
          <w:sz w:val="24"/>
        </w:rPr>
        <w:t xml:space="preserve"> block of the genome callset with exome fallback; the raw response is deposited. Retaining single-nucleotide substitutions at African-ancestry allele frequency of at least 1% gave </w:t>
      </w:r>
      <w:r>
        <w:rPr>
          <w:b/>
          <w:sz w:val="24"/>
        </w:rPr>
        <w:t>1,930 distinct alternate alleles at 1,921 positions</w:t>
      </w:r>
      <w:r>
        <w:rPr>
          <w:sz w:val="24"/>
        </w:rPr>
        <w:t>. The unit of analysis is a unique build, chromosome, position, REF and ALT combination; nine positions are multi-allelic, contributing two alleles each. A deduplication ledger is deposited.</w:t>
      </w:r>
    </w:p>
    <w:p>
      <w:pPr>
        <w:spacing w:line="480" w:lineRule="auto" w:after="0"/>
      </w:pPr>
      <w:r>
        <w:rPr>
          <w:sz w:val="24"/>
        </w:rPr>
      </w:r>
      <w:r>
        <w:rPr>
          <w:b/>
          <w:sz w:val="24"/>
        </w:rPr>
        <w:t>Predictions.</w:t>
      </w:r>
      <w:r>
        <w:rPr>
          <w:sz w:val="24"/>
        </w:rPr>
        <w:t xml:space="preserve"> Predictions came from the AlphaGenome public API [6] using the </w:t>
      </w:r>
      <w:r>
        <w:rPr>
          <w:rFonts w:ascii="Menlo" w:hAnsi="Menlo"/>
          <w:sz w:val="24"/>
        </w:rPr>
        <w:t>ALL_FOLDS</w:t>
      </w:r>
      <w:r>
        <w:rPr>
          <w:sz w:val="24"/>
        </w:rPr>
        <w:t xml:space="preserve"> model version, the default when none is specified, with the recommended DNase scorer. In client 0.9.0 that is </w:t>
      </w:r>
      <w:r>
        <w:rPr>
          <w:rFonts w:ascii="Menlo" w:hAnsi="Menlo"/>
          <w:sz w:val="24"/>
        </w:rPr>
        <w:t>CenterMaskScorer(requested_output=DNASE, width=501, aggregation_type=DIFF_LOG2_SUM)</w:t>
      </w:r>
      <w:r>
        <w:rPr>
          <w:sz w:val="24"/>
        </w:rP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sz w:val="24"/>
        </w:rPr>
        <w:t>biosample_name</w:t>
      </w:r>
      <w:r>
        <w:rPr>
          <w:sz w:val="24"/>
        </w:rPr>
        <w:t xml:space="preserve"> matches exactly and averages them; exactly one matched for every ranking, so no averaging occurred. The track manifest is deposited. Each variant was scored in a 1,048,576 bp context centred on it (</w:t>
      </w:r>
      <w:r>
        <w:rPr>
          <w:rFonts w:ascii="Menlo" w:hAnsi="Menlo"/>
          <w:sz w:val="24"/>
        </w:rPr>
        <w:t>start = max(0, pos - 524288)</w:t>
      </w:r>
      <w:r>
        <w:rPr>
          <w:sz w:val="24"/>
        </w:rPr>
        <w:t xml:space="preserve">, </w:t>
      </w:r>
      <w:r>
        <w:rPr>
          <w:rFonts w:ascii="Menlo" w:hAnsi="Menlo"/>
          <w:sz w:val="24"/>
        </w:rPr>
        <w:t>pos</w:t>
      </w:r>
      <w:r>
        <w:rPr>
          <w:sz w:val="24"/>
        </w:rPr>
        <w:t xml:space="preserve"> the 1-based gnomAD coordinate). Predictions were obtained on 13 and 15 September 2026. Rankings use the </w:t>
      </w:r>
      <w:r>
        <w:rPr>
          <w:b/>
          <w:sz w:val="24"/>
        </w:rPr>
        <w:t>absolute value of that score</w:t>
      </w:r>
      <w:r>
        <w:rPr>
          <w:sz w:val="24"/>
        </w:rP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pPr>
        <w:spacing w:line="480" w:lineRule="auto" w:after="0"/>
      </w:pPr>
      <w:r>
        <w:rPr>
          <w:sz w:val="24"/>
        </w:rPr>
      </w:r>
      <w:r>
        <w:rPr>
          <w:b/>
          <w:sz w:val="24"/>
        </w:rPr>
        <w:t>This evaluation is not independent of model training.</w:t>
      </w:r>
      <w:r>
        <w:rPr>
          <w:sz w:val="24"/>
        </w:rP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sz w:val="24"/>
        </w:rPr>
        <w:t>ALL_FOLDS</w:t>
      </w:r>
      <w:r>
        <w:rPr>
          <w:sz w:val="24"/>
        </w:rPr>
        <w:t xml:space="preserve"> version is described as distilled from teachers trained across all folds, so no genomic region is held out from it; the API also exposes </w:t>
      </w:r>
      <w:r>
        <w:rPr>
          <w:rFonts w:ascii="Menlo" w:hAnsi="Menlo"/>
          <w:sz w:val="24"/>
        </w:rPr>
        <w:t>FOLD_0</w:t>
      </w:r>
      <w:r>
        <w:rPr>
          <w:sz w:val="24"/>
        </w:rPr>
        <w:t xml:space="preserve"> to </w:t>
      </w:r>
      <w:r>
        <w:rPr>
          <w:rFonts w:ascii="Menlo" w:hAnsi="Menlo"/>
          <w:sz w:val="24"/>
        </w:rPr>
        <w:t>FOLD_3</w:t>
      </w:r>
      <w:r>
        <w:rPr>
          <w:sz w:val="24"/>
        </w:rPr>
        <w:t>. We did not establish which released checkpoint, if any, holds this locus out, and make no claim about a held-out evaluation. What follows are consistency checks between predictions and the data underlying them.</w:t>
      </w:r>
    </w:p>
    <w:p>
      <w:pPr>
        <w:spacing w:line="480" w:lineRule="auto" w:after="0"/>
      </w:pPr>
      <w:r>
        <w:rPr>
          <w:sz w:val="24"/>
        </w:rPr>
      </w:r>
      <w:r>
        <w:rPr>
          <w:b/>
          <w:sz w:val="24"/>
        </w:rPr>
        <w:t>Measured reference sets.</w:t>
      </w:r>
      <w:r>
        <w:rPr>
          <w:sz w:val="24"/>
        </w:rP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sz w:val="24"/>
        </w:rPr>
        <w:t>term_name=kidney</w:t>
      </w:r>
      <w:r>
        <w:rPr>
          <w:sz w:val="24"/>
        </w:rPr>
        <w:t xml:space="preserve">); a </w:t>
      </w:r>
      <w:r>
        <w:rPr>
          <w:b/>
          <w:sz w:val="24"/>
        </w:rPr>
        <w:t>podocyte-inclusive kidney union</w:t>
      </w:r>
      <w:r>
        <w:rPr>
          <w:sz w:val="24"/>
        </w:rPr>
        <w:t xml:space="preserve"> adding </w:t>
      </w:r>
      <w:r>
        <w:rPr>
          <w:rFonts w:ascii="Menlo" w:hAnsi="Menlo"/>
          <w:sz w:val="24"/>
        </w:rPr>
        <w:t>glomerular visceral epithelial cell</w:t>
      </w:r>
      <w:r>
        <w:rPr>
          <w:sz w:val="24"/>
        </w:rPr>
        <w:t xml:space="preserve">; that union partitioned into </w:t>
      </w:r>
      <w:r>
        <w:rPr>
          <w:b/>
          <w:sz w:val="24"/>
        </w:rPr>
        <w:t>kidney-restricted</w:t>
      </w:r>
      <w:r>
        <w:rPr>
          <w:sz w:val="24"/>
        </w:rPr>
        <w:t xml:space="preserve"> and </w:t>
      </w:r>
      <w:r>
        <w:rPr>
          <w:b/>
          <w:sz w:val="24"/>
        </w:rPr>
        <w:t>shared</w:t>
      </w:r>
      <w:r>
        <w:rPr>
          <w:sz w:val="24"/>
        </w:rPr>
        <w:t xml:space="preserve">; and both whole-kidney and podocyte-inclusive definitions at the comparison locus. A merged kidney peak is classified </w:t>
      </w:r>
      <w:r>
        <w:rPr>
          <w:b/>
          <w:sz w:val="24"/>
        </w:rPr>
        <w:t>shared</w:t>
      </w:r>
      <w:r>
        <w:rPr>
          <w:sz w:val="24"/>
        </w:rPr>
        <w:t xml:space="preserve"> if a peak from any of six comparison tissues (liver, lung, heart left ventricle, stomach, spleen, thyroid gland; four files per tissue) </w:t>
      </w:r>
      <w:r>
        <w:rPr>
          <w:b/>
          <w:sz w:val="24"/>
        </w:rPr>
        <w:t>covers its midpoint</w:t>
      </w:r>
      <w:r>
        <w:rPr>
          <w:sz w:val="24"/>
        </w:rPr>
        <w:t xml:space="preserve">, and </w:t>
      </w:r>
      <w:r>
        <w:rPr>
          <w:b/>
          <w:sz w:val="24"/>
        </w:rPr>
        <w:t>kidney-restricted</w:t>
      </w:r>
      <w:r>
        <w:rPr>
          <w:sz w:val="24"/>
        </w:rP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pPr>
        <w:spacing w:line="480" w:lineRule="auto" w:after="0"/>
      </w:pPr>
      <w:r>
        <w:rPr>
          <w:sz w:val="24"/>
        </w:rPr>
      </w:r>
      <w:r>
        <w:rPr>
          <w:b/>
          <w:sz w:val="24"/>
        </w:rPr>
        <w:t>Statistics.</w:t>
      </w:r>
      <w:r>
        <w:rPr>
          <w:sz w:val="24"/>
        </w:rP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pPr>
        <w:spacing w:line="480" w:lineRule="auto" w:after="0"/>
      </w:pPr>
      <w:r>
        <w:rPr>
          <w:sz w:val="24"/>
        </w:rPr>
      </w:r>
      <w:r>
        <w:rPr>
          <w:b/>
          <w:sz w:val="24"/>
        </w:rPr>
        <w:t>Resampling.</w:t>
      </w:r>
      <w:r>
        <w:rPr>
          <w:sz w:val="24"/>
        </w:rP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sz w:val="24"/>
        </w:rPr>
        <w:t>numpy</w:t>
      </w:r>
      <w:r>
        <w:rPr>
          <w:sz w:val="24"/>
        </w:rP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pPr>
        <w:spacing w:line="480" w:lineRule="auto" w:after="0"/>
      </w:pPr>
      <w:r>
        <w:rPr>
          <w:sz w:val="24"/>
        </w:rPr>
      </w:r>
      <w:r>
        <w:rPr>
          <w:b/>
          <w:sz w:val="24"/>
        </w:rPr>
        <w:t>Comparison locus.</w:t>
      </w:r>
      <w:r>
        <w:rPr>
          <w:sz w:val="24"/>
        </w:rPr>
        <w:t xml:space="preserve"> The beta-globin cluster, chr11:5,150,000-5,397,688, matched on length and paralogue-cluster structure and </w:t>
      </w:r>
      <w:r>
        <w:rPr>
          <w:b/>
          <w:sz w:val="24"/>
        </w:rPr>
        <w:t>approximately count-matched</w:t>
      </w:r>
      <w:r>
        <w:rPr>
          <w:sz w:val="24"/>
        </w:rPr>
        <w:t xml:space="preserve"> by subsampling stratified on African-ancestry allele frequency in eight bins: 1,929 alleles against 1,930, because in the 0.10 to 0.20 stratum the test locus required 463 and the control held 462.</w:t>
      </w:r>
    </w:p>
    <w:p>
      <w:pPr>
        <w:pStyle w:val="Heading3"/>
        <w:spacing w:line="480" w:lineRule="auto" w:after="0"/>
      </w:pPr>
      <w:r>
        <w:rPr>
          <w:sz w:val="24"/>
        </w:rPr>
        <w:t>Results</w:t>
      </w:r>
    </w:p>
    <w:p>
      <w:pPr>
        <w:spacing w:line="480" w:lineRule="auto" w:after="0"/>
      </w:pPr>
      <w:r>
        <w:rPr>
          <w:sz w:val="24"/>
        </w:rPr>
      </w:r>
      <w:r>
        <w:rPr>
          <w:b/>
          <w:sz w:val="24"/>
        </w:rPr>
        <w:t>Whole-kidney reference.</w:t>
      </w:r>
      <w:r>
        <w:rPr>
          <w:sz w:val="24"/>
        </w:rP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pPr>
        <w:spacing w:line="480" w:lineRule="auto" w:after="0"/>
      </w:pPr>
      <w:r>
        <w:rPr>
          <w:sz w:val="24"/>
        </w:rPr>
      </w:r>
      <w:r>
        <w:rPr>
          <w:b/>
          <w:sz w:val="24"/>
        </w:rPr>
        <w:t>Podocyte-inclusive union.</w:t>
      </w:r>
      <w:r>
        <w:rPr>
          <w:sz w:val="24"/>
        </w:rP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pPr>
        <w:spacing w:line="480" w:lineRule="auto" w:after="0"/>
      </w:pPr>
      <w:r>
        <w:rPr>
          <w:sz w:val="24"/>
        </w:rPr>
      </w:r>
      <w:r>
        <w:rPr>
          <w:b/>
          <w:sz w:val="24"/>
        </w:rPr>
        <w:t>Partitions.</w:t>
      </w:r>
      <w:r>
        <w:rPr>
          <w:sz w:val="24"/>
        </w:rP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pPr>
        <w:spacing w:line="480" w:lineRule="auto" w:after="0"/>
      </w:pPr>
      <w:r>
        <w:rPr>
          <w:sz w:val="24"/>
        </w:rPr>
      </w:r>
      <w:r>
        <w:rPr>
          <w:b/>
          <w:sz w:val="24"/>
        </w:rPr>
        <w:t>Comparison locus.</w:t>
      </w:r>
      <w:r>
        <w:rPr>
          <w:sz w:val="24"/>
        </w:rPr>
        <w:t xml:space="preserve"> Against whole-kidney peaks the beta-globin cluster gave 1.44 (0.16-6.56, one-sided p = 0.43; 10 peaks, 2,598 bp). Against the podocyte-inclusive union it gave 7.54 (3.66-15.31; 18 peaks, 5,851 bp). Positional enrichment is therefore </w:t>
      </w:r>
      <w:r>
        <w:rPr>
          <w:b/>
          <w:sz w:val="24"/>
        </w:rPr>
        <w:t>also observed at the comparison locus</w:t>
      </w:r>
      <w:r>
        <w:rPr>
          <w:sz w:val="24"/>
        </w:rP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spacing w:line="480" w:lineRule="auto" w:after="0"/>
      </w:pPr>
      <w:r>
        <w:rPr>
          <w:sz w:val="24"/>
        </w:rPr>
        <w:t>Discussion</w:t>
      </w:r>
    </w:p>
    <w:p>
      <w:pPr>
        <w:spacing w:line="480" w:lineRule="auto" w:after="0"/>
      </w:pPr>
      <w:r>
        <w:rPr>
          <w:sz w:val="24"/>
        </w:rP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pPr>
        <w:spacing w:line="480" w:lineRule="auto" w:after="0"/>
      </w:pPr>
      <w:r>
        <w:rPr>
          <w:sz w:val="24"/>
        </w:rP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pPr>
        <w:spacing w:line="480" w:lineRule="auto" w:after="0"/>
      </w:pPr>
      <w:r>
        <w:rPr>
          <w:sz w:val="24"/>
        </w:rP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spacing w:line="480" w:lineRule="auto" w:after="0"/>
      </w:pPr>
      <w:r>
        <w:rPr>
          <w:sz w:val="24"/>
        </w:rPr>
        <w:t>Limitations</w:t>
      </w:r>
    </w:p>
    <w:p>
      <w:pPr>
        <w:spacing w:line="480" w:lineRule="auto" w:after="0"/>
      </w:pPr>
      <w:r>
        <w:rPr>
          <w:sz w:val="24"/>
        </w:rPr>
        <w:t>This is an exploratory analysis of one primary locus and one comparison locus, with no pre-registered plan, and the comparisons reported were arrived at iteratively.</w:t>
      </w:r>
    </w:p>
    <w:p>
      <w:pPr>
        <w:spacing w:line="480" w:lineRule="auto" w:after="0"/>
      </w:pPr>
      <w:r>
        <w:rPr>
          <w:sz w:val="24"/>
        </w:rP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pPr>
        <w:spacing w:line="480" w:lineRule="auto" w:after="0"/>
      </w:pPr>
      <w:r>
        <w:rPr>
          <w:sz w:val="24"/>
        </w:rP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pPr>
        <w:spacing w:line="480" w:lineRule="auto" w:after="0"/>
      </w:pPr>
      <w:r>
        <w:rPr>
          <w:sz w:val="24"/>
        </w:rP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pPr>
        <w:spacing w:line="480" w:lineRule="auto" w:after="0"/>
      </w:pPr>
      <w:r>
        <w:rPr>
          <w:sz w:val="24"/>
        </w:rPr>
        <w:t>"Kidney-restricted" is defined by a midpoint rule against six comparison tissues and would change with a different panel or rule.</w:t>
      </w:r>
    </w:p>
    <w:p>
      <w:pPr>
        <w:spacing w:line="480" w:lineRule="auto" w:after="0"/>
      </w:pPr>
      <w:r>
        <w:rPr>
          <w:sz w:val="24"/>
        </w:rP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spacing w:line="480" w:lineRule="auto" w:after="0"/>
      </w:pPr>
      <w:r>
        <w:rPr>
          <w:sz w:val="24"/>
        </w:rPr>
        <w:t>Conclusion</w:t>
      </w:r>
    </w:p>
    <w:p>
      <w:pPr>
        <w:spacing w:line="480" w:lineRule="auto" w:after="0"/>
      </w:pPr>
      <w:r>
        <w:rPr>
          <w:sz w:val="24"/>
        </w:rP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spacing w:line="480" w:lineRule="auto" w:after="0"/>
      </w:pPr>
      <w:r>
        <w:rPr>
          <w:sz w:val="24"/>
        </w:rPr>
        <w:t>Abbreviations</w:t>
      </w:r>
    </w:p>
    <w:p>
      <w:pPr>
        <w:spacing w:line="480" w:lineRule="auto" w:after="0"/>
      </w:pPr>
      <w:r>
        <w:rPr>
          <w:sz w:val="24"/>
        </w:rP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spacing w:line="480" w:lineRule="auto" w:after="0"/>
      </w:pPr>
      <w:r>
        <w:rPr>
          <w:sz w:val="24"/>
        </w:rPr>
        <w:t>Declarations</w:t>
      </w:r>
    </w:p>
    <w:p>
      <w:pPr>
        <w:spacing w:line="480" w:lineRule="auto" w:after="0"/>
      </w:pPr>
      <w:r>
        <w:rPr>
          <w:sz w:val="24"/>
        </w:rPr>
      </w:r>
      <w:r>
        <w:rPr>
          <w:b/>
          <w:sz w:val="24"/>
        </w:rPr>
        <w:t>Ethics approval and consent to participate.</w:t>
      </w:r>
      <w:r>
        <w:rPr>
          <w:sz w:val="24"/>
        </w:rPr>
        <w:t xml:space="preserve"> Not applicable. No new participant data were collected; the study analysed existing publicly available ENCODE and gnomAD data together with model predictions.</w:t>
      </w:r>
    </w:p>
    <w:p>
      <w:pPr>
        <w:spacing w:line="480" w:lineRule="auto" w:after="0"/>
      </w:pPr>
      <w:r>
        <w:rPr>
          <w:sz w:val="24"/>
        </w:rPr>
      </w:r>
      <w:r>
        <w:rPr>
          <w:b/>
          <w:sz w:val="24"/>
        </w:rPr>
        <w:t>Consent for publication.</w:t>
      </w:r>
      <w:r>
        <w:rPr>
          <w:sz w:val="24"/>
        </w:rPr>
        <w:t xml:space="preserve"> Not applicable.</w:t>
      </w:r>
    </w:p>
    <w:p>
      <w:pPr>
        <w:spacing w:line="480" w:lineRule="auto" w:after="0"/>
      </w:pPr>
      <w:r>
        <w:rPr>
          <w:sz w:val="24"/>
        </w:rPr>
      </w:r>
      <w:r>
        <w:rPr>
          <w:b/>
          <w:sz w:val="24"/>
        </w:rPr>
        <w:t>Availability of data and materials.</w:t>
      </w:r>
      <w:r>
        <w:rPr>
          <w:sz w:val="24"/>
        </w:rPr>
        <w:t xml:space="preserve"> Variant frequencies are from gnomAD v4 [8, 9] and peak calls from the ENCODE portal [10]. All analysis code, the frozen allele ledger, per-variant predictions, contingency counts for every endpoint, the ENCODE peak manifest, the track manifest, partition labels, the ranking provenance record, the six change-in-contrast estimates with intervals, and the bootstrap stability table are archived at Zenodo [11]. Model predictions were obtained under AlphaGenome's non-commercial research terms and are redistributed subject to them; model weights were not accessed.</w:t>
      </w:r>
    </w:p>
    <w:p>
      <w:pPr>
        <w:spacing w:line="480" w:lineRule="auto" w:after="0"/>
      </w:pPr>
      <w:r>
        <w:rPr>
          <w:sz w:val="24"/>
        </w:rPr>
      </w:r>
      <w:r>
        <w:rPr>
          <w:b/>
          <w:sz w:val="24"/>
        </w:rPr>
        <w:t>Competing interests.</w:t>
      </w:r>
      <w:r>
        <w:rPr>
          <w:sz w:val="24"/>
        </w:rPr>
        <w:t xml:space="preserve"> The author declares no competing interests.</w:t>
      </w:r>
    </w:p>
    <w:p>
      <w:pPr>
        <w:spacing w:line="480" w:lineRule="auto" w:after="0"/>
      </w:pPr>
      <w:r>
        <w:rPr>
          <w:sz w:val="24"/>
        </w:rPr>
      </w:r>
      <w:r>
        <w:rPr>
          <w:b/>
          <w:sz w:val="24"/>
        </w:rPr>
        <w:t>Funding.</w:t>
      </w:r>
      <w:r>
        <w:rPr>
          <w:sz w:val="24"/>
        </w:rPr>
        <w:t xml:space="preserve"> No funding was received.</w:t>
      </w:r>
    </w:p>
    <w:p>
      <w:pPr>
        <w:spacing w:line="480" w:lineRule="auto" w:after="0"/>
      </w:pPr>
      <w:r>
        <w:rPr>
          <w:sz w:val="24"/>
        </w:rPr>
      </w:r>
      <w:r>
        <w:rPr>
          <w:b/>
          <w:sz w:val="24"/>
        </w:rPr>
        <w:t>Authors' contributions.</w:t>
      </w:r>
      <w:r>
        <w:rPr>
          <w:sz w:val="24"/>
        </w:rPr>
        <w:t xml:space="preserve"> CL is the sole author and conceived the study, wrote the code, performed the analyses and wrote the manuscript.</w:t>
      </w:r>
    </w:p>
    <w:p>
      <w:pPr>
        <w:spacing w:line="480" w:lineRule="auto" w:after="0"/>
      </w:pPr>
      <w:r>
        <w:rPr>
          <w:sz w:val="24"/>
        </w:rPr>
      </w:r>
      <w:r>
        <w:rPr>
          <w:b/>
          <w:sz w:val="24"/>
        </w:rPr>
        <w:t>Acknowledgements.</w:t>
      </w:r>
      <w:r>
        <w:rPr>
          <w:sz w:val="24"/>
        </w:rPr>
        <w:t xml:space="preserve"> During the preparation of this work the author used Claude (Opus 5, Anthropic) to search and verify the published literature, to check quoted figures and citations against primary sources, and to draft and revise the text and analysis code. After using this tool the author reviewed and edited the content as needed and takes full responsibility for the content of the publication. The tool is not listed as an author.</w:t>
      </w:r>
    </w:p>
    <w:p>
      <w:pPr>
        <w:pStyle w:val="Heading2"/>
        <w:spacing w:line="480" w:lineRule="auto" w:after="0"/>
      </w:pPr>
      <w:r>
        <w:rPr>
          <w:sz w:val="24"/>
        </w:rPr>
        <w:t>References</w:t>
      </w:r>
    </w:p>
    <w:p>
      <w:pPr>
        <w:pStyle w:val="ListNumber"/>
        <w:spacing w:line="480" w:lineRule="auto" w:after="0"/>
      </w:pPr>
      <w:r>
        <w:rPr>
          <w:sz w:val="24"/>
        </w:rPr>
        <w:t>Genovese G, Friedman DJ, Ross MD, Lecordier L, Uzureau P, Freedman BI, et al. Association of trypanolytic ApoL1 variants with kidney disease in African Americans. Science. 2010;329:841-5.</w:t>
      </w:r>
    </w:p>
    <w:p>
      <w:pPr>
        <w:pStyle w:val="ListNumber"/>
        <w:spacing w:line="480" w:lineRule="auto" w:after="0"/>
      </w:pPr>
      <w:r>
        <w:rPr>
          <w:sz w:val="24"/>
        </w:rPr>
        <w:t>Kopp JB, Smith MW, Nelson GW, Johnson RC, Freedman BI, Bowden DW, et al. MYH9 is a major-effect risk gene for focal segmental glomerulosclerosis. Nat Genet. 2008;40:1175-84.</w:t>
      </w:r>
    </w:p>
    <w:p>
      <w:pPr>
        <w:pStyle w:val="ListNumber"/>
        <w:spacing w:line="480" w:lineRule="auto" w:after="0"/>
      </w:pPr>
      <w:r>
        <w:rPr>
          <w:sz w:val="24"/>
        </w:rPr>
        <w:t>Beckerman P, Bi-Karchin J, Park AS, Qiu C, Dummer PD, Soomro I, et al. Transgenic expression of human APOL1 risk variants in podocytes induces kidney disease in mice. Nat Med. 2017;23:429-38.</w:t>
      </w:r>
    </w:p>
    <w:p>
      <w:pPr>
        <w:pStyle w:val="ListNumber"/>
        <w:spacing w:line="480" w:lineRule="auto" w:after="0"/>
      </w:pPr>
      <w:r>
        <w:rPr>
          <w:sz w:val="24"/>
        </w:rPr>
        <w:t>Ojo AO, Adu D, Bramham K, Freedman BI, Gbadegesin RA, Ilori TO, et al. APOL1 kidney disease: conclusions from a Kidney Disease: Improving Global Outcomes (KDIGO) Controversies Conference. Kidney Int. 2025;108:763-79.</w:t>
      </w:r>
    </w:p>
    <w:p>
      <w:pPr>
        <w:pStyle w:val="ListNumber"/>
        <w:spacing w:line="480" w:lineRule="auto" w:after="0"/>
      </w:pPr>
      <w:r>
        <w:rPr>
          <w:sz w:val="24"/>
        </w:rPr>
        <w:t>Linder J, Srivastava D, Yuan H, Agarwal V, Kelley DR. Predicting RNA-seq coverage from DNA sequence as a unifying model of gene regulation. Nat Genet. 2025;57:949-61.</w:t>
      </w:r>
    </w:p>
    <w:p>
      <w:pPr>
        <w:pStyle w:val="ListNumber"/>
        <w:spacing w:line="480" w:lineRule="auto" w:after="0"/>
      </w:pPr>
      <w:r>
        <w:rPr>
          <w:sz w:val="24"/>
        </w:rPr>
        <w:t>Avsec Ž, Latysheva N, Cheng J, Novati G, Taylor KR, Ward T, et al. Advancing regulatory variant effect prediction with AlphaGenome. Nature. 2026;649:1206-18.</w:t>
      </w:r>
    </w:p>
    <w:p>
      <w:pPr>
        <w:pStyle w:val="ListNumber"/>
        <w:spacing w:line="480" w:lineRule="auto" w:after="0"/>
      </w:pPr>
      <w:r>
        <w:rPr>
          <w:sz w:val="24"/>
        </w:rPr>
        <w:t>Kathail P, Shuai RW, Chung R, Ye CJ, Loeb GB, Ioannidis NM. Current genomic deep learning models display decreased performance in cell type-specific accessible regions. Genome Biol. 2024;25:202.</w:t>
      </w:r>
    </w:p>
    <w:p>
      <w:pPr>
        <w:pStyle w:val="ListNumber"/>
        <w:spacing w:line="480" w:lineRule="auto" w:after="0"/>
      </w:pPr>
      <w:r>
        <w:rPr>
          <w:sz w:val="24"/>
        </w:rPr>
        <w:t>Chen S, Francioli LC, Goodrich JK, Collins RL, Kanai M, Wang Q, et al. A genomic mutational constraint map using variation in 76,156 human genomes. Nature. 2024;625:92-100.</w:t>
      </w:r>
    </w:p>
    <w:p>
      <w:pPr>
        <w:pStyle w:val="ListNumber"/>
        <w:spacing w:line="480" w:lineRule="auto" w:after="0"/>
      </w:pPr>
      <w:r>
        <w:rPr>
          <w:sz w:val="24"/>
        </w:rPr>
        <w:t xml:space="preserve">Genome Aggregation Database. gnomAD v4, GraphQL API dataset identifier </w:t>
      </w:r>
      <w:r>
        <w:rPr>
          <w:rFonts w:ascii="Menlo" w:hAnsi="Menlo"/>
          <w:sz w:val="24"/>
        </w:rPr>
        <w:t>gnomad_r4</w:t>
      </w:r>
      <w:r>
        <w:rPr>
          <w:sz w:val="24"/>
        </w:rPr>
        <w:t xml:space="preserve">, GRCh38 region query, </w:t>
      </w:r>
      <w:r>
        <w:rPr>
          <w:rFonts w:ascii="Menlo" w:hAnsi="Menlo"/>
          <w:sz w:val="24"/>
        </w:rPr>
        <w:t>afr</w:t>
      </w:r>
      <w:r>
        <w:rPr>
          <w:sz w:val="24"/>
        </w:rPr>
        <w:t xml:space="preserve"> genetic-ancestry group, genome callset with exome fallback. https://gnomad.broadinstitute.org/api (accessed 13 September 2026). The raw API response is deposited with the analysis archive.</w:t>
      </w:r>
    </w:p>
    <w:p>
      <w:pPr>
        <w:pStyle w:val="ListNumber"/>
        <w:spacing w:line="480" w:lineRule="auto" w:after="0"/>
      </w:pPr>
      <w:r>
        <w:rPr>
          <w:sz w:val="24"/>
        </w:rPr>
        <w:t>ENCODE Project Consortium. Expanded encyclopaedias of DNA elements in the human and mouse genomes. Nature. 2020;583:699-710. Individual experiment and file accessions are listed in the deposited peak manifest.</w:t>
      </w:r>
    </w:p>
    <w:p>
      <w:pPr>
        <w:pStyle w:val="ListNumber"/>
        <w:spacing w:line="480" w:lineRule="auto" w:after="0"/>
      </w:pPr>
      <w:r>
        <w:rPr>
          <w:sz w:val="24"/>
        </w:rPr>
        <w:t>Lawrence C. apol1-alphagenome: analysis code and frozen results, version v1.0-bmcrn. Zenodo; 2026. doi:10.5281/zenodo.22875737. Also at https://github.com/PatientThread/apol1-alphagenome</w:t>
      </w:r>
    </w:p>
    <w:p>
      <w:pPr>
        <w:pStyle w:val="Heading2"/>
        <w:spacing w:line="480" w:lineRule="auto" w:after="0"/>
      </w:pPr>
      <w:r>
        <w:rPr>
          <w:sz w:val="24"/>
        </w:rPr>
        <w:t>Figure legends</w:t>
      </w:r>
    </w:p>
    <w:p>
      <w:pPr>
        <w:spacing w:line="480" w:lineRule="auto" w:after="0"/>
      </w:pPr>
      <w:r>
        <w:rPr>
          <w:sz w:val="24"/>
        </w:rPr>
      </w:r>
      <w:r>
        <w:rPr>
          <w:b/>
          <w:sz w:val="24"/>
        </w:rPr>
        <w:t>Figure 1.</w:t>
      </w:r>
      <w:r>
        <w:rPr>
          <w:sz w:val="24"/>
        </w:rP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pPr>
        <w:spacing w:line="480" w:lineRule="auto" w:after="0"/>
      </w:pPr>
      <w:r>
        <w:rPr>
          <w:sz w:val="24"/>
        </w:rPr>
      </w:r>
      <w:r>
        <w:rPr>
          <w:b/>
          <w:sz w:val="24"/>
        </w:rPr>
        <w:t>Figure 2.</w:t>
      </w:r>
      <w:r>
        <w:rPr>
          <w:sz w:val="24"/>
        </w:rP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spacing w:line="480" w:lineRule="auto" w:after="0"/>
      </w:pPr>
      <w:r>
        <w:rPr>
          <w:sz w:val="24"/>
        </w:rPr>
        <w:t>Tables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shd w:val="clear" w:fill="auto"/>
          </w:tcPr>
          <w:p>
            <w:pPr>
              <w:spacing w:line="240" w:lineRule="auto"/>
            </w:pPr>
            <w:r>
              <w:t>Locus</w:t>
            </w:r>
          </w:p>
        </w:tc>
        <w:tc>
          <w:tcPr>
            <w:tcW w:type="dxa" w:w="1234"/>
            <w:shd w:val="clear" w:fill="auto"/>
          </w:tcPr>
          <w:p>
            <w:pPr>
              <w:spacing w:line="240" w:lineRule="auto"/>
            </w:pPr>
            <w:r>
              <w:t>Reference set</w:t>
            </w:r>
          </w:p>
        </w:tc>
        <w:tc>
          <w:tcPr>
            <w:tcW w:type="dxa" w:w="1234"/>
            <w:shd w:val="clear" w:fill="auto"/>
          </w:tcPr>
          <w:p>
            <w:pPr>
              <w:spacing w:line="240" w:lineRule="auto"/>
            </w:pPr>
            <w:r>
              <w:t>Peaks</w:t>
            </w:r>
          </w:p>
        </w:tc>
        <w:tc>
          <w:tcPr>
            <w:tcW w:type="dxa" w:w="1234"/>
            <w:shd w:val="clear" w:fill="auto"/>
          </w:tcPr>
          <w:p>
            <w:pPr>
              <w:spacing w:line="240" w:lineRule="auto"/>
            </w:pPr>
            <w:r>
              <w:t>bp (% locus)</w:t>
            </w:r>
          </w:p>
        </w:tc>
        <w:tc>
          <w:tcPr>
            <w:tcW w:type="dxa" w:w="1234"/>
            <w:shd w:val="clear" w:fill="auto"/>
          </w:tcPr>
          <w:p>
            <w:pPr>
              <w:spacing w:line="240" w:lineRule="auto"/>
            </w:pPr>
            <w:r>
              <w:t>n</w:t>
            </w:r>
          </w:p>
        </w:tc>
        <w:tc>
          <w:tcPr>
            <w:tcW w:type="dxa" w:w="1234"/>
            <w:shd w:val="clear" w:fill="auto"/>
          </w:tcPr>
          <w:p>
            <w:pPr>
              <w:spacing w:line="240" w:lineRule="auto"/>
            </w:pPr>
            <w:r>
              <w:t>Podocyte OR (95% CI)</w:t>
            </w:r>
          </w:p>
        </w:tc>
        <w:tc>
          <w:tcPr>
            <w:tcW w:type="dxa" w:w="1234"/>
            <w:shd w:val="clear" w:fill="auto"/>
          </w:tcPr>
          <w:p>
            <w:pPr>
              <w:spacing w:line="240" w:lineRule="auto"/>
            </w:pPr>
            <w:r>
              <w:t>Strongest non-renal OR (95% CI)</w:t>
            </w:r>
          </w:p>
        </w:tc>
      </w:tr>
      <w:tr>
        <w:tc>
          <w:tcPr>
            <w:tcW w:type="dxa" w:w="1234"/>
            <w:shd w:val="clear" w:fill="auto"/>
          </w:tcPr>
          <w:p>
            <w:pPr>
              <w:spacing w:line="240" w:lineRule="auto"/>
            </w:pPr>
            <w:r>
              <w:t>APOL1-MYH9</w:t>
            </w:r>
          </w:p>
        </w:tc>
        <w:tc>
          <w:tcPr>
            <w:tcW w:type="dxa" w:w="1234"/>
            <w:shd w:val="clear" w:fill="auto"/>
          </w:tcPr>
          <w:p>
            <w:pPr>
              <w:spacing w:line="240" w:lineRule="auto"/>
            </w:pPr>
            <w:r>
              <w:t>Whole kidney</w:t>
            </w:r>
          </w:p>
        </w:tc>
        <w:tc>
          <w:tcPr>
            <w:tcW w:type="dxa" w:w="1234"/>
            <w:shd w:val="clear" w:fill="auto"/>
          </w:tcPr>
          <w:p>
            <w:pPr>
              <w:spacing w:line="240" w:lineRule="auto"/>
            </w:pPr>
            <w:r>
              <w:t>67</w:t>
            </w:r>
          </w:p>
        </w:tc>
        <w:tc>
          <w:tcPr>
            <w:tcW w:type="dxa" w:w="1234"/>
            <w:shd w:val="clear" w:fill="auto"/>
          </w:tcPr>
          <w:p>
            <w:pPr>
              <w:spacing w:line="240" w:lineRule="auto"/>
            </w:pPr>
            <w:r>
              <w:t>29989 (12.1)</w:t>
            </w:r>
          </w:p>
        </w:tc>
        <w:tc>
          <w:tcPr>
            <w:tcW w:type="dxa" w:w="1234"/>
            <w:shd w:val="clear" w:fill="auto"/>
          </w:tcPr>
          <w:p>
            <w:pPr>
              <w:spacing w:line="240" w:lineRule="auto"/>
            </w:pPr>
            <w:r>
              <w:t>1930</w:t>
            </w:r>
          </w:p>
        </w:tc>
        <w:tc>
          <w:tcPr>
            <w:tcW w:type="dxa" w:w="1234"/>
            <w:shd w:val="clear" w:fill="auto"/>
          </w:tcPr>
          <w:p>
            <w:pPr>
              <w:spacing w:line="240" w:lineRule="auto"/>
            </w:pPr>
            <w:r>
              <w:t>5.98 (4.18-8.52)</w:t>
            </w:r>
          </w:p>
        </w:tc>
        <w:tc>
          <w:tcPr>
            <w:tcW w:type="dxa" w:w="1234"/>
            <w:shd w:val="clear" w:fill="auto"/>
          </w:tcPr>
          <w:p>
            <w:pPr>
              <w:spacing w:line="240" w:lineRule="auto"/>
            </w:pPr>
            <w:r>
              <w:t>lung 5.46 (3.81-7.79)</w:t>
            </w:r>
          </w:p>
        </w:tc>
      </w:tr>
      <w:tr>
        <w:tc>
          <w:tcPr>
            <w:tcW w:type="dxa" w:w="1234"/>
            <w:shd w:val="clear" w:fill="auto"/>
          </w:tcPr>
          <w:p>
            <w:pPr>
              <w:spacing w:line="240" w:lineRule="auto"/>
            </w:pPr>
            <w:r>
              <w:t>APOL1-MYH9</w:t>
            </w:r>
          </w:p>
        </w:tc>
        <w:tc>
          <w:tcPr>
            <w:tcW w:type="dxa" w:w="1234"/>
            <w:shd w:val="clear" w:fill="auto"/>
          </w:tcPr>
          <w:p>
            <w:pPr>
              <w:spacing w:line="240" w:lineRule="auto"/>
            </w:pPr>
            <w:r>
              <w:t>Podocyte-inclusive union</w:t>
            </w:r>
          </w:p>
        </w:tc>
        <w:tc>
          <w:tcPr>
            <w:tcW w:type="dxa" w:w="1234"/>
            <w:shd w:val="clear" w:fill="auto"/>
          </w:tcPr>
          <w:p>
            <w:pPr>
              <w:spacing w:line="240" w:lineRule="auto"/>
            </w:pPr>
            <w:r>
              <w:t>110</w:t>
            </w:r>
          </w:p>
        </w:tc>
        <w:tc>
          <w:tcPr>
            <w:tcW w:type="dxa" w:w="1234"/>
            <w:shd w:val="clear" w:fill="auto"/>
          </w:tcPr>
          <w:p>
            <w:pPr>
              <w:spacing w:line="240" w:lineRule="auto"/>
            </w:pPr>
            <w:r>
              <w:t>44129 (17.8)</w:t>
            </w:r>
          </w:p>
        </w:tc>
        <w:tc>
          <w:tcPr>
            <w:tcW w:type="dxa" w:w="1234"/>
            <w:shd w:val="clear" w:fill="auto"/>
          </w:tcPr>
          <w:p>
            <w:pPr>
              <w:spacing w:line="240" w:lineRule="auto"/>
            </w:pPr>
            <w:r>
              <w:t>1930</w:t>
            </w:r>
          </w:p>
        </w:tc>
        <w:tc>
          <w:tcPr>
            <w:tcW w:type="dxa" w:w="1234"/>
            <w:shd w:val="clear" w:fill="auto"/>
          </w:tcPr>
          <w:p>
            <w:pPr>
              <w:spacing w:line="240" w:lineRule="auto"/>
            </w:pPr>
            <w:r>
              <w:t>8.76 (6.30-12.20)</w:t>
            </w:r>
          </w:p>
        </w:tc>
        <w:tc>
          <w:tcPr>
            <w:tcW w:type="dxa" w:w="1234"/>
            <w:shd w:val="clear" w:fill="auto"/>
          </w:tcPr>
          <w:p>
            <w:pPr>
              <w:spacing w:line="240" w:lineRule="auto"/>
            </w:pPr>
            <w:r>
              <w:t>lung 5.61 (4.02-7.81)</w:t>
            </w:r>
          </w:p>
        </w:tc>
      </w:tr>
      <w:tr>
        <w:tc>
          <w:tcPr>
            <w:tcW w:type="dxa" w:w="1234"/>
            <w:shd w:val="clear" w:fill="auto"/>
          </w:tcPr>
          <w:p>
            <w:pPr>
              <w:spacing w:line="240" w:lineRule="auto"/>
            </w:pPr>
            <w:r>
              <w:t>APOL1-MYH9</w:t>
            </w:r>
          </w:p>
        </w:tc>
        <w:tc>
          <w:tcPr>
            <w:tcW w:type="dxa" w:w="1234"/>
            <w:shd w:val="clear" w:fill="auto"/>
          </w:tcPr>
          <w:p>
            <w:pPr>
              <w:spacing w:line="240" w:lineRule="auto"/>
            </w:pPr>
            <w:r>
              <w:t>Union, kidney-restricted</w:t>
            </w:r>
          </w:p>
        </w:tc>
        <w:tc>
          <w:tcPr>
            <w:tcW w:type="dxa" w:w="1234"/>
            <w:shd w:val="clear" w:fill="auto"/>
          </w:tcPr>
          <w:p>
            <w:pPr>
              <w:spacing w:line="240" w:lineRule="auto"/>
            </w:pPr>
            <w:r>
              <w:t>39</w:t>
            </w:r>
          </w:p>
        </w:tc>
        <w:tc>
          <w:tcPr>
            <w:tcW w:type="dxa" w:w="1234"/>
            <w:shd w:val="clear" w:fill="auto"/>
          </w:tcPr>
          <w:p>
            <w:pPr>
              <w:spacing w:line="240" w:lineRule="auto"/>
            </w:pPr>
            <w:r>
              <w:t>14686 (5.9)</w:t>
            </w:r>
          </w:p>
        </w:tc>
        <w:tc>
          <w:tcPr>
            <w:tcW w:type="dxa" w:w="1234"/>
            <w:shd w:val="clear" w:fill="auto"/>
          </w:tcPr>
          <w:p>
            <w:pPr>
              <w:spacing w:line="240" w:lineRule="auto"/>
            </w:pPr>
            <w:r>
              <w:t>1930</w:t>
            </w:r>
          </w:p>
        </w:tc>
        <w:tc>
          <w:tcPr>
            <w:tcW w:type="dxa" w:w="1234"/>
            <w:shd w:val="clear" w:fill="auto"/>
          </w:tcPr>
          <w:p>
            <w:pPr>
              <w:spacing w:line="240" w:lineRule="auto"/>
            </w:pPr>
            <w:r>
              <w:t>4.30 (2.53-7.15)</w:t>
            </w:r>
          </w:p>
        </w:tc>
        <w:tc>
          <w:tcPr>
            <w:tcW w:type="dxa" w:w="1234"/>
            <w:shd w:val="clear" w:fill="auto"/>
          </w:tcPr>
          <w:p>
            <w:pPr>
              <w:spacing w:line="240" w:lineRule="auto"/>
            </w:pPr>
            <w:r>
              <w:t>lung 2.49 (1.36-4.36)</w:t>
            </w:r>
          </w:p>
        </w:tc>
      </w:tr>
      <w:tr>
        <w:tc>
          <w:tcPr>
            <w:tcW w:type="dxa" w:w="1234"/>
            <w:shd w:val="clear" w:fill="auto"/>
          </w:tcPr>
          <w:p>
            <w:pPr>
              <w:spacing w:line="240" w:lineRule="auto"/>
            </w:pPr>
            <w:r>
              <w:t>APOL1-MYH9</w:t>
            </w:r>
          </w:p>
        </w:tc>
        <w:tc>
          <w:tcPr>
            <w:tcW w:type="dxa" w:w="1234"/>
            <w:shd w:val="clear" w:fill="auto"/>
          </w:tcPr>
          <w:p>
            <w:pPr>
              <w:spacing w:line="240" w:lineRule="auto"/>
            </w:pPr>
            <w:r>
              <w:t>Union, shared</w:t>
            </w:r>
          </w:p>
        </w:tc>
        <w:tc>
          <w:tcPr>
            <w:tcW w:type="dxa" w:w="1234"/>
            <w:shd w:val="clear" w:fill="auto"/>
          </w:tcPr>
          <w:p>
            <w:pPr>
              <w:spacing w:line="240" w:lineRule="auto"/>
            </w:pPr>
            <w:r>
              <w:t>71</w:t>
            </w:r>
          </w:p>
        </w:tc>
        <w:tc>
          <w:tcPr>
            <w:tcW w:type="dxa" w:w="1234"/>
            <w:shd w:val="clear" w:fill="auto"/>
          </w:tcPr>
          <w:p>
            <w:pPr>
              <w:spacing w:line="240" w:lineRule="auto"/>
            </w:pPr>
            <w:r>
              <w:t>29443 (11.9)</w:t>
            </w:r>
          </w:p>
        </w:tc>
        <w:tc>
          <w:tcPr>
            <w:tcW w:type="dxa" w:w="1234"/>
            <w:shd w:val="clear" w:fill="auto"/>
          </w:tcPr>
          <w:p>
            <w:pPr>
              <w:spacing w:line="240" w:lineRule="auto"/>
            </w:pPr>
            <w:r>
              <w:t>1930</w:t>
            </w:r>
          </w:p>
        </w:tc>
        <w:tc>
          <w:tcPr>
            <w:tcW w:type="dxa" w:w="1234"/>
            <w:shd w:val="clear" w:fill="auto"/>
          </w:tcPr>
          <w:p>
            <w:pPr>
              <w:spacing w:line="240" w:lineRule="auto"/>
            </w:pPr>
            <w:r>
              <w:t>7.94 (5.55-11.33)</w:t>
            </w:r>
          </w:p>
        </w:tc>
        <w:tc>
          <w:tcPr>
            <w:tcW w:type="dxa" w:w="1234"/>
            <w:shd w:val="clear" w:fill="auto"/>
          </w:tcPr>
          <w:p>
            <w:pPr>
              <w:spacing w:line="240" w:lineRule="auto"/>
            </w:pPr>
            <w:r>
              <w:t>lung 6.02 (4.18-8.62)</w:t>
            </w:r>
          </w:p>
        </w:tc>
      </w:tr>
      <w:tr>
        <w:tc>
          <w:tcPr>
            <w:tcW w:type="dxa" w:w="1234"/>
            <w:shd w:val="clear" w:fill="auto"/>
          </w:tcPr>
          <w:p>
            <w:pPr>
              <w:spacing w:line="240" w:lineRule="auto"/>
            </w:pPr>
            <w:r>
              <w:t>beta-globin</w:t>
            </w:r>
          </w:p>
        </w:tc>
        <w:tc>
          <w:tcPr>
            <w:tcW w:type="dxa" w:w="1234"/>
            <w:shd w:val="clear" w:fill="auto"/>
          </w:tcPr>
          <w:p>
            <w:pPr>
              <w:spacing w:line="240" w:lineRule="auto"/>
            </w:pPr>
            <w:r>
              <w:t>Whole kidney</w:t>
            </w:r>
          </w:p>
        </w:tc>
        <w:tc>
          <w:tcPr>
            <w:tcW w:type="dxa" w:w="1234"/>
            <w:shd w:val="clear" w:fill="auto"/>
          </w:tcPr>
          <w:p>
            <w:pPr>
              <w:spacing w:line="240" w:lineRule="auto"/>
            </w:pPr>
            <w:r>
              <w:t>10</w:t>
            </w:r>
          </w:p>
        </w:tc>
        <w:tc>
          <w:tcPr>
            <w:tcW w:type="dxa" w:w="1234"/>
            <w:shd w:val="clear" w:fill="auto"/>
          </w:tcPr>
          <w:p>
            <w:pPr>
              <w:spacing w:line="240" w:lineRule="auto"/>
            </w:pPr>
            <w:r>
              <w:t>2598 (1.0)</w:t>
            </w:r>
          </w:p>
        </w:tc>
        <w:tc>
          <w:tcPr>
            <w:tcW w:type="dxa" w:w="1234"/>
            <w:shd w:val="clear" w:fill="auto"/>
          </w:tcPr>
          <w:p>
            <w:pPr>
              <w:spacing w:line="240" w:lineRule="auto"/>
            </w:pPr>
            <w:r>
              <w:t>1929</w:t>
            </w:r>
          </w:p>
        </w:tc>
        <w:tc>
          <w:tcPr>
            <w:tcW w:type="dxa" w:w="1234"/>
            <w:shd w:val="clear" w:fill="auto"/>
          </w:tcPr>
          <w:p>
            <w:pPr>
              <w:spacing w:line="240" w:lineRule="auto"/>
            </w:pPr>
            <w:r>
              <w:t>1.44 (0.16-6.56)</w:t>
            </w:r>
          </w:p>
        </w:tc>
        <w:tc>
          <w:tcPr>
            <w:tcW w:type="dxa" w:w="1234"/>
            <w:shd w:val="clear" w:fill="auto"/>
          </w:tcPr>
          <w:p>
            <w:pPr>
              <w:spacing w:line="240" w:lineRule="auto"/>
            </w:pPr>
            <w:r>
              <w:t>not evaluated</w:t>
            </w:r>
          </w:p>
        </w:tc>
      </w:tr>
      <w:tr>
        <w:tc>
          <w:tcPr>
            <w:tcW w:type="dxa" w:w="1234"/>
            <w:shd w:val="clear" w:fill="auto"/>
          </w:tcPr>
          <w:p>
            <w:pPr>
              <w:spacing w:line="240" w:lineRule="auto"/>
            </w:pPr>
            <w:r>
              <w:t>beta-globin</w:t>
            </w:r>
          </w:p>
        </w:tc>
        <w:tc>
          <w:tcPr>
            <w:tcW w:type="dxa" w:w="1234"/>
            <w:shd w:val="clear" w:fill="auto"/>
          </w:tcPr>
          <w:p>
            <w:pPr>
              <w:spacing w:line="240" w:lineRule="auto"/>
            </w:pPr>
            <w:r>
              <w:t>Podocyte-inclusive union</w:t>
            </w:r>
          </w:p>
        </w:tc>
        <w:tc>
          <w:tcPr>
            <w:tcW w:type="dxa" w:w="1234"/>
            <w:shd w:val="clear" w:fill="auto"/>
          </w:tcPr>
          <w:p>
            <w:pPr>
              <w:spacing w:line="240" w:lineRule="auto"/>
            </w:pPr>
            <w:r>
              <w:t>18</w:t>
            </w:r>
          </w:p>
        </w:tc>
        <w:tc>
          <w:tcPr>
            <w:tcW w:type="dxa" w:w="1234"/>
            <w:shd w:val="clear" w:fill="auto"/>
          </w:tcPr>
          <w:p>
            <w:pPr>
              <w:spacing w:line="240" w:lineRule="auto"/>
            </w:pPr>
            <w:r>
              <w:t>5851 (2.4)</w:t>
            </w:r>
          </w:p>
        </w:tc>
        <w:tc>
          <w:tcPr>
            <w:tcW w:type="dxa" w:w="1234"/>
            <w:shd w:val="clear" w:fill="auto"/>
          </w:tcPr>
          <w:p>
            <w:pPr>
              <w:spacing w:line="240" w:lineRule="auto"/>
            </w:pPr>
            <w:r>
              <w:t>1929</w:t>
            </w:r>
          </w:p>
        </w:tc>
        <w:tc>
          <w:tcPr>
            <w:tcW w:type="dxa" w:w="1234"/>
            <w:shd w:val="clear" w:fill="auto"/>
          </w:tcPr>
          <w:p>
            <w:pPr>
              <w:spacing w:line="240" w:lineRule="auto"/>
            </w:pPr>
            <w:r>
              <w:t>7.54 (3.66-15.31)</w:t>
            </w:r>
          </w:p>
        </w:tc>
        <w:tc>
          <w:tcPr>
            <w:tcW w:type="dxa" w:w="1234"/>
            <w:shd w:val="clear" w:fill="auto"/>
          </w:tcPr>
          <w:p>
            <w:pPr>
              <w:spacing w:line="240" w:lineRule="auto"/>
            </w:pPr>
            <w:r>
              <w:t>not evaluated</w:t>
            </w:r>
          </w:p>
        </w:tc>
      </w:tr>
    </w:tbl>
    <w:p>
      <w:pPr>
        <w:spacing w:line="480" w:lineRule="auto" w:after="0"/>
      </w:pPr>
      <w:r>
        <w:rPr>
          <w:sz w:val="24"/>
        </w:rPr>
      </w:r>
      <w:r>
        <w:rPr>
          <w:b/>
          <w:sz w:val="24"/>
        </w:rPr>
        <w:t>Table 1.</w:t>
      </w:r>
      <w:r>
        <w:rPr>
          <w:sz w:val="24"/>
        </w:rP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p>
      <w:pPr>
        <w:spacing w:line="480" w:lineRule="auto" w:after="0"/>
      </w:pPr>
      <w:r>
        <w:rPr>
          <w:sz w:val="24"/>
        </w:rPr>
        <w:t>Coverage percentages are of the 247,688 bp evaluated at each locus, computed from the intersection of merged peaks with that interval. Each estimate is specific to the endpoint its row defines.</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