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Evaluating tissue-labelled AlphaGenome rankings at APOL1-MYH9: how the choice of measured reference changes the conclusion</w:t>
      </w:r>
    </w:p>
    <w:p>
      <w:r/>
      <w:r>
        <w:rPr>
          <w:b/>
        </w:rPr>
        <w:t>Christopher Lawrence</w:t>
      </w:r>
      <w:r>
        <w:t xml:space="preserve"> Consultant Nephrologist, London, United Kingdom ORCID 0000-0002-8159-0879 Correspondence: Christopher.lawrence3@nhs.net</w:t>
      </w:r>
    </w:p>
    <w:p>
      <w:r/>
      <w:r>
        <w:rPr>
          <w:b/>
        </w:rPr>
        <w:t>Keywords:</w:t>
      </w:r>
      <w:r>
        <w:t xml:space="preserve"> APOL1; MYH9; chromatin accessibility; benchmarking; machine learning</w:t>
      </w:r>
    </w:p>
    <w:p>
      <w:r>
        <w:t>---</w:t>
      </w:r>
    </w:p>
    <w:p>
      <w:pPr>
        <w:pStyle w:val="Heading2"/>
      </w:pPr>
      <w:r>
        <w:t>Abstract</w:t>
      </w:r>
    </w:p>
    <w:p>
      <w:r/>
      <w:r>
        <w:rPr>
          <w:b/>
        </w:rPr>
        <w:t>Objective.</w:t>
      </w:r>
      <w:r>
        <w:t xml:space="preserve"> Sequence-to-function models are increasingly used to prioritise non-coding variants at kidney disease loci, and their tissue-labelled outputs are read as tissue-specific. We evaluated AlphaGenome rankings at the APOL1-MYH9 locus and report how three successive conclusions were determined not by the model but by which measured accessibility dataset we compared them against.</w:t>
      </w:r>
    </w:p>
    <w:p>
      <w:r/>
      <w:r>
        <w:rPr>
          <w:b/>
        </w:rPr>
        <w:t>Results.</w:t>
      </w:r>
      <w:r>
        <w:t xml:space="preserve"> Ranking 1,930 common variants by predicted podocyte accessibility and evaluating against measured whole-kidney peaks alone, non-renal rankings matched the podocyte ranking, suggesting the tissue label carried little information. Against a kidney-plus-podocyte union the podocyte ranking led clearly (odds ratio 8.76, 95% CI 6.30-12.20). Partitioning that union into kidney-restricted and shared regions changed the podocyte-minus-comparator contrast for none of six comparators. A beta-globin control locus appeared null against whole-kidney peaks (odds ratio 1.44) but showed comparable enrichment to the test locus against the matched union (7.54, 3.66-15.31). Each apparent finding was an artefact of comparing a cell-type prediction against a non-matching measurement. The evaluated region and tracks overlap model training data, so none of these comparisons tests generalisation.</w:t>
      </w:r>
    </w:p>
    <w:p>
      <w:r>
        <w:t>---</w:t>
      </w:r>
    </w:p>
    <w:p>
      <w:pPr>
        <w:pStyle w:val="Heading2"/>
      </w:pPr>
      <w:r>
        <w:t>Introduction</w:t>
      </w:r>
    </w:p>
    <w:p>
      <w:r>
        <w:t>Two coding haplotypes at APOL1, G1 and G2, account for much of the excess risk of non-diabetic kidney disease in people of recent African genetic ancestry [1]. The association was first mapped to the adjacent gene MYH9 [2] and resolved to APOL1 two years later [1]. Penetrance is incomplete, and transgenic expression of the risk variants in podocytes causes kidney disease in mice in a dose-dependent manner [3], so regulatory modifiers of APOL1 expression are a plausible explanation for who develops disease [4]. The locus is overwhelmingly non-coding and that variation is largely uncharacterised.</w:t>
      </w:r>
    </w:p>
    <w:p>
      <w:r>
        <w:t>Sequence-to-function models predict regulatory activity from DNA and are proposed for prioritising such variants [5, 6]. Earlier models of this family perform less well in regions that distinguish cell types, in an evaluation that already stratified by cell-type specificity [7].</w:t>
      </w:r>
    </w:p>
    <w:p>
      <w:r>
        <w:t>We set out to prioritise regulatory candidates at this locus. That attempt did not succeed, and in the course of it we reached three successive conclusions about tissue specificity, each of which we subsequently found to be an artefact of the same design choice: the measured dataset used for evaluation did not match the prediction being evaluated. We report this because each intermediate result was internally coherent, none was implausible, and the error is easy to repeat.</w:t>
      </w:r>
    </w:p>
    <w:p>
      <w:pPr>
        <w:pStyle w:val="Heading2"/>
      </w:pPr>
      <w:r>
        <w:t>Main text</w:t>
      </w:r>
    </w:p>
    <w:p>
      <w:pPr>
        <w:pStyle w:val="Heading3"/>
      </w:pPr>
      <w:r>
        <w:t>Methods</w:t>
      </w:r>
    </w:p>
    <w:p>
      <w:r>
        <w:t xml:space="preserve">The interval spanning APOL3 to MYH9, chr22:36,140,330-36,388,018 (GRCh38, 247,688 bp), fits within one model context window. Variants catalogued by gnomAD v4 [8] were retrieved with alternate allele frequencies for the African genetic-ancestry group. Retaining single-nucleotide substitutions at frequency at least 1% gave </w:t>
      </w:r>
      <w:r>
        <w:rPr>
          <w:b/>
        </w:rPr>
        <w:t>1,930 distinct variants at 1,921 positions</w:t>
      </w:r>
      <w:r>
        <w:t>; nine positions are multi-allelic, carrying two alternate alleles under one identifier, and are counted separately. A deduplication ledger is deposited.</w:t>
      </w:r>
    </w:p>
    <w:p>
      <w:r>
        <w:t xml:space="preserve">Predictions came from the AlphaGenome public API [6] using the </w:t>
      </w:r>
      <w:r>
        <w:rPr>
          <w:b/>
        </w:rPr>
        <w:t>ALL_FOLDS</w:t>
      </w:r>
      <w:r>
        <w:t xml:space="preserve"> model version, the default when none is specified, with position-local DNase scorers. These are differential reference-versus-alternate scorers; the endpoint below therefore tests whether predictions concentrate at accessible positions, not which allele changes accessibility.</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ALL_FOLDS model is trained on all eight genomic sections with no held-out region; applying the published fold definitions this locus lies in data fold 6, and no released checkpoint designates it as its test region. These are consistency checks between predictions and the data underlying them.</w:t>
      </w:r>
    </w:p>
    <w:p>
      <w:r>
        <w:t>ENCODE DNase-seq peak files (GRCh38, released) [9] were merged over each locus. Three measured reference sets were evaluated (Table 1): whole kidney alone (</w:t>
      </w:r>
      <w:r>
        <w:rPr>
          <w:rFonts w:ascii="Menlo" w:hAnsi="Menlo"/>
        </w:rPr>
        <w:t>term_name=kidney</w:t>
      </w:r>
      <w:r>
        <w:t xml:space="preserve">); whole kidney plus podocyte (adding </w:t>
      </w:r>
      <w:r>
        <w:rPr>
          <w:rFonts w:ascii="Menlo" w:hAnsi="Menlo"/>
        </w:rPr>
        <w:t>glomerular visceral epithelial cell</w:t>
      </w:r>
      <w:r>
        <w:t xml:space="preserve">); and that union partitioned into </w:t>
      </w:r>
      <w:r>
        <w:rPr>
          <w:b/>
        </w:rPr>
        <w:t>kidney-restricted</w:t>
      </w:r>
      <w:r>
        <w:t xml:space="preserve"> and </w:t>
      </w:r>
      <w:r>
        <w:rPr>
          <w:b/>
        </w:rPr>
        <w:t>shared</w:t>
      </w:r>
      <w:r>
        <w:t>, a kidney peak counting as shared if its midpoint lies inside a peak from any of six comparison tissues (liver, lung, heart left ventricle, stomach, spleen, thyroid gland), four files per tissue. Partitions are mutually exclusive and sum to the union in peaks, base pairs and variants, asserted in code. "Kidney-restricted" means no peak detected in the selected panel, not closure. Every row of Table 1 uses the same variant universe, the same predicted podocyte score and the same interval-merging convention, so the rows differ only in the measured reference set.</w:t>
      </w:r>
    </w:p>
    <w:p>
      <w:r>
        <w:t>Enrichment of the top-ranked variants was tested by Fisher exact test against the other common variants at the same locus, with conditional maximum-likelihood odds ratios and exact intervals. All four contingency cells and the eligible denominator are deposited for every endpoint. Depth 200 is the primary analysis; 25, 50 and 100 are nested sensitivity analyses.</w:t>
      </w:r>
    </w:p>
    <w:p>
      <w:r>
        <w:t xml:space="preserve">Because variants within one peak share the element and have correlated scores, comparisons between rankings resample </w:t>
      </w:r>
      <w:r>
        <w:rPr>
          <w:b/>
        </w:rPr>
        <w:t>peaks</w:t>
      </w:r>
      <w:r>
        <w:t xml:space="preserve"> with replacement, variants outside peaks held fixed, 500 replicates, percentile intervals, unadjusted across six comparisons. Uncertainty is therefore conditional on that fixed background. The change in contrast between pooled and kidney-restricted endpoints was estimated on the same draws.</w:t>
      </w:r>
    </w:p>
    <w:p>
      <w:r>
        <w:t>The control locus was the beta-globin cluster, chr11:5,150,000-5,397,688, matched on length, paralogue-cluster structure and, by frequency-stratified subsampling, variant count.</w:t>
      </w:r>
    </w:p>
    <w:p>
      <w:pPr>
        <w:pStyle w:val="Heading3"/>
      </w:pPr>
      <w:r>
        <w:t>Results</w:t>
      </w:r>
    </w:p>
    <w:p>
      <w:r/>
      <w:r>
        <w:rPr>
          <w:b/>
        </w:rPr>
        <w:t>Against whole-kidney peaks alone</w:t>
      </w:r>
      <w:r>
        <w:t xml:space="preserve"> (67 peaks, 30,358 bp, 12.3% of the locus), ranking by predicted </w:t>
      </w:r>
      <w:r>
        <w:rPr>
          <w:b/>
        </w:rPr>
        <w:t>podocyte</w:t>
      </w:r>
      <w:r>
        <w:t xml:space="preserve"> accessibility gave an odds ratio of 5.98 (95% CI 4.18-8.52) at the primary depth, and non-renal rankings were of the same order: lung 5.46 at that depth, and at depth 100 hepatocyte exceeded podocyte (6.72 against 5.25). Read alone, this suggests the tissue label carries little information. The endpoint evaluates a cell-type prediction against a tissue-level measurement.</w:t>
      </w:r>
    </w:p>
    <w:p>
      <w:r/>
      <w:r>
        <w:rPr>
          <w:b/>
        </w:rPr>
        <w:t>Against the kidney-plus-podocyte union</w:t>
      </w:r>
      <w:r>
        <w:t xml:space="preserve"> (110 peaks, 44,576 bp, 18.0% of the locus) the podocyte ranking led at the primary depth: odds ratio 8.76 (95% CI 6.30-12.20; 100 of the top 200 in peaks against 177 of 1,730). The strongest non-renal ranking, lung, gave 5.61, and the whole-kidney ranking 2.00 (Figure 1).</w:t>
      </w:r>
    </w:p>
    <w:p>
      <w:r/>
      <w:r>
        <w:rPr>
          <w:b/>
        </w:rPr>
        <w:t>Partitioning that union</w:t>
      </w:r>
      <w:r>
        <w:t xml:space="preserve"> gave 39 kidney-restricted peaks (14,686 bp) and 71 shared (29,890 bp), containing 84 and 193 variants of the 277 in the union. The podocyte ranking led in both partitions, 4.30 and 7.94. We had expected partitioning to reveal discrimination that pooling hid. It did not: the change in the podocyte-minus-comparator contrast ranged from -0.07 to +0.42 in log odds ratio and no interval excluded zero for any of six comparators (Figure 2). Under this resampling scheme we detected no change in relative enrichment on partitioning.</w:t>
      </w:r>
    </w:p>
    <w:p>
      <w:r/>
      <w:r>
        <w:rPr>
          <w:b/>
        </w:rPr>
        <w:t>The control locus reverses with the same substitution.</w:t>
      </w:r>
      <w:r>
        <w:t xml:space="preserve"> Against whole-kidney peaks the beta-globin cluster appeared null (10 peaks, 2,598 bp; odds ratio 1.44, 95% CI 0.16-6.56, one-sided p = 0.43), which we had read as evidence that the pipeline does not produce enrichment indiscriminately. Against the matched kidney-plus-podocyte union (18 peaks, 5,851 bp, 2.4% of that locus) it showed enrichment comparable to the test locus at every depth: 18.36 (5.62-52.06) at depth 25 falling to 7.54 (3.66-15.31) at depth 200, against 8.76 at the test locus. The intervals overlap substantially. A confidence interval from one locus against a point estimate from another is not a test of their difference, and we make no such comparison; the descriptive point is that the control is not null.</w:t>
      </w:r>
    </w:p>
    <w:p>
      <w:r>
        <w:t>Table 1 sets out each measured reference set, its denominator and the conclusion it supported.</w:t>
      </w:r>
    </w:p>
    <w:p>
      <w:pPr>
        <w:pStyle w:val="Heading3"/>
      </w:pPr>
      <w:r>
        <w:t>Discussion</w:t>
      </w:r>
    </w:p>
    <w:p>
      <w:r>
        <w:t>Three conclusions, each internally coherent, were determined by which measured dataset the predictions were compared against rather than by the predictions. The common defect is evaluating a podocyte-level prediction against a measurement made at a different level of cell-type resolution, or against a differently constituted reference set.</w:t>
      </w:r>
    </w:p>
    <w:p>
      <w:r>
        <w:t>Two of the three were detectable by arithmetic once suspected. Partitions that do not sum to their parent set in peaks, base pairs and variants indicate that the comparison is not of the same data, and asserting that sum in code would have caught it. The first and third were not detectable that way: both parent sets were internally consistent, and only matching the reference to the prediction exposes them.</w:t>
      </w:r>
    </w:p>
    <w:p>
      <w:r>
        <w:t>What survives is limited. The podocyte-labelled ranking is enriched in measured podocyte-containing accessible regions, at a kidney disease locus and at an erythroid control locus to a similar degree. That is the behaviour expected of a model trained to predict accessibility, evaluated on data it was trained on, at regions within its training folds. It says nothing about generalisation, allele-specific accuracy, or APOL1.</w:t>
      </w:r>
    </w:p>
    <w:p>
      <w:r>
        <w:t>For investigators evaluating these models at disease loci, three practical points follow. Match the measured reference to the predicted track at the same level of cell-type resolution, and report both explicitly. Assert in code that any partition sums to its parent before interpreting differences between partitions. Use the same measured reference at test and control loci, or the control tests nothing.</w:t>
      </w:r>
    </w:p>
    <w:p>
      <w:pPr>
        <w:pStyle w:val="Heading2"/>
      </w:pPr>
      <w:r>
        <w:t>Limitations</w:t>
      </w:r>
    </w:p>
    <w:p>
      <w:r>
        <w:t>This is a single-locus, exploratory analysis with no pre-registered plan, and the comparisons reported were arrived at iteratively.</w:t>
      </w:r>
    </w:p>
    <w:p>
      <w:r>
        <w:t>The evaluation is not independent of model training, which is the binding limitation: the tracks are training experiments and the locus lies in a training fold of the served checkpoint. No released checkpoint designates this region as its test partition, so a genuine generalisation test was not available.</w:t>
      </w:r>
    </w:p>
    <w:p>
      <w:r>
        <w:t>The endpoint is positional. A differential reference-versus-alternate score ranked against peak membership does not test which allele changes accessibility, nor the direction or size of any effect, and we did not compare it against a simple reference-accessibility ranking to establish what the differential scorer adds.</w:t>
      </w:r>
    </w:p>
    <w:p>
      <w:r>
        <w:t>The bootstrap holds variants outside peaks fixed, so its intervals are conditional on that background and are not a general estimate of sampling uncertainty. They are unadjusted for six comparisons. A non-significant interaction is not evidence of no interaction; we specify no margin below which a change would be negligible.</w:t>
      </w:r>
    </w:p>
    <w:p>
      <w:r>
        <w:t>"Kidney-restricted" is defined relative to six comparison tissues and would change with a different panel. Candidate prioritisation is not reported here: no candidate survived linkage and prior-literature scrutiny as a novel independent variant, and those analyses are deposited rather than presented.</w:t>
      </w:r>
    </w:p>
    <w:p>
      <w:pPr>
        <w:pStyle w:val="Heading2"/>
      </w:pPr>
      <w:r>
        <w:t>Declarations</w:t>
      </w:r>
    </w:p>
    <w:p>
      <w:r/>
      <w:r>
        <w:rPr>
          <w:b/>
        </w:rPr>
        <w:t>Availability of data and materials.</w:t>
      </w:r>
      <w:r>
        <w:t xml:space="preserve"> All analysis code, the frozen variant ledger, per-variant predictions, contingency counts for every endpoint, ENCODE file accessions, partition labels and the interval-to-fold mapping are available at https://github.com/PatientThread/apol1-alphagenome, with a tagged release for review. Variant frequencies are from gnomAD v4; peak calls from the ENCODE portal. Model predictions were obtained under AlphaGenome's non-commercial research terms and are redistributed subject to them; model weights were not accessed.</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ENCODE Project Consortium. Expanded encyclopaedias of DNA elements in the human and mouse genomes. Nature. 2020;583:699-710.</w:t>
      </w:r>
    </w:p>
    <w:p>
      <w:pPr>
        <w:pStyle w:val="Heading2"/>
      </w:pPr>
      <w:r>
        <w:t>Figure legends</w:t>
      </w:r>
    </w:p>
    <w:p>
      <w:r/>
      <w:r>
        <w:rPr>
          <w:b/>
        </w:rPr>
        <w:t>Figure 1.</w:t>
      </w:r>
      <w:r>
        <w:t xml:space="preserve"> Enrichment of the top 200 variants in measured accessible regions, by the tissue output used to rank, across the five measured reference sets of Table 1. Conditional odds ratios with exact 95% intervals against the other common variants at the same locus; eligible n = 1,930 at the test locus and 1,929 at the control. Panels, left to right: whole kidney only; kidney plus podocyte; that union's kidney-restricted and shared partitions; and the control locus against the same union definition. Kidney rankings are drawn in black circles, non-renal in grey squares. The leftmost panel is the comparison that suggested the tissue label carried little information and the rightmost is the control that was read as null; both change with the reference set and neither conclusion survives. Intervals assume variant-level independence.</w:t>
      </w:r>
    </w:p>
    <w:p>
      <w:r/>
      <w:r>
        <w:rPr>
          <w:b/>
        </w:rPr>
        <w:t>Figure 2.</w:t>
      </w:r>
      <w:r>
        <w:t xml:space="preserve"> Change in tissue contrast on partitioning. For each comparator, the podocyte-minus-comparator contrast in kidney-restricted regions minus the same contrast in the pooled union, in natural-log odds ratio, estimated on identical resampled draws of peaks with variants outside peaks held fixed. Points are observed values; intervals are percentile bootstrap, 500 replicates, unadjusted for six comparisons. No interval excludes zero.</w:t>
      </w:r>
    </w:p>
    <w:p>
      <w:pPr>
        <w:pStyle w:val="Heading2"/>
      </w:pPr>
      <w:r>
        <w:t>Tables</w:t>
      </w:r>
    </w:p>
    <w:p>
      <w:r/>
      <w:r>
        <w:rPr>
          <w:b/>
        </w:rPr>
        <w:t>Table 1.</w:t>
      </w:r>
      <w:r>
        <w:t xml:space="preserve"> Each measured reference set evaluated, and the conclusion it supported. All rankings use the same predicted podocyte accessibility score and the same variant sets. Odds ratios are conditional maximum likelihood at ranking depth 200 with exact 95% intervals. Full contingency counts for every endpoint and depth are deposited.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Measured reference set</w:t>
            </w:r>
          </w:p>
        </w:tc>
        <w:tc>
          <w:tcPr>
            <w:tcW w:type="dxa" w:w="1080"/>
          </w:tcPr>
          <w:p>
            <w:r>
              <w:t>Locus</w:t>
            </w:r>
          </w:p>
        </w:tc>
        <w:tc>
          <w:tcPr>
            <w:tcW w:type="dxa" w:w="1080"/>
          </w:tcPr>
          <w:p>
            <w:r>
              <w:t>Peaks</w:t>
            </w:r>
          </w:p>
        </w:tc>
        <w:tc>
          <w:tcPr>
            <w:tcW w:type="dxa" w:w="1080"/>
          </w:tcPr>
          <w:p>
            <w:r>
              <w:t>bp (% of locus)</w:t>
            </w:r>
          </w:p>
        </w:tc>
        <w:tc>
          <w:tcPr>
            <w:tcW w:type="dxa" w:w="1080"/>
          </w:tcPr>
          <w:p>
            <w:r>
              <w:t>Eligible n</w:t>
            </w:r>
          </w:p>
        </w:tc>
        <w:tc>
          <w:tcPr>
            <w:tcW w:type="dxa" w:w="1080"/>
          </w:tcPr>
          <w:p>
            <w:r>
              <w:t>Podocyte OR (95% CI)</w:t>
            </w:r>
          </w:p>
        </w:tc>
        <w:tc>
          <w:tcPr>
            <w:tcW w:type="dxa" w:w="1080"/>
          </w:tcPr>
          <w:p>
            <w:r>
              <w:t>Best non-renal OR</w:t>
            </w:r>
          </w:p>
        </w:tc>
        <w:tc>
          <w:tcPr>
            <w:tcW w:type="dxa" w:w="1080"/>
          </w:tcPr>
          <w:p>
            <w:r>
              <w:t>Conclusion it supported</w:t>
            </w:r>
          </w:p>
        </w:tc>
      </w:tr>
      <w:tr>
        <w:tc>
          <w:tcPr>
            <w:tcW w:type="dxa" w:w="1080"/>
          </w:tcPr>
          <w:p>
            <w:r>
              <w:t>Whole kidney only</w:t>
            </w:r>
          </w:p>
        </w:tc>
        <w:tc>
          <w:tcPr>
            <w:tcW w:type="dxa" w:w="1080"/>
          </w:tcPr>
          <w:p>
            <w:r>
              <w:t>APOL1-MYH9</w:t>
            </w:r>
          </w:p>
        </w:tc>
        <w:tc>
          <w:tcPr>
            <w:tcW w:type="dxa" w:w="1080"/>
          </w:tcPr>
          <w:p>
            <w:r>
              <w:t>67</w:t>
            </w:r>
          </w:p>
        </w:tc>
        <w:tc>
          <w:tcPr>
            <w:tcW w:type="dxa" w:w="1080"/>
          </w:tcPr>
          <w:p>
            <w:r>
              <w:t>30,358 (12.3)</w:t>
            </w:r>
          </w:p>
        </w:tc>
        <w:tc>
          <w:tcPr>
            <w:tcW w:type="dxa" w:w="1080"/>
          </w:tcPr>
          <w:p>
            <w:r>
              <w:t>1,930</w:t>
            </w:r>
          </w:p>
        </w:tc>
        <w:tc>
          <w:tcPr>
            <w:tcW w:type="dxa" w:w="1080"/>
          </w:tcPr>
          <w:p>
            <w:r>
              <w:t>5.98 (4.18-8.52)</w:t>
            </w:r>
          </w:p>
        </w:tc>
        <w:tc>
          <w:tcPr>
            <w:tcW w:type="dxa" w:w="1080"/>
          </w:tcPr>
          <w:p>
            <w:r>
              <w:t>6.72 (hepatocyte, depth 100)</w:t>
            </w:r>
          </w:p>
        </w:tc>
        <w:tc>
          <w:tcPr>
            <w:tcW w:type="dxa" w:w="1080"/>
          </w:tcPr>
          <w:p>
            <w:r>
              <w:t>label carries little information</w:t>
            </w:r>
          </w:p>
        </w:tc>
      </w:tr>
      <w:tr>
        <w:tc>
          <w:tcPr>
            <w:tcW w:type="dxa" w:w="1080"/>
          </w:tcPr>
          <w:p>
            <w:r>
              <w:t>Kidney + podocyte</w:t>
            </w:r>
          </w:p>
        </w:tc>
        <w:tc>
          <w:tcPr>
            <w:tcW w:type="dxa" w:w="1080"/>
          </w:tcPr>
          <w:p>
            <w:r>
              <w:t>APOL1-MYH9</w:t>
            </w:r>
          </w:p>
        </w:tc>
        <w:tc>
          <w:tcPr>
            <w:tcW w:type="dxa" w:w="1080"/>
          </w:tcPr>
          <w:p>
            <w:r>
              <w:t>110</w:t>
            </w:r>
          </w:p>
        </w:tc>
        <w:tc>
          <w:tcPr>
            <w:tcW w:type="dxa" w:w="1080"/>
          </w:tcPr>
          <w:p>
            <w:r>
              <w:t>44,576 (18.0)</w:t>
            </w:r>
          </w:p>
        </w:tc>
        <w:tc>
          <w:tcPr>
            <w:tcW w:type="dxa" w:w="1080"/>
          </w:tcPr>
          <w:p>
            <w:r>
              <w:t>1,930</w:t>
            </w:r>
          </w:p>
        </w:tc>
        <w:tc>
          <w:tcPr>
            <w:tcW w:type="dxa" w:w="1080"/>
          </w:tcPr>
          <w:p>
            <w:r>
              <w:t>8.76 (6.30-12.20)</w:t>
            </w:r>
          </w:p>
        </w:tc>
        <w:tc>
          <w:tcPr>
            <w:tcW w:type="dxa" w:w="1080"/>
          </w:tcPr>
          <w:p>
            <w:r>
              <w:t>5.61 (lung)</w:t>
            </w:r>
          </w:p>
        </w:tc>
        <w:tc>
          <w:tcPr>
            <w:tcW w:type="dxa" w:w="1080"/>
          </w:tcPr>
          <w:p>
            <w:r>
              <w:t>podocyte ranking leads clearly</w:t>
            </w:r>
          </w:p>
        </w:tc>
      </w:tr>
      <w:tr>
        <w:tc>
          <w:tcPr>
            <w:tcW w:type="dxa" w:w="1080"/>
          </w:tcPr>
          <w:p>
            <w:r>
              <w:t>Kidney + podocyte, kidney-restricted</w:t>
            </w:r>
          </w:p>
        </w:tc>
        <w:tc>
          <w:tcPr>
            <w:tcW w:type="dxa" w:w="1080"/>
          </w:tcPr>
          <w:p>
            <w:r>
              <w:t>APOL1-MYH9</w:t>
            </w:r>
          </w:p>
        </w:tc>
        <w:tc>
          <w:tcPr>
            <w:tcW w:type="dxa" w:w="1080"/>
          </w:tcPr>
          <w:p>
            <w:r>
              <w:t>39</w:t>
            </w:r>
          </w:p>
        </w:tc>
        <w:tc>
          <w:tcPr>
            <w:tcW w:type="dxa" w:w="1080"/>
          </w:tcPr>
          <w:p>
            <w:r>
              <w:t>14,686 (5.9)</w:t>
            </w:r>
          </w:p>
        </w:tc>
        <w:tc>
          <w:tcPr>
            <w:tcW w:type="dxa" w:w="1080"/>
          </w:tcPr>
          <w:p>
            <w:r>
              <w:t>1,930</w:t>
            </w:r>
          </w:p>
        </w:tc>
        <w:tc>
          <w:tcPr>
            <w:tcW w:type="dxa" w:w="1080"/>
          </w:tcPr>
          <w:p>
            <w:r>
              <w:t>4.30 (2.53-7.15)</w:t>
            </w:r>
          </w:p>
        </w:tc>
        <w:tc>
          <w:tcPr>
            <w:tcW w:type="dxa" w:w="1080"/>
          </w:tcPr>
          <w:p>
            <w:r>
              <w:t>2.49</w:t>
            </w:r>
          </w:p>
        </w:tc>
        <w:tc>
          <w:tcPr>
            <w:tcW w:type="dxa" w:w="1080"/>
          </w:tcPr>
          <w:p>
            <w:r>
              <w:t>podocyte ranking leads</w:t>
            </w:r>
          </w:p>
        </w:tc>
      </w:tr>
      <w:tr>
        <w:tc>
          <w:tcPr>
            <w:tcW w:type="dxa" w:w="1080"/>
          </w:tcPr>
          <w:p>
            <w:r>
              <w:t>Kidney + podocyte, shared</w:t>
            </w:r>
          </w:p>
        </w:tc>
        <w:tc>
          <w:tcPr>
            <w:tcW w:type="dxa" w:w="1080"/>
          </w:tcPr>
          <w:p>
            <w:r>
              <w:t>APOL1-MYH9</w:t>
            </w:r>
          </w:p>
        </w:tc>
        <w:tc>
          <w:tcPr>
            <w:tcW w:type="dxa" w:w="1080"/>
          </w:tcPr>
          <w:p>
            <w:r>
              <w:t>71</w:t>
            </w:r>
          </w:p>
        </w:tc>
        <w:tc>
          <w:tcPr>
            <w:tcW w:type="dxa" w:w="1080"/>
          </w:tcPr>
          <w:p>
            <w:r>
              <w:t>29,890 (12.1)</w:t>
            </w:r>
          </w:p>
        </w:tc>
        <w:tc>
          <w:tcPr>
            <w:tcW w:type="dxa" w:w="1080"/>
          </w:tcPr>
          <w:p>
            <w:r>
              <w:t>1,930</w:t>
            </w:r>
          </w:p>
        </w:tc>
        <w:tc>
          <w:tcPr>
            <w:tcW w:type="dxa" w:w="1080"/>
          </w:tcPr>
          <w:p>
            <w:r>
              <w:t>7.94 (5.55-11.33)</w:t>
            </w:r>
          </w:p>
        </w:tc>
        <w:tc>
          <w:tcPr>
            <w:tcW w:type="dxa" w:w="1080"/>
          </w:tcPr>
          <w:p>
            <w:r>
              <w:t>6.02</w:t>
            </w:r>
          </w:p>
        </w:tc>
        <w:tc>
          <w:tcPr>
            <w:tcW w:type="dxa" w:w="1080"/>
          </w:tcPr>
          <w:p>
            <w:r>
              <w:t>podocyte ranking leads</w:t>
            </w:r>
          </w:p>
        </w:tc>
      </w:tr>
      <w:tr>
        <w:tc>
          <w:tcPr>
            <w:tcW w:type="dxa" w:w="1080"/>
          </w:tcPr>
          <w:p>
            <w:r>
              <w:t>Whole kidney only</w:t>
            </w:r>
          </w:p>
        </w:tc>
        <w:tc>
          <w:tcPr>
            <w:tcW w:type="dxa" w:w="1080"/>
          </w:tcPr>
          <w:p>
            <w:r>
              <w:t>beta-globin</w:t>
            </w:r>
          </w:p>
        </w:tc>
        <w:tc>
          <w:tcPr>
            <w:tcW w:type="dxa" w:w="1080"/>
          </w:tcPr>
          <w:p>
            <w:r>
              <w:t>10</w:t>
            </w:r>
          </w:p>
        </w:tc>
        <w:tc>
          <w:tcPr>
            <w:tcW w:type="dxa" w:w="1080"/>
          </w:tcPr>
          <w:p>
            <w:r>
              <w:t>2,598 (1.0)</w:t>
            </w:r>
          </w:p>
        </w:tc>
        <w:tc>
          <w:tcPr>
            <w:tcW w:type="dxa" w:w="1080"/>
          </w:tcPr>
          <w:p>
            <w:r>
              <w:t>1,929</w:t>
            </w:r>
          </w:p>
        </w:tc>
        <w:tc>
          <w:tcPr>
            <w:tcW w:type="dxa" w:w="1080"/>
          </w:tcPr>
          <w:p>
            <w:r>
              <w:t>1.44 (0.16-6.56)</w:t>
            </w:r>
          </w:p>
        </w:tc>
        <w:tc>
          <w:tcPr>
            <w:tcW w:type="dxa" w:w="1080"/>
          </w:tcPr>
          <w:p>
            <w:r>
              <w:t>not evaluated</w:t>
            </w:r>
          </w:p>
        </w:tc>
        <w:tc>
          <w:tcPr>
            <w:tcW w:type="dxa" w:w="1080"/>
          </w:tcPr>
          <w:p>
            <w:r>
              <w:t>pipeline is locus-specific</w:t>
            </w:r>
          </w:p>
        </w:tc>
      </w:tr>
      <w:tr>
        <w:tc>
          <w:tcPr>
            <w:tcW w:type="dxa" w:w="1080"/>
          </w:tcPr>
          <w:p>
            <w:r>
              <w:t>Kidney + podocyte</w:t>
            </w:r>
          </w:p>
        </w:tc>
        <w:tc>
          <w:tcPr>
            <w:tcW w:type="dxa" w:w="1080"/>
          </w:tcPr>
          <w:p>
            <w:r>
              <w:t>beta-globin</w:t>
            </w:r>
          </w:p>
        </w:tc>
        <w:tc>
          <w:tcPr>
            <w:tcW w:type="dxa" w:w="1080"/>
          </w:tcPr>
          <w:p>
            <w:r>
              <w:t>18</w:t>
            </w:r>
          </w:p>
        </w:tc>
        <w:tc>
          <w:tcPr>
            <w:tcW w:type="dxa" w:w="1080"/>
          </w:tcPr>
          <w:p>
            <w:r>
              <w:t>5,851 (2.4)</w:t>
            </w:r>
          </w:p>
        </w:tc>
        <w:tc>
          <w:tcPr>
            <w:tcW w:type="dxa" w:w="1080"/>
          </w:tcPr>
          <w:p>
            <w:r>
              <w:t>1,929</w:t>
            </w:r>
          </w:p>
        </w:tc>
        <w:tc>
          <w:tcPr>
            <w:tcW w:type="dxa" w:w="1080"/>
          </w:tcPr>
          <w:p>
            <w:r>
              <w:t>7.54 (3.66-15.31)</w:t>
            </w:r>
          </w:p>
        </w:tc>
        <w:tc>
          <w:tcPr>
            <w:tcW w:type="dxa" w:w="1080"/>
          </w:tcPr>
          <w:p>
            <w:r>
              <w:t>not evaluated</w:t>
            </w:r>
          </w:p>
        </w:tc>
        <w:tc>
          <w:tcPr>
            <w:tcW w:type="dxa" w:w="1080"/>
          </w:tcPr>
          <w:p>
            <w:r>
              <w:t>pipeline is not locus-specific</w:t>
            </w:r>
          </w:p>
        </w:tc>
      </w:tr>
    </w:tbl>
    <w:p>
      <w:r>
        <w:t>The first and fifth rows are superseded and are shown to document how the conclusion changed with the reference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