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Kidney representation in sequence-to-function genome models</w:t>
      </w:r>
    </w:p>
    <w:p>
      <w:r/>
      <w:r>
        <w:rPr>
          <w:b/>
        </w:rPr>
        <w:t>Paper 1 of two.</w:t>
      </w:r>
      <w:r>
        <w:t xml:space="preserve"> Started 13 September 2026. Christopher Lawrence. Paper 2 is the APOL1 application and it depends on this one. See §7.</w:t>
      </w:r>
    </w:p>
    <w:p>
      <w:r>
        <w:t>---</w:t>
      </w:r>
    </w:p>
    <w:p>
      <w:pPr>
        <w:pStyle w:val="Heading2"/>
      </w:pPr>
      <w:r>
        <w:t>1. The claim</w:t>
      </w:r>
    </w:p>
    <w:p>
      <w:r>
        <w:t>&gt; Kidney is systematically under-represented in the training data of &gt; sequence-to-function genome models, and the under-representation is &gt; concentrated precisely in the cell types that carry kidney disease &gt; heritability.</w:t>
      </w:r>
    </w:p>
    <w:p>
      <w:r>
        <w:t>This is a measurement paper, not a modelling paper. Its value is that it is verifiable, reproducible from public files, and that nobody has done it.</w:t>
      </w:r>
    </w:p>
    <w:p>
      <w:pPr>
        <w:pStyle w:val="Heading3"/>
      </w:pPr>
      <w:r>
        <w:t>1a. FRAMING, settled on day 1 after checking ENCODE. Read this before writing a word.</w:t>
      </w:r>
    </w:p>
    <w:p>
      <w:r>
        <w:t xml:space="preserve">The obvious paper is "DeepMind under-sampled kidney". </w:t>
      </w:r>
      <w:r>
        <w:rPr>
          <w:b/>
        </w:rPr>
        <w:t>That paper is wrong, and writing it would be both unfair and easy to rebut.</w:t>
      </w:r>
      <w:r/>
    </w:p>
    <w:p>
      <w:r>
        <w:t xml:space="preserve">ENCODE holds 592 human kidney-organ experiments. Of the 228 transcription-factor ChIP experiments among them, </w:t>
      </w:r>
      <w:r>
        <w:rPr>
          <w:b/>
        </w:rPr>
        <w:t>221 are in cell lines, covering 218 distinct factors. Exactly 7 are in kidney tissue or primary cells, and all 7 are CTCF</w:t>
      </w:r>
      <w:r>
        <w:t>, spanning 2011 to 2021 (ENCSR000DXD, ENCSR000DMC, ENCSR000DVH, ENCSR194WQV, ENCSR966OUM, ENCSR799GJD, ENCSR266ZUX).</w:t>
      </w:r>
    </w:p>
    <w:p>
      <w:r>
        <w:t xml:space="preserve">So the model's CTCF-only kidney transcription-factor coverage is not a selection failure. </w:t>
      </w:r>
      <w:r>
        <w:rPr>
          <w:b/>
        </w:rPr>
        <w:t>It is a faithful reflection of the fact that the field has never ChIP-seq'd a single non-CTCF transcription factor in human kidney tissue.</w:t>
      </w:r>
      <w:r/>
    </w:p>
    <w:p>
      <w:r>
        <w:t xml:space="preserve">The correct claim is therefore a </w:t>
      </w:r>
      <w:r>
        <w:rPr>
          <w:b/>
        </w:rPr>
        <w:t>field-level data gap with consequences for anyone using these models on kidney</w:t>
      </w:r>
      <w:r>
        <w:t>, not a criticism of the model developers. That version is stronger, fairer, survives the obvious reviewer rebuttal ("that is simply what ENCODE contains"), and points at something nephrology can actually fix by generating data.</w:t>
      </w:r>
    </w:p>
    <w:p>
      <w:r>
        <w:t>Two honest caveats that belong in the Discussion rather than being suppressed. The model does not take quite everything that exists: ENCODE has one intact Hi-C and two PRO-cap experiments in kidney, and the model exposes zero kidney contact maps and zero kidney PRO-cap. Small, but it should be stated rather than discovered by a reviewer.</w:t>
      </w:r>
    </w:p>
    <w:p>
      <w:pPr>
        <w:pStyle w:val="Heading2"/>
      </w:pPr>
      <w:r>
        <w:t>2. Why this is publishable, stated honestly</w:t>
      </w:r>
    </w:p>
    <w:p>
      <w:r>
        <w:t>Three things have to be true, and I have checked all three.</w:t>
      </w:r>
    </w:p>
    <w:p>
      <w:r/>
      <w:r>
        <w:rPr>
          <w:b/>
        </w:rPr>
        <w:t>Nobody has done it for kidney.</w:t>
      </w:r>
      <w:r>
        <w:t xml:space="preserve"> A search of 2,237 Europe PMC hits found no benchmark of these models stratified by kidney tissue. The nearest work, Kathail et al., *Genome Biol* 25:202 (2024), establishes the method of stratified evaluation and does not do kidney.</w:t>
      </w:r>
    </w:p>
    <w:p>
      <w:r/>
      <w:r>
        <w:rPr>
          <w:b/>
        </w:rPr>
        <w:t>There is a hard external anchor.</w:t>
      </w:r>
      <w:r>
        <w:t xml:space="preserve"> Loeb et al., *Nat Genet* 56:2078-2092 (2024) put 56% of kidney-function heritability in tubule epithelial candidate regulatory elements and 7% in podocyte elements. That is the number the census gets compared against, and it is what turns a track count into a finding.</w:t>
      </w:r>
    </w:p>
    <w:p>
      <w:r/>
      <w:r>
        <w:rPr>
          <w:b/>
        </w:rPr>
        <w:t>The model's own documentation concedes the general point.</w:t>
      </w:r>
      <w:r>
        <w:t xml:space="preserve"> The AlphaGenome FAQ states that "accurately capturing tissue-specific effects and long-range genomic interactions remains challenging" and that the model "has not yet been benchmarked for predicting individual (personal) human genomes."</w:t>
      </w:r>
    </w:p>
    <w:p>
      <w:pPr>
        <w:pStyle w:val="Heading2"/>
      </w:pPr>
      <w:r>
        <w:t>3. Results in hand as of day 1</w:t>
      </w:r>
    </w:p>
    <w:p>
      <w:r>
        <w:t xml:space="preserve">All produced by </w:t>
      </w:r>
      <w:r>
        <w:rPr>
          <w:rFonts w:ascii="Menlo" w:hAnsi="Menlo"/>
        </w:rPr>
        <w:t>analysis/01_track_census.py</w:t>
      </w:r>
      <w:r>
        <w:t xml:space="preserve"> and </w:t>
      </w:r>
      <w:r>
        <w:rPr>
          <w:rFonts w:ascii="Menlo" w:hAnsi="Menlo"/>
        </w:rPr>
        <w:t>analysis/02_textproto_crosscheck.py</w:t>
      </w:r>
      <w:r>
        <w:t xml:space="preserve">, both reproducible from </w:t>
      </w:r>
      <w:r>
        <w:rPr>
          <w:rFonts w:ascii="Menlo" w:hAnsi="Menlo"/>
        </w:rPr>
        <w:t>data/</w:t>
      </w:r>
      <w:r>
        <w:t>.</w:t>
      </w:r>
    </w:p>
    <w:p>
      <w:r/>
      <w:r>
        <w:rPr>
          <w:b/>
        </w:rPr>
        <w:t>VERIFIED THREE WAYS, 13 Sep 2026.</w:t>
      </w:r>
      <w:r>
        <w:t xml:space="preserve"> The census now agrees exactly across three independent sources: the notebook dataframe, the shipped protobuf manifest (once its 563 padding rows are removed), and </w:t>
      </w:r>
      <w:r>
        <w:rPr>
          <w:b/>
        </w:rPr>
        <w:t>the deployed model queried live through the API</w:t>
      </w:r>
      <w:r>
        <w:t xml:space="preserve"> (</w:t>
      </w:r>
      <w:r>
        <w:rPr>
          <w:rFonts w:ascii="Menlo" w:hAnsi="Menlo"/>
        </w:rPr>
        <w:t>analysis/08_live_api_crosscheck.py</w:t>
      </w:r>
      <w:r>
        <w:t>). All eleven modalities match to the track, total 5,563, kidney parenchyma 103 in all three, and the live API independently confirms four kidney transcription-factor tracks, all CTCF. The census is as solid as it can be made without DeepMind's cooperation.</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Value</w:t>
            </w:r>
          </w:p>
        </w:tc>
      </w:tr>
      <w:tr>
        <w:tc>
          <w:tcPr>
            <w:tcW w:type="dxa" w:w="4320"/>
          </w:tcPr>
          <w:p>
            <w:r>
              <w:t>Human output tracks, total</w:t>
            </w:r>
          </w:p>
        </w:tc>
        <w:tc>
          <w:tcPr>
            <w:tcW w:type="dxa" w:w="4320"/>
          </w:tcPr>
          <w:p>
            <w:r>
              <w:t>5,563</w:t>
            </w:r>
          </w:p>
        </w:tc>
      </w:tr>
      <w:tr>
        <w:tc>
          <w:tcPr>
            <w:tcW w:type="dxa" w:w="4320"/>
          </w:tcPr>
          <w:p>
            <w:r>
              <w:t>Kidney parenchyma tracks</w:t>
            </w:r>
          </w:p>
        </w:tc>
        <w:tc>
          <w:tcPr>
            <w:tcW w:type="dxa" w:w="4320"/>
          </w:tcPr>
          <w:p>
            <w:r>
              <w:t>103 (1.85%)</w:t>
            </w:r>
          </w:p>
        </w:tc>
      </w:tr>
      <w:tr>
        <w:tc>
          <w:tcPr>
            <w:tcW w:type="dxa" w:w="4320"/>
          </w:tcPr>
          <w:p>
            <w:r>
              <w:t>Kidney parenchyma biosamples</w:t>
            </w:r>
          </w:p>
        </w:tc>
        <w:tc>
          <w:tcPr>
            <w:tcW w:type="dxa" w:w="4320"/>
          </w:tcPr>
          <w:p>
            <w:r>
              <w:t>20 of 715</w:t>
            </w:r>
          </w:p>
        </w:tc>
      </w:tr>
      <w:tr>
        <w:tc>
          <w:tcPr>
            <w:tcW w:type="dxa" w:w="4320"/>
          </w:tcPr>
          <w:p>
            <w:r>
              <w:t>Urinary tract tracks, reported separately</w:t>
            </w:r>
          </w:p>
        </w:tc>
        <w:tc>
          <w:tcPr>
            <w:tcW w:type="dxa" w:w="4320"/>
          </w:tcPr>
          <w:p>
            <w:r>
              <w:t>25</w:t>
            </w:r>
          </w:p>
        </w:tc>
      </w:tr>
      <w:tr>
        <w:tc>
          <w:tcPr>
            <w:tcW w:type="dxa" w:w="4320"/>
          </w:tcPr>
          <w:p>
            <w:r>
              <w:t>HEK293/HEK293T tracks</w:t>
            </w:r>
          </w:p>
        </w:tc>
        <w:tc>
          <w:tcPr>
            <w:tcW w:type="dxa" w:w="4320"/>
          </w:tcPr>
          <w:p>
            <w:r>
              <w:t>116</w:t>
            </w:r>
          </w:p>
        </w:tc>
      </w:tr>
    </w:tbl>
    <w:p>
      <w:r>
        <w:t>By modality, kidney parenchyma against the total for that modality: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Modality</w:t>
            </w:r>
          </w:p>
        </w:tc>
        <w:tc>
          <w:tcPr>
            <w:tcW w:type="dxa" w:w="2160"/>
          </w:tcPr>
          <w:p>
            <w:r>
              <w:t>Kidney</w:t>
            </w:r>
          </w:p>
        </w:tc>
        <w:tc>
          <w:tcPr>
            <w:tcW w:type="dxa" w:w="2160"/>
          </w:tcPr>
          <w:p>
            <w:r>
              <w:t>Total</w:t>
            </w:r>
          </w:p>
        </w:tc>
        <w:tc>
          <w:tcPr>
            <w:tcW w:type="dxa" w:w="2160"/>
          </w:tcPr>
          <w:p>
            <w:r>
              <w:t>Share</w:t>
            </w:r>
          </w:p>
        </w:tc>
      </w:tr>
      <w:tr>
        <w:tc>
          <w:tcPr>
            <w:tcW w:type="dxa" w:w="2160"/>
          </w:tcPr>
          <w:p>
            <w:r>
              <w:t>Transcription factor ChIP</w:t>
            </w:r>
          </w:p>
        </w:tc>
        <w:tc>
          <w:tcPr>
            <w:tcW w:type="dxa" w:w="2160"/>
          </w:tcPr>
          <w:p>
            <w:r>
              <w:t>4</w:t>
            </w:r>
          </w:p>
        </w:tc>
        <w:tc>
          <w:tcPr>
            <w:tcW w:type="dxa" w:w="2160"/>
          </w:tcPr>
          <w:p>
            <w:r>
              <w:t>1,617</w:t>
            </w:r>
          </w:p>
        </w:tc>
        <w:tc>
          <w:tcPr>
            <w:tcW w:type="dxa" w:w="2160"/>
          </w:tcPr>
          <w:p>
            <w:r>
              <w:t>0.25%</w:t>
            </w:r>
          </w:p>
        </w:tc>
      </w:tr>
      <w:tr>
        <w:tc>
          <w:tcPr>
            <w:tcW w:type="dxa" w:w="2160"/>
          </w:tcPr>
          <w:p>
            <w:r>
              <w:t>ATAC</w:t>
            </w:r>
          </w:p>
        </w:tc>
        <w:tc>
          <w:tcPr>
            <w:tcW w:type="dxa" w:w="2160"/>
          </w:tcPr>
          <w:p>
            <w:r>
              <w:t>1</w:t>
            </w:r>
          </w:p>
        </w:tc>
        <w:tc>
          <w:tcPr>
            <w:tcW w:type="dxa" w:w="2160"/>
          </w:tcPr>
          <w:p>
            <w:r>
              <w:t>167</w:t>
            </w:r>
          </w:p>
        </w:tc>
        <w:tc>
          <w:tcPr>
            <w:tcW w:type="dxa" w:w="2160"/>
          </w:tcPr>
          <w:p>
            <w:r>
              <w:t>0.60%</w:t>
            </w:r>
          </w:p>
        </w:tc>
      </w:tr>
      <w:tr>
        <w:tc>
          <w:tcPr>
            <w:tcW w:type="dxa" w:w="2160"/>
          </w:tcPr>
          <w:p>
            <w:r>
              <w:t>Histone ChIP</w:t>
            </w:r>
          </w:p>
        </w:tc>
        <w:tc>
          <w:tcPr>
            <w:tcW w:type="dxa" w:w="2160"/>
          </w:tcPr>
          <w:p>
            <w:r>
              <w:t>8</w:t>
            </w:r>
          </w:p>
        </w:tc>
        <w:tc>
          <w:tcPr>
            <w:tcW w:type="dxa" w:w="2160"/>
          </w:tcPr>
          <w:p>
            <w:r>
              <w:t>1,116</w:t>
            </w:r>
          </w:p>
        </w:tc>
        <w:tc>
          <w:tcPr>
            <w:tcW w:type="dxa" w:w="2160"/>
          </w:tcPr>
          <w:p>
            <w:r>
              <w:t>0.72%</w:t>
            </w:r>
          </w:p>
        </w:tc>
      </w:tr>
      <w:tr>
        <w:tc>
          <w:tcPr>
            <w:tcW w:type="dxa" w:w="2160"/>
          </w:tcPr>
          <w:p>
            <w:r>
              <w:t>CAGE</w:t>
            </w:r>
          </w:p>
        </w:tc>
        <w:tc>
          <w:tcPr>
            <w:tcW w:type="dxa" w:w="2160"/>
          </w:tcPr>
          <w:p>
            <w:r>
              <w:t>12</w:t>
            </w:r>
          </w:p>
        </w:tc>
        <w:tc>
          <w:tcPr>
            <w:tcW w:type="dxa" w:w="2160"/>
          </w:tcPr>
          <w:p>
            <w:r>
              <w:t>546</w:t>
            </w:r>
          </w:p>
        </w:tc>
        <w:tc>
          <w:tcPr>
            <w:tcW w:type="dxa" w:w="2160"/>
          </w:tcPr>
          <w:p>
            <w:r>
              <w:t>2.20%</w:t>
            </w:r>
          </w:p>
        </w:tc>
      </w:tr>
      <w:tr>
        <w:tc>
          <w:tcPr>
            <w:tcW w:type="dxa" w:w="2160"/>
          </w:tcPr>
          <w:p>
            <w:r>
              <w:t>RNA-seq</w:t>
            </w:r>
          </w:p>
        </w:tc>
        <w:tc>
          <w:tcPr>
            <w:tcW w:type="dxa" w:w="2160"/>
          </w:tcPr>
          <w:p>
            <w:r>
              <w:t>23</w:t>
            </w:r>
          </w:p>
        </w:tc>
        <w:tc>
          <w:tcPr>
            <w:tcW w:type="dxa" w:w="2160"/>
          </w:tcPr>
          <w:p>
            <w:r>
              <w:t>667</w:t>
            </w:r>
          </w:p>
        </w:tc>
        <w:tc>
          <w:tcPr>
            <w:tcW w:type="dxa" w:w="2160"/>
          </w:tcPr>
          <w:p>
            <w:r>
              <w:t>3.45%</w:t>
            </w:r>
          </w:p>
        </w:tc>
      </w:tr>
      <w:tr>
        <w:tc>
          <w:tcPr>
            <w:tcW w:type="dxa" w:w="2160"/>
          </w:tcPr>
          <w:p>
            <w:r>
              <w:t>DNase</w:t>
            </w:r>
          </w:p>
        </w:tc>
        <w:tc>
          <w:tcPr>
            <w:tcW w:type="dxa" w:w="2160"/>
          </w:tcPr>
          <w:p>
            <w:r>
              <w:t>13</w:t>
            </w:r>
          </w:p>
        </w:tc>
        <w:tc>
          <w:tcPr>
            <w:tcW w:type="dxa" w:w="2160"/>
          </w:tcPr>
          <w:p>
            <w:r>
              <w:t>305</w:t>
            </w:r>
          </w:p>
        </w:tc>
        <w:tc>
          <w:tcPr>
            <w:tcW w:type="dxa" w:w="2160"/>
          </w:tcPr>
          <w:p>
            <w:r>
              <w:t>4.26%</w:t>
            </w:r>
          </w:p>
        </w:tc>
      </w:tr>
      <w:tr>
        <w:tc>
          <w:tcPr>
            <w:tcW w:type="dxa" w:w="2160"/>
          </w:tcPr>
          <w:p>
            <w:r>
              <w:t>Splice site usage</w:t>
            </w:r>
          </w:p>
        </w:tc>
        <w:tc>
          <w:tcPr>
            <w:tcW w:type="dxa" w:w="2160"/>
          </w:tcPr>
          <w:p>
            <w:r>
              <w:t>28</w:t>
            </w:r>
          </w:p>
        </w:tc>
        <w:tc>
          <w:tcPr>
            <w:tcW w:type="dxa" w:w="2160"/>
          </w:tcPr>
          <w:p>
            <w:r>
              <w:t>734</w:t>
            </w:r>
          </w:p>
        </w:tc>
        <w:tc>
          <w:tcPr>
            <w:tcW w:type="dxa" w:w="2160"/>
          </w:tcPr>
          <w:p>
            <w:r>
              <w:t>3.81%</w:t>
            </w:r>
          </w:p>
        </w:tc>
      </w:tr>
      <w:tr>
        <w:tc>
          <w:tcPr>
            <w:tcW w:type="dxa" w:w="2160"/>
          </w:tcPr>
          <w:p>
            <w:r>
              <w:t>Splice junctions</w:t>
            </w:r>
          </w:p>
        </w:tc>
        <w:tc>
          <w:tcPr>
            <w:tcW w:type="dxa" w:w="2160"/>
          </w:tcPr>
          <w:p>
            <w:r>
              <w:t>14</w:t>
            </w:r>
          </w:p>
        </w:tc>
        <w:tc>
          <w:tcPr>
            <w:tcW w:type="dxa" w:w="2160"/>
          </w:tcPr>
          <w:p>
            <w:r>
              <w:t>367</w:t>
            </w:r>
          </w:p>
        </w:tc>
        <w:tc>
          <w:tcPr>
            <w:tcW w:type="dxa" w:w="2160"/>
          </w:tcPr>
          <w:p>
            <w:r>
              <w:t>3.81%</w:t>
            </w:r>
          </w:p>
        </w:tc>
      </w:tr>
      <w:tr>
        <w:tc>
          <w:tcPr>
            <w:tcW w:type="dxa" w:w="2160"/>
          </w:tcPr>
          <w:p>
            <w:r>
              <w:t>Contact maps</w:t>
            </w:r>
          </w:p>
        </w:tc>
        <w:tc>
          <w:tcPr>
            <w:tcW w:type="dxa" w:w="2160"/>
          </w:tcPr>
          <w:p>
            <w:r>
              <w:t>0</w:t>
            </w:r>
          </w:p>
        </w:tc>
        <w:tc>
          <w:tcPr>
            <w:tcW w:type="dxa" w:w="2160"/>
          </w:tcPr>
          <w:p>
            <w:r>
              <w:t>28</w:t>
            </w:r>
          </w:p>
        </w:tc>
        <w:tc>
          <w:tcPr>
            <w:tcW w:type="dxa" w:w="2160"/>
          </w:tcPr>
          <w:p>
            <w:r>
              <w:t>0%</w:t>
            </w:r>
          </w:p>
        </w:tc>
      </w:tr>
      <w:tr>
        <w:tc>
          <w:tcPr>
            <w:tcW w:type="dxa" w:w="2160"/>
          </w:tcPr>
          <w:p>
            <w:r>
              <w:t>PRO-cap</w:t>
            </w:r>
          </w:p>
        </w:tc>
        <w:tc>
          <w:tcPr>
            <w:tcW w:type="dxa" w:w="2160"/>
          </w:tcPr>
          <w:p>
            <w:r>
              <w:t>0</w:t>
            </w:r>
          </w:p>
        </w:tc>
        <w:tc>
          <w:tcPr>
            <w:tcW w:type="dxa" w:w="2160"/>
          </w:tcPr>
          <w:p>
            <w:r>
              <w:t>12</w:t>
            </w:r>
          </w:p>
        </w:tc>
        <w:tc>
          <w:tcPr>
            <w:tcW w:type="dxa" w:w="2160"/>
          </w:tcPr>
          <w:p>
            <w:r>
              <w:t>0%</w:t>
            </w:r>
          </w:p>
        </w:tc>
      </w:tr>
    </w:tbl>
    <w:p>
      <w:r/>
      <w:r>
        <w:rPr>
          <w:b/>
        </w:rPr>
        <w:t>The four sharpest facts.</w:t>
      </w:r>
      <w:r/>
    </w:p>
    <w:p>
      <w:pPr>
        <w:pStyle w:val="ListNumber"/>
      </w:pPr>
      <w:r/>
      <w:r>
        <w:rPr>
          <w:b/>
        </w:rPr>
        <w:t>All four kidney transcription-factor tracks are CTCF.</w:t>
      </w:r>
      <w:r>
        <w:t xml:space="preserve"> Not one</w:t>
      </w:r>
    </w:p>
    <w:p>
      <w:r>
        <w:t>kidney-relevant transcription factor (HNF1B, PAX2, WT1, PPARGC1A, ESRRB) has been assayed in kidney tissue. HEK293 alone carries 111 TF tracks, 27.8 times the kidney total, and covers 110 distinct factors.</w:t>
      </w:r>
    </w:p>
    <w:p>
      <w:pPr>
        <w:pStyle w:val="ListNumber"/>
      </w:pPr>
      <w:r/>
      <w:r>
        <w:rPr>
          <w:b/>
        </w:rPr>
        <w:t>Kidney parenchyma has exactly one ATAC track</w:t>
      </w:r>
      <w:r>
        <w:t>, the whole adult organ. No</w:t>
      </w:r>
    </w:p>
    <w:p>
      <w:r>
        <w:t>cell-type-resolved kidney chromatin accessibility exists in the model at all.</w:t>
      </w:r>
    </w:p>
    <w:p>
      <w:pPr>
        <w:pStyle w:val="ListNumber"/>
      </w:pPr>
      <w:r/>
      <w:r>
        <w:rPr>
          <w:b/>
        </w:rPr>
        <w:t>The entire distal nephron is absent.</w:t>
      </w:r>
      <w:r>
        <w:t xml:space="preserve"> Collecting duct, thick ascending</w:t>
      </w:r>
    </w:p>
    <w:p>
      <w:r>
        <w:t>limb, loop of Henle, distal convoluted tubule, principal cell, intercalated cell, macula densa, juxtaglomerular apparatus, parietal epithelial cell, connecting tubule, inner medulla and renal papilla: twelve of twelve absent. Podocyte appears once, as a single DNase track, from a child donor.</w:t>
      </w:r>
    </w:p>
    <w:p>
      <w:pPr>
        <w:pStyle w:val="ListNumber"/>
      </w:pPr>
      <w:r/>
      <w:r>
        <w:rPr>
          <w:b/>
        </w:rPr>
        <w:t>Kidney tracks are developmentally skewed.</w:t>
      </w:r>
      <w:r>
        <w:t xml:space="preserve"> 37% of kidney tracks are</w:t>
      </w:r>
    </w:p>
    <w:p>
      <w:r>
        <w:t>embryonic against 15% across all tracks, and only 25% are adult against 46% overall. Much of what the model knows about kidney, it learned from fetal tissue.</w:t>
      </w:r>
    </w:p>
    <w:p>
      <w:pPr>
        <w:pStyle w:val="Heading2"/>
      </w:pPr>
      <w:r>
        <w:t>4. Three methodological traps, all found and fixed on day 1</w:t>
      </w:r>
    </w:p>
    <w:p>
      <w:r>
        <w:t>These belong in the Methods section. Each one would have produced a wrong number, and the first two would have inflated the kidney count in our favour, which is the direction a reviewer will look hardest at.</w:t>
      </w:r>
    </w:p>
    <w:p>
      <w:r/>
      <w:r>
        <w:rPr>
          <w:b/>
        </w:rPr>
        <w:t>"adrenal gland" contains the string "renal".</w:t>
      </w:r>
      <w:r>
        <w:t xml:space="preserve"> Substring matching on /renal/ captures 27 adrenal tracks plus 2 perirenal adipocyte and 2 perirenal preadipocyte tracks, 31 in total. Every biosample in this analysis is therefore classified by an explicit curated name list, never by substring. A guard function fails the run if a future release introduces a kidney-like name that has not been curated.</w:t>
      </w:r>
    </w:p>
    <w:p>
      <w:r/>
      <w:r>
        <w:rPr>
          <w:b/>
        </w:rPr>
        <w:t>"papilla" matches tongue and hair follicle.</w:t>
      </w:r>
      <w:r>
        <w:t xml:space="preserve"> Testing for renal papilla with the bare term returns PRESENT because of "fungiform papilla" and "hair follicle dermal papilla cell". Qualified to "renal papilla", it is correctly ABSENT.</w:t>
      </w:r>
    </w:p>
    <w:p>
      <w:r/>
      <w:r>
        <w:rPr>
          <w:b/>
        </w:rPr>
        <w:t>The canonical manifest contains 563 padding placeholders.</w:t>
      </w:r>
      <w:r>
        <w:t xml:space="preserve"> The protobuf manifest has 6,126 rows against the notebook dataframe's 5,563. The difference is entirely rows literally named "Padding", which pad each modality's output head to a round size: PRO-cap to 128, ATAC to 256, DNase to 384, CAGE to 640, RNA-seq to 768, histone to 1,152, TF to 1,664. Counting them inflates every denominator. Removing them reconciles the manifest to the dataframe exactly, in every modality. A near-miss worth recording: identifying padding by "empty biosample" instead of by name also discards the four real splice-site tracks, which are annotation-derived and legitimately tissue-free, and breaks reconciliation by exactly four.</w:t>
      </w:r>
    </w:p>
    <w:p>
      <w:pPr>
        <w:pStyle w:val="Heading2"/>
      </w:pPr>
      <w:r>
        <w:t>5. What remains to be done</w:t>
      </w:r>
    </w:p>
    <w:p>
      <w:r/>
      <w:r>
        <w:rPr>
          <w:b/>
        </w:rPr>
        <w:t>Leg 2, the quantitative re-analysis. Part 1 is DONE</w:t>
      </w:r>
      <w:r>
        <w:t xml:space="preserve"> (</w:t>
      </w:r>
      <w:r>
        <w:rPr>
          <w:rFonts w:ascii="Menlo" w:hAnsi="Menlo"/>
        </w:rPr>
        <w:t>analysis/03_gtex_tissue_weighting.py</w:t>
      </w:r>
      <w:r>
        <w:t>).</w:t>
      </w:r>
    </w:p>
    <w:p>
      <w:r>
        <w:t>The headline accuracy figure in the AlphaGenome paper is a Spearman correlation averaged across tissues *weighted by the number of eQTLs in each tissue*. That weighting is what buries kidney, and the size of the effect is now measured: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GTEx v8 (benchmark release)</w:t>
            </w:r>
          </w:p>
        </w:tc>
        <w:tc>
          <w:tcPr>
            <w:tcW w:type="dxa" w:w="2880"/>
          </w:tcPr>
          <w:p>
            <w:r>
              <w:t>GTEx v10 (current)</w:t>
            </w:r>
          </w:p>
        </w:tc>
      </w:tr>
      <w:tr>
        <w:tc>
          <w:tcPr>
            <w:tcW w:type="dxa" w:w="2880"/>
          </w:tcPr>
          <w:p>
            <w:r>
              <w:t>Tissues with eQTLs</w:t>
            </w:r>
          </w:p>
        </w:tc>
        <w:tc>
          <w:tcPr>
            <w:tcW w:type="dxa" w:w="2880"/>
          </w:tcPr>
          <w:p>
            <w:r>
              <w:t>49</w:t>
            </w:r>
          </w:p>
        </w:tc>
        <w:tc>
          <w:tcPr>
            <w:tcW w:type="dxa" w:w="2880"/>
          </w:tcPr>
          <w:p>
            <w:r>
              <w:t>50</w:t>
            </w:r>
          </w:p>
        </w:tc>
      </w:tr>
      <w:tr>
        <w:tc>
          <w:tcPr>
            <w:tcW w:type="dxa" w:w="2880"/>
          </w:tcPr>
          <w:p>
            <w:r>
              <w:t>Kidney cortex eQTL n</w:t>
            </w:r>
          </w:p>
        </w:tc>
        <w:tc>
          <w:tcPr>
            <w:tcW w:type="dxa" w:w="2880"/>
          </w:tcPr>
          <w:p>
            <w:r>
              <w:t>73 (median 233)</w:t>
            </w:r>
          </w:p>
        </w:tc>
        <w:tc>
          <w:tcPr>
            <w:tcW w:type="dxa" w:w="2880"/>
          </w:tcPr>
          <w:p>
            <w:r>
              <w:t>103 (median 304)</w:t>
            </w:r>
          </w:p>
        </w:tc>
      </w:tr>
      <w:tr>
        <w:tc>
          <w:tcPr>
            <w:tcW w:type="dxa" w:w="2880"/>
          </w:tcPr>
          <w:p>
            <w:r>
              <w:t>Kidney cortex eGenes</w:t>
            </w:r>
          </w:p>
        </w:tc>
        <w:tc>
          <w:tcPr>
            <w:tcW w:type="dxa" w:w="2880"/>
          </w:tcPr>
          <w:p>
            <w:r>
              <w:t>1,260 (median 9,642)</w:t>
            </w:r>
          </w:p>
        </w:tc>
        <w:tc>
          <w:tcPr>
            <w:tcW w:type="dxa" w:w="2880"/>
          </w:tcPr>
          <w:p>
            <w:r>
              <w:t>2,718 (median 12,574)</w:t>
            </w:r>
          </w:p>
        </w:tc>
      </w:tr>
      <w:tr>
        <w:tc>
          <w:tcPr>
            <w:tcW w:type="dxa" w:w="2880"/>
          </w:tcPr>
          <w:p>
            <w:r>
              <w:t>Rank by sample size</w:t>
            </w:r>
          </w:p>
        </w:tc>
        <w:tc>
          <w:tcPr>
            <w:tcW w:type="dxa" w:w="2880"/>
          </w:tcPr>
          <w:p>
            <w:r/>
            <w:r>
              <w:rPr>
                <w:b/>
              </w:rPr>
              <w:t>1st, smallest</w:t>
            </w:r>
            <w:r/>
          </w:p>
        </w:tc>
        <w:tc>
          <w:tcPr>
            <w:tcW w:type="dxa" w:w="2880"/>
          </w:tcPr>
          <w:p>
            <w:r>
              <w:t>2nd (Bladder smaller)</w:t>
            </w:r>
          </w:p>
        </w:tc>
      </w:tr>
      <w:tr>
        <w:tc>
          <w:tcPr>
            <w:tcW w:type="dxa" w:w="2880"/>
          </w:tcPr>
          <w:p>
            <w:r>
              <w:t>Rank by eGenes</w:t>
            </w:r>
          </w:p>
        </w:tc>
        <w:tc>
          <w:tcPr>
            <w:tcW w:type="dxa" w:w="2880"/>
          </w:tcPr>
          <w:p>
            <w:r/>
            <w:r>
              <w:rPr>
                <w:b/>
              </w:rPr>
              <w:t>1st, smallest</w:t>
            </w:r>
            <w:r/>
          </w:p>
        </w:tc>
        <w:tc>
          <w:tcPr>
            <w:tcW w:type="dxa" w:w="2880"/>
          </w:tcPr>
          <w:p>
            <w:r>
              <w:t>2nd</w:t>
            </w:r>
          </w:p>
        </w:tc>
      </w:tr>
      <w:tr>
        <w:tc>
          <w:tcPr>
            <w:tcW w:type="dxa" w:w="2880"/>
          </w:tcPr>
          <w:p>
            <w:r>
              <w:t>Weight vs unweighted</w:t>
            </w:r>
          </w:p>
        </w:tc>
        <w:tc>
          <w:tcPr>
            <w:tcW w:type="dxa" w:w="2880"/>
          </w:tcPr>
          <w:p>
            <w:r/>
            <w:r>
              <w:rPr>
                <w:b/>
              </w:rPr>
              <w:t>down-weighted 7.71x</w:t>
            </w:r>
            <w:r/>
          </w:p>
        </w:tc>
        <w:tc>
          <w:tcPr>
            <w:tcW w:type="dxa" w:w="2880"/>
          </w:tcPr>
          <w:p>
            <w:r>
              <w:t>down-weighted 4.47x</w:t>
            </w:r>
          </w:p>
        </w:tc>
      </w:tr>
    </w:tbl>
    <w:p>
      <w:r/>
      <w:r>
        <w:rPr>
          <w:b/>
        </w:rPr>
        <w:t>ALWAYS NAME THE RELEASE.</w:t>
      </w:r>
      <w:r>
        <w:t xml:space="preserve"> In v8, the release the model was benchmarked on, kidney cortex is the smallest tissue of 49 on both measures. In v10 it is second of 50, because Bladder was added. An unqualified "fewest eQTLs of any tissue" is false today and a reviewer will catch it. The script computes both side by side so the manuscript cannot drift.</w:t>
      </w:r>
    </w:p>
    <w:p>
      <w:r>
        <w:t xml:space="preserve">Kidney medulla carries weight </w:t>
      </w:r>
      <w:r>
        <w:rPr>
          <w:b/>
        </w:rPr>
        <w:t>zero</w:t>
      </w:r>
      <w:r>
        <w:t xml:space="preserve"> in both: 11 RNA-seq samples in v10 and eQTLs never called, in any release.</w:t>
      </w:r>
    </w:p>
    <w:p>
      <w:r>
        <w:t xml:space="preserve">Sensitivity, framed as a hypothetical because kidney's true performance is not yet measured: a kidney-specific Spearman deficit of any size shows up </w:t>
      </w:r>
      <w:r>
        <w:rPr>
          <w:b/>
        </w:rPr>
        <w:t>4.5 to 7.7 times more visibly</w:t>
      </w:r>
      <w:r>
        <w:t xml:space="preserve"> in an unweighted average than in the published one.</w:t>
      </w:r>
    </w:p>
    <w:p>
      <w:r/>
      <w:r>
        <w:rPr>
          <w:b/>
        </w:rPr>
        <w:t>Part 2, DONE: ground truth pulled.</w:t>
      </w:r>
      <w:r>
        <w:t xml:space="preserve"> Decision taken 13 Sep 2026 to re-run against the eQTL Catalogue rather than lift per-tissue numbers from the published figures. Three reasons, and the third decides it:</w:t>
      </w:r>
    </w:p>
    <w:p>
      <w:pPr>
        <w:pStyle w:val="ListNumber"/>
      </w:pPr>
      <w:r/>
      <w:r>
        <w:rPr>
          <w:b/>
        </w:rPr>
        <w:t>Uniform processing.</w:t>
      </w:r>
      <w:r>
        <w:t xml:space="preserve"> All 49 GTEx tissues re-quantified through one</w:t>
      </w:r>
    </w:p>
    <w:p>
      <w:r>
        <w:t>pipeline, so per-tissue comparison is not confounded by pipeline differences.</w:t>
      </w:r>
    </w:p>
    <w:p>
      <w:pPr>
        <w:pStyle w:val="ListNumber"/>
      </w:pPr>
      <w:r/>
      <w:r>
        <w:rPr>
          <w:b/>
        </w:rPr>
        <w:t>Licence.</w:t>
      </w:r>
      <w:r>
        <w:t xml:space="preserve"> CC BY 4.0, commercial use permitted. The other large kidney eQTL</w:t>
      </w:r>
    </w:p>
    <w:p>
      <w:r>
        <w:t>resource is licence-conflicted and cannot safely anchor a published figure.</w:t>
      </w:r>
    </w:p>
    <w:p>
      <w:pPr>
        <w:pStyle w:val="ListNumber"/>
      </w:pPr>
      <w:r/>
      <w:r>
        <w:rPr>
          <w:b/>
        </w:rPr>
        <w:t>Same vintage as the benchmark.</w:t>
      </w:r>
      <w:r>
        <w:t xml:space="preserve"> The catalogue's GTEx is v8, kidney cortex</w:t>
      </w:r>
    </w:p>
    <w:p>
      <w:r>
        <w:t>n=73, which reproduces the GTEx API v8 figures exactly and independently. Benchmarking against v10 would compare the model to data that did not exist when it was evaluated.</w:t>
      </w:r>
    </w:p>
    <w:p>
      <w:r>
        <w:t xml:space="preserve">Confirmed on disk: the catalogue carries </w:t>
      </w:r>
      <w:r>
        <w:rPr>
          <w:b/>
        </w:rPr>
        <w:t>all 49 GTEx v8 gene-expression datasets</w:t>
      </w:r>
      <w:r>
        <w:t xml:space="preserve">, n=73 to 702, median 233, with kidney cortex the smallest. Two files per tissue are enough and the full 2.4 GB nominal sumstats are not needed: </w:t>
      </w:r>
      <w:r>
        <w:rPr>
          <w:rFonts w:ascii="Menlo" w:hAnsi="Menlo"/>
        </w:rPr>
        <w:t>permuted</w:t>
      </w:r>
      <w:r>
        <w:t xml:space="preserve"> (one lead variant per gene, ~0.9 MB) and </w:t>
      </w:r>
      <w:r>
        <w:rPr>
          <w:rFonts w:ascii="Menlo" w:hAnsi="Menlo"/>
        </w:rPr>
        <w:t>susie</w:t>
      </w:r>
      <w:r>
        <w:t xml:space="preserve"> (fine-mapped credible sets, ~0.3-1 MB). Roughly 100 MB total. Fetcher is </w:t>
      </w:r>
      <w:r>
        <w:rPr>
          <w:rFonts w:ascii="Menlo" w:hAnsi="Menlo"/>
        </w:rPr>
        <w:t>analysis/05_fetch_eqtl_catalogue.py</w:t>
      </w:r>
      <w:r>
        <w:t>, throttled at 1.5 s with backoff and resume, because the catalogue blacklists addresses it reads as denial-of-service.</w:t>
      </w:r>
    </w:p>
    <w:p>
      <w:r/>
      <w:r>
        <w:rPr>
          <w:b/>
        </w:rPr>
        <w:t>Part 3, benchmark set construction</w:t>
      </w:r>
      <w:r>
        <w:t xml:space="preserve"> (</w:t>
      </w:r>
      <w:r>
        <w:rPr>
          <w:rFonts w:ascii="Menlo" w:hAnsi="Menlo"/>
        </w:rPr>
        <w:t>analysis/06_build_benchmark_set.py</w:t>
      </w:r>
      <w:r>
        <w:t xml:space="preserve">). Positives are variants in a SuSiE credible set with posterior inclusion probability at or above 0.9 </w:t>
      </w:r>
      <w:r>
        <w:rPr>
          <w:b/>
        </w:rPr>
        <w:t>and</w:t>
      </w:r>
      <w:r>
        <w:t xml:space="preserve"> credible-set size at or below 5. Both filters are needed: probability alone admits variants from 200-member sets where the posterior is diffuse, and the size cap requires that fine-mapping actually resolved the signal. Observed beta and z are the regression target.</w:t>
      </w:r>
    </w:p>
    <w:p>
      <w:r/>
      <w:r>
        <w:rPr>
          <w:b/>
        </w:rPr>
        <w:t>The set is frozen before any model runs.</w:t>
      </w:r>
      <w:r>
        <w:t xml:space="preserve"> That is deliberate. Building and publishing the evaluation set first is what stops the thresholds being tuned to a flattering answer, and it is the difference between a benchmark and a demonstration.</w:t>
      </w:r>
    </w:p>
    <w:p>
      <w:r/>
      <w:r>
        <w:rPr>
          <w:b/>
        </w:rPr>
        <w:t>Part 4, DONE, and it changed the paper's conclusion</w:t>
      </w:r>
      <w:r>
        <w:t xml:space="preserve"> (</w:t>
      </w:r>
      <w:r>
        <w:rPr>
          <w:rFonts w:ascii="Menlo" w:hAnsi="Menlo"/>
        </w:rPr>
        <w:t>analysis/07_power_and_threshold_sensitivity.py</w:t>
      </w:r>
      <w:r>
        <w:t>).</w:t>
      </w:r>
    </w:p>
    <w:p>
      <w:r>
        <w:t>Building the set produced a result bigger than the weighting argument.</w:t>
      </w:r>
    </w:p>
    <w:tbl>
      <w:tblPr>
        <w:tblStyle w:val="LightGrid-Accent1"/>
        <w:tblW w:type="auto" w:w="0"/>
        <w:tblLook w:firstColumn="1" w:firstRow="1" w:lastColumn="0" w:lastRow="0" w:noHBand="0" w:noVBand="1" w:val="04A0"/>
      </w:tblPr>
      <w:tblGrid>
        <w:gridCol w:w="4320"/>
        <w:gridCol w:w="4320"/>
      </w:tblGrid>
      <w:tr>
        <w:tc>
          <w:tcPr>
            <w:tcW w:type="dxa" w:w="4320"/>
          </w:tcPr>
          <w:p>
            <w:r>
              <w:t>Tissue</w:t>
            </w:r>
          </w:p>
        </w:tc>
        <w:tc>
          <w:tcPr>
            <w:tcW w:type="dxa" w:w="4320"/>
          </w:tcPr>
          <w:p>
            <w:r>
              <w:t>Fine-mapped positives</w:t>
            </w:r>
          </w:p>
        </w:tc>
      </w:tr>
      <w:tr>
        <w:tc>
          <w:tcPr>
            <w:tcW w:type="dxa" w:w="4320"/>
          </w:tcPr>
          <w:p>
            <w:r>
              <w:t>Kidney cortex</w:t>
            </w:r>
          </w:p>
        </w:tc>
        <w:tc>
          <w:tcPr>
            <w:tcW w:type="dxa" w:w="4320"/>
          </w:tcPr>
          <w:p>
            <w:r/>
            <w:r>
              <w:rPr>
                <w:b/>
              </w:rPr>
              <w:t>59</w:t>
            </w:r>
            <w:r/>
          </w:p>
        </w:tc>
      </w:tr>
      <w:tr>
        <w:tc>
          <w:tcPr>
            <w:tcW w:type="dxa" w:w="4320"/>
          </w:tcPr>
          <w:p>
            <w:r>
              <w:t>Vagina (2nd smallest)</w:t>
            </w:r>
          </w:p>
        </w:tc>
        <w:tc>
          <w:tcPr>
            <w:tcW w:type="dxa" w:w="4320"/>
          </w:tcPr>
          <w:p>
            <w:r>
              <w:t>146</w:t>
            </w:r>
          </w:p>
        </w:tc>
      </w:tr>
      <w:tr>
        <w:tc>
          <w:tcPr>
            <w:tcW w:type="dxa" w:w="4320"/>
          </w:tcPr>
          <w:p>
            <w:r>
              <w:t>Median across 49 tissues</w:t>
            </w:r>
          </w:p>
        </w:tc>
        <w:tc>
          <w:tcPr>
            <w:tcW w:type="dxa" w:w="4320"/>
          </w:tcPr>
          <w:p>
            <w:r>
              <w:t>616</w:t>
            </w:r>
          </w:p>
        </w:tc>
      </w:tr>
      <w:tr>
        <w:tc>
          <w:tcPr>
            <w:tcW w:type="dxa" w:w="4320"/>
          </w:tcPr>
          <w:p>
            <w:r>
              <w:t>Thyroid (largest)</w:t>
            </w:r>
          </w:p>
        </w:tc>
        <w:tc>
          <w:tcPr>
            <w:tcW w:type="dxa" w:w="4320"/>
          </w:tcPr>
          <w:p>
            <w:r>
              <w:t>1,756</w:t>
            </w:r>
          </w:p>
        </w:tc>
      </w:tr>
    </w:tbl>
    <w:p>
      <w:r>
        <w:t xml:space="preserve">Kidney cortex is </w:t>
      </w:r>
      <w:r>
        <w:rPr>
          <w:b/>
        </w:rPr>
        <w:t>last of 49</w:t>
      </w:r>
      <w:r>
        <w:t>, with fewer than half the next smallest, and 30-fold below the largest. Total across all tissues is 32,818 variants.</w:t>
      </w:r>
    </w:p>
    <w:p>
      <w:r/>
      <w:r>
        <w:rPr>
          <w:b/>
        </w:rPr>
        <w:t>Challenge 1, is it my thresholds?</w:t>
      </w:r>
      <w:r>
        <w:t xml:space="preserve"> No. Swept across 36 settings (posterior probability 0.5 to 0.99, credible-set size 1 to uncapped), </w:t>
      </w:r>
      <w:r>
        <w:rPr>
          <w:b/>
        </w:rPr>
        <w:t>kidney is the smallest tissue at every single one</w:t>
      </w:r>
      <w:r>
        <w:t>, always 27 to 33-fold below the largest. The filter is not producing the result; the data is. The grid goes in the supplement.</w:t>
      </w:r>
    </w:p>
    <w:p>
      <w:r/>
      <w:r>
        <w:rPr>
          <w:b/>
        </w:rPr>
        <w:t>Challenge 2, what do 59 variants buy?</w:t>
      </w:r>
      <w:r>
        <w:t xml:space="preserve"> A 95% interval on Spearman's rho at n=59, using the Bonett-Wright standard error for rank correlation: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True rho</w:t>
            </w:r>
          </w:p>
        </w:tc>
        <w:tc>
          <w:tcPr>
            <w:tcW w:type="dxa" w:w="2880"/>
          </w:tcPr>
          <w:p>
            <w:r>
              <w:t>Kidney (n=59)</w:t>
            </w:r>
          </w:p>
        </w:tc>
        <w:tc>
          <w:tcPr>
            <w:tcW w:type="dxa" w:w="2880"/>
          </w:tcPr>
          <w:p>
            <w:r>
              <w:t>Thyroid (n=1,756)</w:t>
            </w:r>
          </w:p>
        </w:tc>
      </w:tr>
      <w:tr>
        <w:tc>
          <w:tcPr>
            <w:tcW w:type="dxa" w:w="2880"/>
          </w:tcPr>
          <w:p>
            <w:r>
              <w:t>0.0</w:t>
            </w:r>
          </w:p>
        </w:tc>
        <w:tc>
          <w:tcPr>
            <w:tcW w:type="dxa" w:w="2880"/>
          </w:tcPr>
          <w:p>
            <w:r>
              <w:t>-0.26 to 0.26</w:t>
            </w:r>
          </w:p>
        </w:tc>
        <w:tc>
          <w:tcPr>
            <w:tcW w:type="dxa" w:w="2880"/>
          </w:tcPr>
          <w:p>
            <w:r>
              <w:t>-0.05 to 0.05</w:t>
            </w:r>
          </w:p>
        </w:tc>
      </w:tr>
      <w:tr>
        <w:tc>
          <w:tcPr>
            <w:tcW w:type="dxa" w:w="2880"/>
          </w:tcPr>
          <w:p>
            <w:r>
              <w:t>0.4</w:t>
            </w:r>
          </w:p>
        </w:tc>
        <w:tc>
          <w:tcPr>
            <w:tcW w:type="dxa" w:w="2880"/>
          </w:tcPr>
          <w:p>
            <w:r>
              <w:t>0.15 to 0.60</w:t>
            </w:r>
          </w:p>
        </w:tc>
        <w:tc>
          <w:tcPr>
            <w:tcW w:type="dxa" w:w="2880"/>
          </w:tcPr>
          <w:p>
            <w:r>
              <w:t>0.36 to 0.44</w:t>
            </w:r>
          </w:p>
        </w:tc>
      </w:tr>
      <w:tr>
        <w:tc>
          <w:tcPr>
            <w:tcW w:type="dxa" w:w="2880"/>
          </w:tcPr>
          <w:p>
            <w:r>
              <w:t>0.6</w:t>
            </w:r>
          </w:p>
        </w:tc>
        <w:tc>
          <w:tcPr>
            <w:tcW w:type="dxa" w:w="2880"/>
          </w:tcPr>
          <w:p>
            <w:r>
              <w:t>0.39 to 0.75</w:t>
            </w:r>
          </w:p>
        </w:tc>
        <w:tc>
          <w:tcPr>
            <w:tcW w:type="dxa" w:w="2880"/>
          </w:tcPr>
          <w:p>
            <w:r>
              <w:t>0.57 to 0.63</w:t>
            </w:r>
          </w:p>
        </w:tc>
      </w:tr>
      <w:tr>
        <w:tc>
          <w:tcPr>
            <w:tcW w:type="dxa" w:w="2880"/>
          </w:tcPr>
          <w:p>
            <w:r>
              <w:t>0.8</w:t>
            </w:r>
          </w:p>
        </w:tc>
        <w:tc>
          <w:tcPr>
            <w:tcW w:type="dxa" w:w="2880"/>
          </w:tcPr>
          <w:p>
            <w:r>
              <w:t>0.66 to 0.89</w:t>
            </w:r>
          </w:p>
        </w:tc>
        <w:tc>
          <w:tcPr>
            <w:tcW w:type="dxa" w:w="2880"/>
          </w:tcPr>
          <w:p>
            <w:r>
              <w:t>0.78 to 0.82</w:t>
            </w:r>
          </w:p>
        </w:tc>
      </w:tr>
    </w:tbl>
    <w:p>
      <w:r>
        <w:t>Kidney's interval is roughly five to six times wider throughout. At a true rho of 0.6 it spans 0.39 to 0.75, which cannot separate "performs like other tissues" from "performs materially worse".</w:t>
      </w:r>
    </w:p>
    <w:p>
      <w:pPr>
        <w:pStyle w:val="Heading3"/>
      </w:pPr>
      <w:r>
        <w:t>THE CONCLUSION THIS FORCES, and it is better than the one intended</w:t>
      </w:r>
    </w:p>
    <w:p>
      <w:r>
        <w:t xml:space="preserve">Do </w:t>
      </w:r>
      <w:r>
        <w:rPr>
          <w:b/>
        </w:rPr>
        <w:t>not</w:t>
      </w:r>
      <w:r>
        <w:t xml:space="preserve"> write "the model performs poorly in kidney". We cannot show that, and attempting it would be the same overreach as the retracted 86% in the HLA paper.</w:t>
      </w:r>
    </w:p>
    <w:p>
      <w:r>
        <w:t xml:space="preserve">Write instead: </w:t>
      </w:r>
      <w:r>
        <w:rPr>
          <w:b/>
        </w:rPr>
        <w:t>the public evidence cannot currently support any confident statement about kidney performance, and the reason is measurable.</w:t>
      </w:r>
      <w:r>
        <w:t xml:space="preserve"> Kidney is down-weighted 7.71-fold in the published average, and separately it is the tissue with the fewest fine-mapped positives by a factor of thirty, so even a correctly unweighted per-tissue benchmark yields an interval too wide to interpret.</w:t>
      </w:r>
    </w:p>
    <w:p>
      <w:r>
        <w:t>That claim is unassailable, it is a call to action rather than an accusation, and it sits naturally alongside the §1a finding that the underlying assay data does not exist either. Same lesson as the HLA paper: the negative result was the publishable one.</w:t>
      </w:r>
    </w:p>
    <w:p>
      <w:pPr>
        <w:pStyle w:val="Heading2"/>
      </w:pPr>
      <w:r>
        <w:t>5a. THE GATE BEFORE LEG 2 CAN FINISH</w:t>
      </w:r>
    </w:p>
    <w:p>
      <w:r>
        <w:t>Everything to this point needed no permission. The next step does, and it is a decision for CL personally rather than something to be arranged around.</w:t>
      </w:r>
    </w:p>
    <w:p>
      <w:r>
        <w:t xml:space="preserve">Model predictions require either an </w:t>
      </w:r>
      <w:r>
        <w:rPr>
          <w:b/>
        </w:rPr>
        <w:t>AlphaGenome API key</w:t>
      </w:r>
      <w:r>
        <w:t xml:space="preserve"> or </w:t>
      </w:r>
      <w:r>
        <w:rPr>
          <w:b/>
        </w:rPr>
        <w:t>Atlas precomputed scores</w:t>
      </w:r>
      <w:r>
        <w:t xml:space="preserve">. Both are free for non-commercial research and both require accepting terms </w:t>
      </w:r>
      <w:r>
        <w:rPr>
          <w:b/>
        </w:rPr>
        <w:t>in a personal capacity, never on behalf of a company</w:t>
      </w:r>
      <w:r>
        <w:t>. The weights and outputs are restricted to non-commercial use by non-commercial organisations, so this work is authored personally.</w:t>
      </w:r>
    </w:p>
    <w:p>
      <w:r>
        <w:t>Scale matters for the choice. The documentation states the live API suits analyses "requiring 1000s of predictions" and is "likely not suitable for large scale analyses requiring more than 1 million predictions", while the precomputed Atlas "will typically have a larger query rate". Whether 49 tissues of fine-mapped positives fits the API or needs the Atlas is answered by the output of script 06, which is why that script reports the exact variant count before anything is run.</w:t>
      </w:r>
    </w:p>
    <w:p>
      <w:r/>
      <w:r>
        <w:rPr>
          <w:b/>
        </w:rPr>
        <w:t>Leg 3, independent validation. Part 1 is DONE</w:t>
      </w:r>
      <w:r>
        <w:t xml:space="preserve"> (</w:t>
      </w:r>
      <w:r>
        <w:rPr>
          <w:rFonts w:ascii="Menlo" w:hAnsi="Menlo"/>
        </w:rPr>
        <w:t>analysis/04_encode_kidney_inventory.py</w:t>
      </w:r>
      <w:r>
        <w:t>).</w:t>
      </w:r>
    </w:p>
    <w:p>
      <w:r>
        <w:t>ENCODE human kidney inventory, curated the same way as §4 so cell lines cannot contaminate the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Experiments</w:t>
            </w:r>
          </w:p>
        </w:tc>
        <w:tc>
          <w:tcPr>
            <w:tcW w:type="dxa" w:w="2880"/>
          </w:tcPr>
          <w:p>
            <w:r>
              <w:t>Biosamples</w:t>
            </w:r>
          </w:p>
        </w:tc>
      </w:tr>
      <w:tr>
        <w:tc>
          <w:tcPr>
            <w:tcW w:type="dxa" w:w="2880"/>
          </w:tcPr>
          <w:p>
            <w:r>
              <w:t>Tissue or primary cell</w:t>
            </w:r>
          </w:p>
        </w:tc>
        <w:tc>
          <w:tcPr>
            <w:tcW w:type="dxa" w:w="2880"/>
          </w:tcPr>
          <w:p>
            <w:r>
              <w:t>284</w:t>
            </w:r>
          </w:p>
        </w:tc>
        <w:tc>
          <w:tcPr>
            <w:tcW w:type="dxa" w:w="2880"/>
          </w:tcPr>
          <w:p>
            <w:r>
              <w:t>23</w:t>
            </w:r>
          </w:p>
        </w:tc>
      </w:tr>
      <w:tr>
        <w:tc>
          <w:tcPr>
            <w:tcW w:type="dxa" w:w="2880"/>
          </w:tcPr>
          <w:p>
            <w:r>
              <w:t>Cell line (excluded from headline)</w:t>
            </w:r>
          </w:p>
        </w:tc>
        <w:tc>
          <w:tcPr>
            <w:tcW w:type="dxa" w:w="2880"/>
          </w:tcPr>
          <w:p>
            <w:r>
              <w:t>308</w:t>
            </w:r>
          </w:p>
        </w:tc>
        <w:tc>
          <w:tcPr>
            <w:tcW w:type="dxa" w:w="2880"/>
          </w:tcPr>
          <w:p>
            <w:r>
              <w:t>9</w:t>
            </w:r>
          </w:p>
        </w:tc>
      </w:tr>
      <w:tr>
        <w:tc>
          <w:tcPr>
            <w:tcW w:type="dxa" w:w="2880"/>
          </w:tcPr>
          <w:p>
            <w:r>
              <w:t>of which HEK293 / HEK293T</w:t>
            </w:r>
          </w:p>
        </w:tc>
        <w:tc>
          <w:tcPr>
            <w:tcW w:type="dxa" w:w="2880"/>
          </w:tcPr>
          <w:p>
            <w:r>
              <w:t>285</w:t>
            </w:r>
          </w:p>
        </w:tc>
        <w:tc>
          <w:tcPr>
            <w:tcW w:type="dxa" w:w="2880"/>
          </w:tcPr>
          <w:p>
            <w:r>
              <w:t>2</w:t>
            </w:r>
          </w:p>
        </w:tc>
      </w:tr>
    </w:tbl>
    <w:p>
      <w:r>
        <w:t xml:space="preserve">Assays available in kidney tissue or primary cell: DNase-seq 85, long-read RNA-seq 58, polyA RNA-seq 27, Mint-ChIP 24, histone ChIP 22, DNA methylation array 8, total RNA-seq 8, </w:t>
      </w:r>
      <w:r>
        <w:rPr>
          <w:b/>
        </w:rPr>
        <w:t>TF ChIP 7 (all CTCF)</w:t>
      </w:r>
      <w:r>
        <w:t>, RAMPAGE 5, RRBS 4, PRO-cap 2, snRNA-seq 2, snATAC-seq 2, ATAC-seq 2, intact Hi-C 1.</w:t>
      </w:r>
    </w:p>
    <w:p>
      <w:r>
        <w:t>That table is the evidence base for the framing in §1a, and it is also the menu for leg 3. DNase-seq at 85 experiments is the only kidney assay with real depth.</w:t>
      </w:r>
    </w:p>
    <w:p>
      <w:r/>
      <w:r>
        <w:rPr>
          <w:b/>
        </w:rPr>
        <w:t>Part 2, still to do:</w:t>
      </w:r>
      <w:r>
        <w:t xml:space="preserve"> score variants against kidney measurements the model did not train on, separating tubule from glomerulus, which maps directly onto the compartment asymmetry in §3.</w:t>
      </w:r>
    </w:p>
    <w:p>
      <w:r/>
      <w:r>
        <w:rPr>
          <w:b/>
        </w:rPr>
        <w:t>Data for legs 2 and 3, all open and already identified.</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Content</w:t>
            </w:r>
          </w:p>
        </w:tc>
        <w:tc>
          <w:tcPr>
            <w:tcW w:type="dxa" w:w="2880"/>
          </w:tcPr>
          <w:p>
            <w:r>
              <w:t>Licence</w:t>
            </w:r>
          </w:p>
        </w:tc>
      </w:tr>
      <w:tr>
        <w:tc>
          <w:tcPr>
            <w:tcW w:type="dxa" w:w="2880"/>
          </w:tcPr>
          <w:p>
            <w:r>
              <w:t>ENCODE kidney</w:t>
            </w:r>
          </w:p>
        </w:tc>
        <w:tc>
          <w:tcPr>
            <w:tcW w:type="dxa" w:w="2880"/>
          </w:tcPr>
          <w:p>
            <w:r>
              <w:t>570 GRCh38 bigWigs</w:t>
            </w:r>
          </w:p>
        </w:tc>
        <w:tc>
          <w:tcPr>
            <w:tcW w:type="dxa" w:w="2880"/>
          </w:tcPr>
          <w:p>
            <w:r>
              <w:t>Free download, analyse and publish, no restrictions</w:t>
            </w:r>
          </w:p>
        </w:tc>
      </w:tr>
      <w:tr>
        <w:tc>
          <w:tcPr>
            <w:tcW w:type="dxa" w:w="2880"/>
          </w:tcPr>
          <w:p>
            <w:r>
              <w:t>GTEx v10 kidney cortex</w:t>
            </w:r>
          </w:p>
        </w:tc>
        <w:tc>
          <w:tcPr>
            <w:tcW w:type="dxa" w:w="2880"/>
          </w:tcPr>
          <w:p>
            <w:r>
              <w:t>n=103, 2,718 eGenes</w:t>
            </w:r>
          </w:p>
        </w:tc>
        <w:tc>
          <w:tcPr>
            <w:tcW w:type="dxa" w:w="2880"/>
          </w:tcPr>
          <w:p>
            <w:r>
              <w:t>No commercial restriction</w:t>
            </w:r>
          </w:p>
        </w:tc>
      </w:tr>
      <w:tr>
        <w:tc>
          <w:tcPr>
            <w:tcW w:type="dxa" w:w="2880"/>
          </w:tcPr>
          <w:p>
            <w:r>
              <w:t>EMBL-EBI eQTL Catalogue</w:t>
            </w:r>
          </w:p>
        </w:tc>
        <w:tc>
          <w:tcPr>
            <w:tcW w:type="dxa" w:w="2880"/>
          </w:tcPr>
          <w:p>
            <w:r>
              <w:t>GTEx kidney cortex, 5 quantifications</w:t>
            </w:r>
          </w:p>
        </w:tc>
        <w:tc>
          <w:tcPr>
            <w:tcW w:type="dxa" w:w="2880"/>
          </w:tcPr>
          <w:p>
            <w:r>
              <w:t>CC BY 4.0</w:t>
            </w:r>
          </w:p>
        </w:tc>
      </w:tr>
      <w:tr>
        <w:tc>
          <w:tcPr>
            <w:tcW w:type="dxa" w:w="2880"/>
          </w:tcPr>
          <w:p>
            <w:r>
              <w:t>NephQTL2</w:t>
            </w:r>
          </w:p>
        </w:tc>
        <w:tc>
          <w:tcPr>
            <w:tcW w:type="dxa" w:w="2880"/>
          </w:tcPr>
          <w:p>
            <w:r>
              <w:t>240 glomerular, 311 tubulointerstitial</w:t>
            </w:r>
          </w:p>
        </w:tc>
        <w:tc>
          <w:tcPr>
            <w:tcW w:type="dxa" w:w="2880"/>
          </w:tcPr>
          <w:p>
            <w:r>
              <w:t>Not stated</w:t>
            </w:r>
          </w:p>
        </w:tc>
      </w:tr>
      <w:tr>
        <w:tc>
          <w:tcPr>
            <w:tcW w:type="dxa" w:w="2880"/>
          </w:tcPr>
          <w:p>
            <w:r>
              <w:t>Susztak kidney atlas</w:t>
            </w:r>
          </w:p>
        </w:tc>
        <w:tc>
          <w:tcPr>
            <w:tcW w:type="dxa" w:w="2880"/>
          </w:tcPr>
          <w:p>
            <w:r>
              <w:t>n=686 meta, tubule 356 / glomerulus 303</w:t>
            </w:r>
          </w:p>
        </w:tc>
        <w:tc>
          <w:tcPr>
            <w:tcW w:type="dxa" w:w="2880"/>
          </w:tcPr>
          <w:p>
            <w:r/>
            <w:r>
              <w:rPr>
                <w:b/>
              </w:rPr>
              <w:t>Conflicted, see §6</w:t>
            </w:r>
            <w:r/>
          </w:p>
        </w:tc>
      </w:tr>
    </w:tbl>
    <w:p>
      <w:r>
        <w:t>Kidney medulla has never had eQTLs called, in any release. It is 11 RNA-seq samples and zero eQTL samples in v10. That is worth one sentence in the paper.</w:t>
      </w:r>
    </w:p>
    <w:p>
      <w:pPr>
        <w:pStyle w:val="Heading2"/>
      </w:pPr>
      <w:r>
        <w:t>6. Risks, and what to do about each</w:t>
      </w:r>
    </w:p>
    <w:p>
      <w:r/>
      <w:r>
        <w:rPr>
          <w:b/>
        </w:rPr>
        <w:t>A competitor is close.</w:t>
      </w:r>
      <w:r>
        <w:t xml:space="preserve"> One group at UCSF has a nephrologist who co-authored both the kidney heritability paper and the stratified-benchmark paper that defines this method. The data, the clinician and the technique are already in one lab, and they have not published. Mitigation: the descriptive leg in §3 is complete today. Preprint it rather than waiting for legs 2 and 3.</w:t>
      </w:r>
    </w:p>
    <w:p>
      <w:r/>
      <w:r>
        <w:rPr>
          <w:b/>
        </w:rPr>
        <w:t>The Susztak licence conflict.</w:t>
      </w:r>
      <w:r>
        <w:t xml:space="preserve"> The download files carry CC BY 4.0 on the repository, while the lab's own site agreement bars commercial use *and* bars publishing any result without the principal investigator's written consent. Mitigation: use ENCODE, GTEx and the eQTL Catalogue as primary. If the Susztak atlas is genuinely needed, resolve it in writing first. Do not build a validation figure on it and discover the problem at submission.</w:t>
      </w:r>
    </w:p>
    <w:p>
      <w:r/>
      <w:r>
        <w:rPr>
          <w:b/>
        </w:rPr>
        <w:t>Licence on the model itself.</w:t>
      </w:r>
      <w:r>
        <w:t xml:space="preserve"> The weights are non-commercial and restricted to non-commercial organisations. This work is therefore authored personally, not on behalf of any company. The model *code* is Apache 2.0, which is what makes a future trained-model paper commercially clean, but that is Paper 2 territory.</w:t>
      </w:r>
    </w:p>
    <w:p>
      <w:pPr>
        <w:pStyle w:val="Heading2"/>
      </w:pPr>
      <w:r>
        <w:t>7. Sequence, and why this order</w:t>
      </w:r>
    </w:p>
    <w:p>
      <w:r>
        <w:t>Paper 1 is the methods and caution paper. Paper 2 is APOL1: whether predicted regulatory variation on African haplotype backgrounds explains part of the incomplete penetrance of the high-risk genotype.</w:t>
      </w:r>
    </w:p>
    <w:p>
      <w:r>
        <w:t>Paper 1 is the justification for Paper 2's method. You cannot fine-map APOL1 regulation from kidney expression data, because GTEx holds 133 significant APOL1 eQTLs and not one is in kidney, and kidney cortex is the smallest tissue in the resource. That is exactly when a sequence model earns its place, and saying so honestly, having measured it, is stronger than asserting it.</w:t>
      </w:r>
    </w:p>
    <w:p>
      <w:r>
        <w:t>APOL1 is the time-critical one. The Atlas is days old and APOL1 is an obvious target for anyone with the same idea. Paper 1 is nearly written; Paper 2 should start as soon as leg 1 is preprinted, not after Paper 1 is accepted.</w:t>
      </w:r>
    </w:p>
    <w:p>
      <w:r/>
      <w:r>
        <w:rPr>
          <w:b/>
        </w:rPr>
        <w:t>Standing constraints that apply to both.</w:t>
      </w:r>
      <w:r>
        <w:t xml:space="preserve"> File before disclosing, because Europe has no grace period. Keep commercial positioning until after 22 January</w:t>
      </w:r>
    </w:p>
    <w:p>
      <w:pPr>
        <w:pStyle w:val="ListNumber"/>
      </w:pPr>
      <w:r>
        <w:t>Publish under the personal clinical identity, not a company banner.</w:t>
      </w:r>
    </w:p>
    <w:p>
      <w:pPr>
        <w:pStyle w:val="Heading2"/>
      </w:pPr>
      <w:r>
        <w:t>8. Target and deadline</w:t>
      </w:r>
    </w:p>
    <w:p>
      <w:r/>
      <w:r>
        <w:rPr>
          <w:b/>
        </w:rPr>
        <w:t>UK Kidney Week 2027</w:t>
      </w:r>
      <w:r>
        <w:t xml:space="preserve">, Newport, 7 to 9 June 2027. Abstracts close </w:t>
      </w:r>
      <w:r>
        <w:rPr>
          <w:b/>
        </w:rPr>
        <w:t>31 December 2026, hard, no extensions</w:t>
      </w:r>
      <w:r>
        <w:t>, decisions early January. Categories include Rare Disease and GN, AKI/Basic Science and Diagnostics, and Transplantation.</w:t>
      </w:r>
    </w:p>
    <w:p>
      <w:r>
        <w:t>Journal: the descriptive and benchmark legs together suit *Genome Biology* or *Kidney International Reports*. Decide after leg 2.</w:t>
      </w:r>
    </w:p>
    <w:p>
      <w:pPr>
        <w:pStyle w:val="Heading2"/>
      </w:pPr>
      <w:r>
        <w:t>9. Reproducing everything here</w:t>
      </w:r>
    </w:p>
    <w:p>
      <w:r>
        <w:rPr>
          <w:rFonts w:ascii="Menlo" w:hAnsi="Menlo"/>
          <w:sz w:val="18"/>
        </w:rPr>
        <w:t>cd "kidney-alphagenome"</w:t>
        <w:br/>
        <w:t>python3 analysis/01_track_census.py        # census, guards, tables</w:t>
        <w:br/>
        <w:t>python3 analysis/02_textproto_crosscheck.py # independent manifest parse</w:t>
      </w:r>
    </w:p>
    <w:p>
      <w:r>
        <w:t xml:space="preserve">Both write to </w:t>
      </w:r>
      <w:r>
        <w:rPr>
          <w:rFonts w:ascii="Menlo" w:hAnsi="Menlo"/>
        </w:rPr>
        <w:t>results/</w:t>
      </w:r>
      <w:r>
        <w:t xml:space="preserve">. Neither needs network access. See </w:t>
      </w:r>
      <w:r>
        <w:rPr>
          <w:rFonts w:ascii="Menlo" w:hAnsi="Menlo"/>
        </w:rPr>
        <w:t>data/PROVENANCE.md</w:t>
      </w:r>
      <w:r>
        <w:t xml:space="preserve"> for the origin of every input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