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color w:val="000000"/>
          <w:sz w:val="36"/>
        </w:rPr>
        <w:t>Analysis plan: AlphaGenome at PKD1 and PKD2</w:t>
      </w:r>
    </w:p>
    <w:p>
      <w:r>
        <w:rPr>
          <w:b/>
          <w:color w:val="000000"/>
        </w:rPr>
        <w:t>Status:</w:t>
      </w:r>
      <w:r>
        <w:rPr>
          <w:color w:val="000000"/>
        </w:rPr>
        <w:t xml:space="preserve"> pre-specified. Written and committed on 19 September 2026, after the truth set was verified and </w:t>
      </w:r>
      <w:r>
        <w:rPr>
          <w:b/>
          <w:color w:val="000000"/>
        </w:rPr>
        <w:t>before any variant in it was scored.</w:t>
      </w:r>
      <w:r>
        <w:rPr>
          <w:color w:val="000000"/>
        </w:rPr>
        <w:t xml:space="preserve"> Changes after this point are recorded in the amendments section at the end, with the date and the reason.</w:t>
      </w:r>
    </w:p>
    <w:p>
      <w:r>
        <w:rPr>
          <w:b/>
          <w:color w:val="000000"/>
        </w:rPr>
        <w:t>Author:</w:t>
      </w:r>
      <w:r>
        <w:rPr>
          <w:color w:val="000000"/>
        </w:rPr>
        <w:t xml:space="preserve"> Christopher Lawrence</w:t>
      </w:r>
    </w:p>
    <w:p>
      <w:pPr>
        <w:pBdr>
          <w:bottom w:val="single" w:sz="6" w:space="1" w:color="999999"/>
        </w:pBdr>
      </w:pPr>
    </w:p>
    <w:p>
      <w:r>
        <w:rPr>
          <w:b/>
          <w:color w:val="000000"/>
          <w:sz w:val="28"/>
        </w:rPr>
        <w:t>1. Question</w:t>
      </w:r>
    </w:p>
    <w:p>
      <w:r>
        <w:rPr>
          <w:color w:val="000000"/>
        </w:rPr>
        <w:t xml:space="preserve">Does AlphaGenome, used through the AlphaGenome Atlas (AVI score and its feature attributions) and through on-demand variant scoring, correctly identify experimentally validated non-coding and splice-acting variants in </w:t>
      </w:r>
      <w:r>
        <w:rPr>
          <w:i/>
          <w:color w:val="000000"/>
        </w:rPr>
        <w:t>PKD1</w:t>
      </w:r>
      <w:r>
        <w:rPr>
          <w:color w:val="000000"/>
        </w:rPr>
        <w:t xml:space="preserve"> and </w:t>
      </w:r>
      <w:r>
        <w:rPr>
          <w:i/>
          <w:color w:val="000000"/>
        </w:rPr>
        <w:t>PKD2</w:t>
      </w:r>
      <w:r>
        <w:rPr>
          <w:color w:val="000000"/>
        </w:rPr>
        <w:t>, and does it do better than SpliceAI and CADD at these two loci?</w:t>
      </w:r>
    </w:p>
    <w:p>
      <w:r>
        <w:rPr>
          <w:i/>
          <w:color w:val="000000"/>
        </w:rPr>
        <w:t>PKD1</w:t>
      </w:r>
      <w:r>
        <w:rPr>
          <w:color w:val="000000"/>
        </w:rPr>
        <w:t xml:space="preserve"> is chosen because it is a hard locus for general pipelines (six pseudogenes over exons 1 to 33, high GC content) and because ADPKD is a dosage disease with a known functional threshold, so a quantitative regulatory predictor has a clear biological job to do there.</w:t>
      </w:r>
    </w:p>
    <w:p>
      <w:r>
        <w:rPr>
          <w:b/>
          <w:color w:val="000000"/>
          <w:sz w:val="28"/>
        </w:rPr>
        <w:t>2. Truth set</w:t>
      </w:r>
    </w:p>
    <w:p>
      <w:r>
        <w:rPr>
          <w:rFonts w:ascii="Consolas" w:hAnsi="Consolas"/>
          <w:color w:val="000000"/>
        </w:rPr>
        <w:t>data/curated/truthset_verified.tsv</w:t>
      </w:r>
      <w:r>
        <w:rPr>
          <w:color w:val="000000"/>
        </w:rPr>
        <w:t xml:space="preserve">, built by </w:t>
      </w:r>
      <w:r>
        <w:rPr>
          <w:rFonts w:ascii="Consolas" w:hAnsi="Consolas"/>
          <w:color w:val="000000"/>
        </w:rPr>
        <w:t>analysis/04_build_truthset.py</w:t>
      </w:r>
      <w:r>
        <w:rPr>
          <w:color w:val="000000"/>
        </w:rPr>
        <w:t xml:space="preserve"> and verified by </w:t>
      </w:r>
      <w:r>
        <w:rPr>
          <w:rFonts w:ascii="Consolas" w:hAnsi="Consolas"/>
          <w:color w:val="000000"/>
        </w:rPr>
        <w:t>analysis/05_verify.py</w:t>
      </w:r>
      <w:r>
        <w:rPr>
          <w:color w:val="000000"/>
        </w:rPr>
        <w:t>. At the time of writing: 54 entries, 52 unique variants.</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color w:val="000000"/>
              </w:rPr>
              <w:t>Label</w:t>
            </w:r>
          </w:p>
        </w:tc>
        <w:tc>
          <w:tcPr>
            <w:tcW w:type="dxa" w:w="2880"/>
          </w:tcPr>
          <w:p>
            <w:r>
              <w:rPr>
                <w:b/>
                <w:color w:val="000000"/>
              </w:rPr>
              <w:t>Meaning</w:t>
            </w:r>
          </w:p>
        </w:tc>
        <w:tc>
          <w:tcPr>
            <w:tcW w:type="dxa" w:w="2880"/>
          </w:tcPr>
          <w:p>
            <w:r>
              <w:rPr>
                <w:b/>
                <w:color w:val="000000"/>
              </w:rPr>
              <w:t>n (unique)</w:t>
            </w:r>
          </w:p>
        </w:tc>
      </w:tr>
      <w:tr>
        <w:tc>
          <w:tcPr>
            <w:tcW w:type="dxa" w:w="2880"/>
          </w:tcPr>
          <w:p>
            <w:r>
              <w:rPr>
                <w:color w:val="000000"/>
              </w:rPr>
              <w:t>POS</w:t>
            </w:r>
          </w:p>
        </w:tc>
        <w:tc>
          <w:tcPr>
            <w:tcW w:type="dxa" w:w="2880"/>
          </w:tcPr>
          <w:p>
            <w:r>
              <w:rPr>
                <w:color w:val="000000"/>
              </w:rPr>
              <w:t>functional assay showed aberrant splicing or reduced expression</w:t>
            </w:r>
          </w:p>
        </w:tc>
        <w:tc>
          <w:tcPr>
            <w:tcW w:type="dxa" w:w="2880"/>
          </w:tcPr>
          <w:p>
            <w:r>
              <w:rPr>
                <w:color w:val="000000"/>
              </w:rPr>
              <w:t>44</w:t>
            </w:r>
          </w:p>
        </w:tc>
      </w:tr>
      <w:tr>
        <w:tc>
          <w:tcPr>
            <w:tcW w:type="dxa" w:w="2880"/>
          </w:tcPr>
          <w:p>
            <w:r>
              <w:rPr>
                <w:color w:val="000000"/>
              </w:rPr>
              <w:t>NEG</w:t>
            </w:r>
          </w:p>
        </w:tc>
        <w:tc>
          <w:tcPr>
            <w:tcW w:type="dxa" w:w="2880"/>
          </w:tcPr>
          <w:p>
            <w:r>
              <w:rPr>
                <w:color w:val="000000"/>
              </w:rPr>
              <w:t>functionally tested, indistinguishable from wild type</w:t>
            </w:r>
          </w:p>
        </w:tc>
        <w:tc>
          <w:tcPr>
            <w:tcW w:type="dxa" w:w="2880"/>
          </w:tcPr>
          <w:p>
            <w:r>
              <w:rPr>
                <w:color w:val="000000"/>
              </w:rPr>
              <w:t>7</w:t>
            </w:r>
          </w:p>
        </w:tc>
      </w:tr>
      <w:tr>
        <w:tc>
          <w:tcPr>
            <w:tcW w:type="dxa" w:w="2880"/>
          </w:tcPr>
          <w:p>
            <w:r>
              <w:rPr>
                <w:color w:val="000000"/>
              </w:rPr>
              <w:t>INDET</w:t>
            </w:r>
          </w:p>
        </w:tc>
        <w:tc>
          <w:tcPr>
            <w:tcW w:type="dxa" w:w="2880"/>
          </w:tcPr>
          <w:p>
            <w:r>
              <w:rPr>
                <w:color w:val="000000"/>
              </w:rPr>
              <w:t>tested, assay could not be interpreted</w:t>
            </w:r>
          </w:p>
        </w:tc>
        <w:tc>
          <w:tcPr>
            <w:tcW w:type="dxa" w:w="2880"/>
          </w:tcPr>
          <w:p>
            <w:r>
              <w:rPr>
                <w:color w:val="000000"/>
              </w:rPr>
              <w:t>1</w:t>
            </w:r>
          </w:p>
        </w:tc>
      </w:tr>
    </w:tbl>
    <w:p/>
    <w:p>
      <w:r>
        <w:rPr>
          <w:color w:val="000000"/>
        </w:rPr>
        <w:t>Every entry passed a verbatim quote check against its source and VariantValidator reference confirmation on GRCh38. Untested variants are excluded, not treated as negative.</w:t>
      </w:r>
    </w:p>
    <w:p>
      <w:r>
        <w:rPr>
          <w:b/>
          <w:color w:val="000000"/>
        </w:rPr>
        <w:t>The negative set is small (7).</w:t>
      </w:r>
      <w:r>
        <w:rPr>
          <w:color w:val="000000"/>
        </w:rPr>
        <w:t xml:space="preserve"> That is the single largest limitation and it fixes what statistics are appropriate (section 5).</w:t>
      </w:r>
    </w:p>
    <w:p>
      <w:r>
        <w:rPr>
          <w:b/>
          <w:color w:val="000000"/>
          <w:sz w:val="28"/>
        </w:rPr>
        <w:t>3. Scores</w:t>
      </w:r>
    </w:p>
    <w:p>
      <w:pPr>
        <w:pStyle w:val="ListNumber"/>
      </w:pPr>
      <w:r>
        <w:rPr>
          <w:b/>
          <w:color w:val="000000"/>
        </w:rPr>
        <w:t>AVI</w:t>
      </w:r>
      <w:r>
        <w:rPr>
          <w:color w:val="000000"/>
        </w:rPr>
        <w:t xml:space="preserve"> (Atlas, SNVs only): the raw AVI value and the 18 feature attributions.</w:t>
      </w:r>
    </w:p>
    <w:p>
      <w:pPr>
        <w:pStyle w:val="ListNumber"/>
      </w:pPr>
      <w:r>
        <w:rPr>
          <w:b/>
          <w:color w:val="000000"/>
        </w:rPr>
        <w:t>AlphaGenome on demand</w:t>
      </w:r>
      <w:r>
        <w:rPr>
          <w:color w:val="000000"/>
        </w:rPr>
        <w:t xml:space="preserve"> (all variants, including indels and the dinucleotide allele): recommended scorers for splice sites, splice-site usage, splice junctions and RNA-seq, with 1,048,576 bp context. Summarised two ways: across all tracks, and restricted to kidney tracks (the same curated kidney biosample list as the companion kidney-representation paper).</w:t>
      </w:r>
    </w:p>
    <w:p>
      <w:pPr>
        <w:pStyle w:val="ListNumber"/>
      </w:pPr>
      <w:r>
        <w:rPr>
          <w:b/>
          <w:color w:val="000000"/>
        </w:rPr>
        <w:t>SpliceAI</w:t>
      </w:r>
      <w:r>
        <w:rPr>
          <w:color w:val="000000"/>
        </w:rPr>
        <w:t xml:space="preserve"> delta score (maximum of the four), run locally, distance 500, unmasked.</w:t>
      </w:r>
    </w:p>
    <w:p>
      <w:pPr>
        <w:pStyle w:val="ListNumber"/>
      </w:pPr>
      <w:r>
        <w:rPr>
          <w:b/>
          <w:color w:val="000000"/>
        </w:rPr>
        <w:t>CADD</w:t>
      </w:r>
      <w:r>
        <w:rPr>
          <w:color w:val="000000"/>
        </w:rPr>
        <w:t xml:space="preserve"> v1.7 PHRED.</w:t>
      </w:r>
    </w:p>
    <w:p>
      <w:r>
        <w:rPr>
          <w:b/>
          <w:color w:val="000000"/>
          <w:sz w:val="28"/>
        </w:rPr>
        <w:t>4. Pre-specified hypotheses</w:t>
      </w:r>
    </w:p>
    <w:p>
      <w:pPr>
        <w:pStyle w:val="ListBullet"/>
      </w:pPr>
      <w:r>
        <w:rPr>
          <w:b/>
          <w:color w:val="000000"/>
        </w:rPr>
        <w:t>H1.</w:t>
      </w:r>
      <w:r>
        <w:rPr>
          <w:color w:val="000000"/>
        </w:rPr>
        <w:t xml:space="preserve"> Splice-acting positives (branchpoint, AG-exclusion zone, near-splice-site, intronic deletions, pseudoexon) will rank in the top 1% of all possible SNVs in their locus by AVI, with MERGED_SPLICING as the dominant attribution.</w:t>
      </w:r>
    </w:p>
    <w:p>
      <w:pPr>
        <w:pStyle w:val="ListBullet"/>
      </w:pPr>
      <w:r>
        <w:rPr>
          <w:b/>
          <w:color w:val="000000"/>
        </w:rPr>
        <w:t>H2 (expected failure).</w:t>
      </w:r>
      <w:r>
        <w:rPr>
          <w:color w:val="000000"/>
        </w:rPr>
        <w:t xml:space="preserve"> c.-69dupG acts by lengthening a uORF and reducing </w:t>
      </w:r>
      <w:r>
        <w:rPr>
          <w:i/>
          <w:color w:val="000000"/>
        </w:rPr>
        <w:t>translation</w:t>
      </w:r>
      <w:r>
        <w:rPr>
          <w:color w:val="000000"/>
        </w:rPr>
        <w:t xml:space="preserve">. AlphaGenome predicts RNA, not protein, so it has no modality that can see this mechanism. </w:t>
      </w:r>
      <w:r>
        <w:rPr>
          <w:b/>
          <w:color w:val="000000"/>
        </w:rPr>
        <w:t>Prediction: AlphaGenome will not flag c.-69dupG.</w:t>
      </w:r>
      <w:r>
        <w:rPr>
          <w:color w:val="000000"/>
        </w:rPr>
        <w:t xml:space="preserve"> Recorded in advance so that a miss is a finding about the model's scope, not a post hoc excuse.</w:t>
      </w:r>
    </w:p>
    <w:p>
      <w:pPr>
        <w:pStyle w:val="ListBullet"/>
      </w:pPr>
      <w:r>
        <w:rPr>
          <w:b/>
          <w:color w:val="000000"/>
        </w:rPr>
        <w:t>H3 (haplotype).</w:t>
      </w:r>
      <w:r>
        <w:rPr>
          <w:color w:val="000000"/>
        </w:rPr>
        <w:t xml:space="preserve"> For the intron 16 pseudoexon, the dinucleotide allele c.7066-131_7066-130delinsAG will score far above either constituent SNV scored alone. The common constituent (c.7066-130A&gt;G, rs3874658) is a functional negative and should score low.</w:t>
      </w:r>
    </w:p>
    <w:p>
      <w:pPr>
        <w:pStyle w:val="ListBullet"/>
      </w:pPr>
      <w:r>
        <w:rPr>
          <w:b/>
          <w:color w:val="000000"/>
        </w:rPr>
        <w:t>H4 (allele resolution).</w:t>
      </w:r>
      <w:r>
        <w:rPr>
          <w:color w:val="000000"/>
        </w:rPr>
        <w:t xml:space="preserve"> At c.7866, C&gt;A is positive and C&gt;T is negative in the same assay. A model with allele-level resolution should separate them. At c.11257, C&gt;A, C&gt;G and C&gt;T are all positive.</w:t>
      </w:r>
    </w:p>
    <w:p>
      <w:pPr>
        <w:pStyle w:val="ListBullet"/>
      </w:pPr>
      <w:r>
        <w:rPr>
          <w:b/>
          <w:color w:val="000000"/>
        </w:rPr>
        <w:t>H5 (modest effects).</w:t>
      </w:r>
      <w:r>
        <w:rPr>
          <w:color w:val="000000"/>
        </w:rPr>
        <w:t xml:space="preserve"> The exonic positives from the BMC Genomics minigene study are mostly small shifts in exon exclusion. Expect weaker, less consistent scores there than for the near-splice-site positives, for every tool.</w:t>
      </w:r>
    </w:p>
    <w:p>
      <w:pPr>
        <w:pStyle w:val="ListBullet"/>
      </w:pPr>
      <w:r>
        <w:rPr>
          <w:b/>
          <w:color w:val="000000"/>
        </w:rPr>
        <w:t>H6 (common modifier).</w:t>
      </w:r>
      <w:r>
        <w:rPr>
          <w:color w:val="000000"/>
        </w:rPr>
        <w:t xml:space="preserve"> rs3874648 (c.10051-239G&gt;A) lowers full-length </w:t>
      </w:r>
      <w:r>
        <w:rPr>
          <w:i/>
          <w:color w:val="000000"/>
        </w:rPr>
        <w:t>PKD1</w:t>
      </w:r>
      <w:r>
        <w:rPr>
          <w:color w:val="000000"/>
        </w:rPr>
        <w:t xml:space="preserve"> through a cryptic acceptor. Being a common variant with a modest quantitative effect, it is expected to score well below the pathogenic positives. This is recorded as a description, not a test.</w:t>
      </w:r>
    </w:p>
    <w:p>
      <w:r>
        <w:rPr>
          <w:b/>
          <w:color w:val="000000"/>
          <w:sz w:val="28"/>
        </w:rPr>
        <w:t>5. Endpoints and statistics</w:t>
      </w:r>
    </w:p>
    <w:p>
      <w:r>
        <w:rPr>
          <w:b/>
          <w:color w:val="000000"/>
        </w:rPr>
        <w:t>Primary endpoint.</w:t>
      </w:r>
      <w:r>
        <w:rPr>
          <w:color w:val="000000"/>
        </w:rPr>
        <w:t xml:space="preserve"> For each POS SNV, its percentile rank by AVI among </w:t>
      </w:r>
      <w:r>
        <w:rPr>
          <w:b/>
          <w:color w:val="000000"/>
        </w:rPr>
        <w:t>all possible SNVs in its gene locus</w:t>
      </w:r>
      <w:r>
        <w:rPr>
          <w:color w:val="000000"/>
        </w:rPr>
        <w:t xml:space="preserve"> (gene span from the RefSeq transcript plus 5 kb upstream, all three alternate alleles at every position), obtained from the Atlas by interval query. This is scale-free, so it does not depend on how raw AVI maps to DeepMind's published percentile scale, and it mirrors the diagnostic task of picking the causal variant from everything a patient could carry at that gene.</w:t>
      </w:r>
    </w:p>
    <w:p>
      <w:r>
        <w:rPr>
          <w:color w:val="000000"/>
        </w:rPr>
        <w:t>Reported as: the per-variant percentile, the median across POS variants, and the proportion in the top 1% and top 0.1% of the locus.</w:t>
      </w:r>
    </w:p>
    <w:p>
      <w:r>
        <w:rPr>
          <w:b/>
          <w:color w:val="000000"/>
        </w:rPr>
        <w:t>Secondary endpoints.</w:t>
      </w:r>
    </w:p>
    <w:p>
      <w:pPr>
        <w:pStyle w:val="ListBullet"/>
      </w:pPr>
      <w:r>
        <w:rPr>
          <w:color w:val="000000"/>
        </w:rPr>
        <w:t>The same locus percentile for CADD, which is available genome-wide. SpliceAI is compared on its standard delta-score thresholds (0.2 and 0.5), because a locus-wide SpliceAI run may not be computationally feasible; if it is, the percentile is reported too.</w:t>
      </w:r>
    </w:p>
    <w:p>
      <w:pPr>
        <w:pStyle w:val="ListBullet"/>
      </w:pPr>
      <w:r>
        <w:rPr>
          <w:color w:val="000000"/>
        </w:rPr>
        <w:t>POS versus NEG, per variant, for every tool.</w:t>
      </w:r>
    </w:p>
    <w:p>
      <w:pPr>
        <w:pStyle w:val="ListBullet"/>
      </w:pPr>
      <w:r>
        <w:rPr>
          <w:color w:val="000000"/>
        </w:rPr>
        <w:t>Dominant AVI attribution versus the experimentally shown mechanism.</w:t>
      </w:r>
    </w:p>
    <w:p>
      <w:pPr>
        <w:pStyle w:val="ListBullet"/>
      </w:pPr>
      <w:r>
        <w:rPr>
          <w:color w:val="000000"/>
        </w:rPr>
        <w:t>Kidney-track versus all-track on-demand scores (link to the kidney-representation paper).</w:t>
      </w:r>
    </w:p>
    <w:p>
      <w:r>
        <w:rPr>
          <w:b/>
          <w:color w:val="000000"/>
        </w:rPr>
        <w:t>Not done, deliberately.</w:t>
      </w:r>
      <w:r>
        <w:rPr>
          <w:color w:val="000000"/>
        </w:rPr>
        <w:t xml:space="preserve"> No ROC AUC is reported as a headline number with 7 negatives: the confidence interval would be too wide to mean anything and would invite over-reading. If additional negatives are recovered from the manual-download papers before submission, an AUC with a bootstrap interval becomes a secondary endpoint and this plan is amended.</w:t>
      </w:r>
    </w:p>
    <w:p>
      <w:r>
        <w:rPr>
          <w:b/>
          <w:color w:val="000000"/>
        </w:rPr>
        <w:t>Thresholds.</w:t>
      </w:r>
      <w:r>
        <w:rPr>
          <w:color w:val="000000"/>
        </w:rPr>
        <w:t xml:space="preserve"> SpliceAI 0.2 and 0.5 (conventional). CADD PHRED 20. AVI has no validated threshold, so none is invented; the locus percentile is used instead.</w:t>
      </w:r>
    </w:p>
    <w:p>
      <w:r>
        <w:rPr>
          <w:b/>
          <w:color w:val="000000"/>
          <w:sz w:val="28"/>
        </w:rPr>
        <w:t>6. Leakage and circularity checks</w:t>
      </w:r>
    </w:p>
    <w:p>
      <w:pPr>
        <w:pStyle w:val="ListBullet"/>
      </w:pPr>
      <w:r>
        <w:rPr>
          <w:b/>
          <w:color w:val="000000"/>
        </w:rPr>
        <w:t>ClinVar.</w:t>
      </w:r>
      <w:r>
        <w:rPr>
          <w:color w:val="000000"/>
        </w:rPr>
        <w:t xml:space="preserve"> If AVI or its components were trained or calibrated on ClinVar pathogenic variants, any truth-set variant already in ClinVar may be scored well for that reason alone. Every variant's ClinVar status and submission date is recorded, and results are reported stratified by in-ClinVar versus not in ClinVar.</w:t>
      </w:r>
    </w:p>
    <w:p>
      <w:pPr>
        <w:pStyle w:val="ListBullet"/>
      </w:pPr>
      <w:r>
        <w:rPr>
          <w:b/>
          <w:color w:val="000000"/>
        </w:rPr>
        <w:t>AlphaMissense.</w:t>
      </w:r>
      <w:r>
        <w:rPr>
          <w:color w:val="000000"/>
        </w:rPr>
        <w:t xml:space="preserve"> AVI includes AlphaMissense. Several positives are missense by annotation but act through splicing. Their AVI may be driven by protein damage, not by the mechanism that was shown. The attribution breakdown is reported for these specifically.</w:t>
      </w:r>
    </w:p>
    <w:p>
      <w:pPr>
        <w:pStyle w:val="ListBullet"/>
      </w:pPr>
      <w:r>
        <w:rPr>
          <w:b/>
          <w:color w:val="000000"/>
        </w:rPr>
        <w:t>Conservation.</w:t>
      </w:r>
      <w:r>
        <w:rPr>
          <w:color w:val="000000"/>
        </w:rPr>
        <w:t xml:space="preserve"> AVI includes conservation features. High conservation at a splice site can flag a variant without the model "understanding" the splicing mechanism. Reported alongside.</w:t>
      </w:r>
    </w:p>
    <w:p>
      <w:r>
        <w:rPr>
          <w:b/>
          <w:color w:val="000000"/>
          <w:sz w:val="28"/>
        </w:rPr>
        <w:t>7. Sources of bias acknowledged in advance</w:t>
      </w:r>
    </w:p>
    <w:p>
      <w:pPr>
        <w:pStyle w:val="ListBullet"/>
      </w:pPr>
      <w:r>
        <w:rPr>
          <w:color w:val="000000"/>
        </w:rPr>
        <w:t>Published positives are enriched for variants that some earlier predictor found interesting enough to test. This favours all predictors, and favours older tools (MaxEntScan, SpliceAI) that were used to choose what to test.</w:t>
      </w:r>
    </w:p>
    <w:p>
      <w:pPr>
        <w:pStyle w:val="ListBullet"/>
      </w:pPr>
      <w:r>
        <w:rPr>
          <w:color w:val="000000"/>
        </w:rPr>
        <w:t>Minigene results in HEK293T are not kidney RNA.</w:t>
      </w:r>
    </w:p>
    <w:p>
      <w:pPr>
        <w:pStyle w:val="ListBullet"/>
      </w:pPr>
      <w:r>
        <w:rPr>
          <w:color w:val="000000"/>
        </w:rPr>
        <w:t>Engineered variants are molecular truth but not disease truth. Results are reported for patient-carried and engineered variants separately.</w:t>
      </w:r>
    </w:p>
    <w:p>
      <w:r>
        <w:rPr>
          <w:b/>
          <w:color w:val="000000"/>
          <w:sz w:val="28"/>
        </w:rPr>
        <w:t>8. What would make this a negative paper, and that is acceptable</w:t>
      </w:r>
    </w:p>
    <w:p>
      <w:r>
        <w:rPr>
          <w:color w:val="000000"/>
        </w:rPr>
        <w:t xml:space="preserve">If AlphaGenome does not outperform SpliceAI on the splice-acting variants, and misses c.-69dupG as predicted, the conclusion is that at </w:t>
      </w:r>
      <w:r>
        <w:rPr>
          <w:i/>
          <w:color w:val="000000"/>
        </w:rPr>
        <w:t>PKD1</w:t>
      </w:r>
      <w:r>
        <w:rPr>
          <w:color w:val="000000"/>
        </w:rPr>
        <w:t xml:space="preserve"> the multimodal model adds nothing over a dedicated splicing model for the variants that are currently testable. That is reportable and useful to diagnostic laboratories.</w:t>
      </w:r>
    </w:p>
    <w:p>
      <w:pPr>
        <w:pBdr>
          <w:bottom w:val="single" w:sz="6" w:space="1" w:color="999999"/>
        </w:pBdr>
      </w:pPr>
    </w:p>
    <w:p>
      <w:r>
        <w:rPr>
          <w:b/>
          <w:color w:val="000000"/>
          <w:sz w:val="28"/>
        </w:rPr>
        <w:t>Amendments</w:t>
      </w:r>
    </w:p>
    <w:p>
      <w:r>
        <w:rPr>
          <w:b/>
          <w:color w:val="000000"/>
          <w:sz w:val="24"/>
        </w:rPr>
        <w:t>A1. Coding consequence stratum (19 September 2026)</w:t>
      </w:r>
    </w:p>
    <w:p>
      <w:r>
        <w:rPr>
          <w:b/>
          <w:color w:val="000000"/>
        </w:rPr>
        <w:t>Timing, stated plainly.</w:t>
      </w:r>
      <w:r>
        <w:rPr>
          <w:color w:val="000000"/>
        </w:rPr>
        <w:t xml:space="preserve"> Written after SpliceAI and CADD had been run on the truth set, and </w:t>
      </w:r>
      <w:r>
        <w:rPr>
          <w:b/>
          <w:color w:val="000000"/>
        </w:rPr>
        <w:t>before any AVI score for a truth-set variant existed</w:t>
      </w:r>
      <w:r>
        <w:rPr>
          <w:color w:val="000000"/>
        </w:rPr>
        <w:t xml:space="preserve"> (the Atlas pull was still in progress; the single pre-freeze probe of c.11017-25A&gt;G is disclosed in </w:t>
      </w:r>
      <w:r>
        <w:rPr>
          <w:rFonts w:ascii="Consolas" w:hAnsi="Consolas"/>
          <w:color w:val="000000"/>
        </w:rPr>
        <w:t>PLAN_FREEZE.txt</w:t>
      </w:r>
      <w:r>
        <w:rPr>
          <w:color w:val="000000"/>
        </w:rPr>
        <w:t>). It was prompted by the CADD output, not by AVI.</w:t>
      </w:r>
    </w:p>
    <w:p>
      <w:r>
        <w:rPr>
          <w:b/>
          <w:color w:val="000000"/>
        </w:rPr>
        <w:t>Problem.</w:t>
      </w:r>
      <w:r>
        <w:rPr>
          <w:color w:val="000000"/>
        </w:rPr>
        <w:t xml:space="preserve"> The truth-set labels describe a molecular effect on splicing or expression. They are not pathogenicity labels. Some variants carry a protein consequence that is independent of that molecular effect:</w:t>
      </w:r>
    </w:p>
    <w:p>
      <w:pPr>
        <w:pStyle w:val="ListBullet"/>
      </w:pPr>
      <w:r>
        <w:rPr>
          <w:color w:val="000000"/>
        </w:rPr>
        <w:t>Two NEG variants are nonsense (PKD2 c.741C&gt;G p.Tyr247*, c.796G&gt;T p.Glu266*). They are negative for splicing, but as variants they are truncating and almost certainly damaging. A composite pathogenicity score (CADD, AVI) that ranks them high is behaving correctly, so they are not valid negatives for those tools.</w:t>
      </w:r>
    </w:p>
    <w:p>
      <w:pPr>
        <w:pStyle w:val="ListBullet"/>
      </w:pPr>
      <w:r>
        <w:rPr>
          <w:color w:val="000000"/>
        </w:rPr>
        <w:t>Several POS variants from the BMC Genomics minigene study are nonsense or missense. AVI and CADD can rank them high through protein features (AVI's PROTEIN_TERMINATION and ALPHAMISSENSE attributions) without detecting the splicing effect at all.</w:t>
      </w:r>
    </w:p>
    <w:p>
      <w:r>
        <w:rPr>
          <w:b/>
          <w:color w:val="000000"/>
        </w:rPr>
        <w:t>Change.</w:t>
      </w:r>
      <w:r>
        <w:rPr>
          <w:color w:val="000000"/>
        </w:rPr>
        <w:t xml:space="preserve"> Every variant is assigned a coding-consequence class from its VariantValidator protein prediction: non-coding (5'UTR, intronic), synonymous, missense, nonsense, or other coding.</w:t>
      </w:r>
    </w:p>
    <w:p>
      <w:pPr>
        <w:pStyle w:val="ListNumber"/>
      </w:pPr>
      <w:r>
        <w:rPr>
          <w:b/>
          <w:color w:val="000000"/>
        </w:rPr>
        <w:t>Splicing-specific outputs</w:t>
      </w:r>
      <w:r>
        <w:rPr>
          <w:color w:val="000000"/>
        </w:rPr>
        <w:t xml:space="preserve"> (SpliceAI; AlphaGenome splice-site, splice-site-usage and splice-junction scores) are evaluated on the full truth set as planned, because for them the molecular label is exactly the right target.</w:t>
      </w:r>
    </w:p>
    <w:p>
      <w:pPr>
        <w:pStyle w:val="ListNumber"/>
      </w:pPr>
      <w:r>
        <w:rPr>
          <w:b/>
          <w:color w:val="000000"/>
        </w:rPr>
        <w:t>Composite scores</w:t>
      </w:r>
      <w:r>
        <w:rPr>
          <w:color w:val="000000"/>
        </w:rPr>
        <w:t xml:space="preserve"> (AVI, CADD) are evaluated primarily on the </w:t>
      </w:r>
      <w:r>
        <w:rPr>
          <w:b/>
          <w:color w:val="000000"/>
        </w:rPr>
        <w:t>non-coding and synonymous</w:t>
      </w:r>
      <w:r>
        <w:rPr>
          <w:color w:val="000000"/>
        </w:rPr>
        <w:t xml:space="preserve"> variants, where a high score cannot come from a protein consequence. Results on the full set are still reported, labelled secondary, and the AVI attribution for every nonsense and missense POS variant is shown so a reader can see which feature drove it.</w:t>
      </w:r>
    </w:p>
    <w:p>
      <w:pPr>
        <w:pStyle w:val="ListNumber"/>
      </w:pPr>
      <w:r>
        <w:rPr>
          <w:color w:val="000000"/>
        </w:rPr>
        <w:t>For AVI, a positive counts as detected "for the right reason" only when MERGED_SPLICING (or an expression attribution, for the regulatory variants) is its largest attribution. Detection driven by PROTEIN_TERMINATION or ALPHAMISSENSE is reported separately.</w:t>
      </w:r>
    </w:p>
    <w:p>
      <w:r>
        <w:rPr>
          <w:color w:val="000000"/>
        </w:rPr>
        <w:t>The primary endpoint (locus percentile of AVI for POS SNVs) is otherwise unchanged; it is now computed on the non-coding and synonymous POS SNVs, with the all-variant figure as secondary.</w:t>
      </w:r>
    </w:p>
    <w:p>
      <w:r>
        <w:rPr>
          <w:b/>
          <w:color w:val="000000"/>
          <w:sz w:val="24"/>
        </w:rPr>
        <w:t>A2. Training-chromosome leakage for AVI (19 September 2026)</w:t>
      </w:r>
    </w:p>
    <w:p>
      <w:r>
        <w:rPr>
          <w:b/>
          <w:color w:val="000000"/>
        </w:rPr>
        <w:t>Timing.</w:t>
      </w:r>
      <w:r>
        <w:rPr>
          <w:color w:val="000000"/>
        </w:rPr>
        <w:t xml:space="preserve"> Written after reading the AlphaGenome Atlas preprint's methods, and </w:t>
      </w:r>
      <w:r>
        <w:rPr>
          <w:b/>
          <w:color w:val="000000"/>
        </w:rPr>
        <w:t>before any AVI score for a truth-set variant existed</w:t>
      </w:r>
      <w:r>
        <w:rPr>
          <w:color w:val="000000"/>
        </w:rPr>
        <w:t xml:space="preserve"> (confirmed: </w:t>
      </w:r>
      <w:r>
        <w:rPr>
          <w:rFonts w:ascii="Consolas" w:hAnsi="Consolas"/>
          <w:color w:val="000000"/>
        </w:rPr>
        <w:t>results/atlas_truthset.tsv</w:t>
      </w:r>
      <w:r>
        <w:rPr>
          <w:color w:val="000000"/>
        </w:rPr>
        <w:t xml:space="preserve"> absent).</w:t>
      </w:r>
    </w:p>
    <w:p>
      <w:r>
        <w:rPr>
          <w:b/>
          <w:color w:val="000000"/>
        </w:rPr>
        <w:t>Fact, from the preprint's Data Split section.</w:t>
      </w:r>
      <w:r>
        <w:rPr>
          <w:color w:val="000000"/>
        </w:rPr>
        <w:t xml:space="preserve"> AVI was trained on gnomAD v4.1 variants from chromosomes 1, 4, 7, 8, 10, 13 and 15, with labels from allele frequency (FAF95_GRPMAX below 0.001 = proxy impactful, at or above = proxy neutral). Validation used chromosomes 2, 5, 11, 14, 17, 20, 22 and X. DeepMind's own benchmark evaluation excluded any variant whose genomic position overlapped a training or validation variant, allele regardless.</w:t>
      </w:r>
    </w:p>
    <w:p>
      <w:r>
        <w:rPr>
          <w:b/>
          <w:color w:val="000000"/>
        </w:rPr>
        <w:t>Consequences.</w:t>
      </w:r>
    </w:p>
    <w:p>
      <w:pPr>
        <w:pStyle w:val="ListNumber"/>
      </w:pPr>
      <w:r>
        <w:rPr>
          <w:i/>
          <w:color w:val="000000"/>
        </w:rPr>
        <w:t>PKD1</w:t>
      </w:r>
      <w:r>
        <w:rPr>
          <w:color w:val="000000"/>
        </w:rPr>
        <w:t xml:space="preserve"> is on chromosome 16, which was in neither the training nor the validation set. The </w:t>
      </w:r>
      <w:r>
        <w:rPr>
          <w:i/>
          <w:color w:val="000000"/>
        </w:rPr>
        <w:t>PKD1</w:t>
      </w:r>
      <w:r>
        <w:rPr>
          <w:color w:val="000000"/>
        </w:rPr>
        <w:t xml:space="preserve"> truth set is therefore a genuinely held-out test for AVI. **AVI results are reported primarily on</w:t>
      </w:r>
    </w:p>
    <w:p>
      <w:r>
        <w:rPr>
          <w:i/>
          <w:color w:val="000000"/>
          <w:sz w:val="18"/>
        </w:rPr>
        <w:t>PKD1*.</w:t>
      </w:r>
    </w:p>
    <w:p>
      <w:pPr>
        <w:pStyle w:val="ListNumber"/>
      </w:pPr>
      <w:r>
        <w:rPr>
          <w:i/>
          <w:color w:val="000000"/>
        </w:rPr>
        <w:t>PKD2</w:t>
      </w:r>
      <w:r>
        <w:rPr>
          <w:color w:val="000000"/>
        </w:rPr>
        <w:t xml:space="preserve"> is on chromosome 4, a training chromosome. The same exclusion rule DeepMind applied is applied here: any </w:t>
      </w:r>
      <w:r>
        <w:rPr>
          <w:i/>
          <w:color w:val="000000"/>
        </w:rPr>
        <w:t>PKD2</w:t>
      </w:r>
      <w:r>
        <w:rPr>
          <w:color w:val="000000"/>
        </w:rPr>
        <w:t xml:space="preserve"> truth-set variant whose position (or, for an indel, spanned interval) overlaps a variant in gnomAD v4.1 genomes is flagged as potentially seen in training. AVI results for </w:t>
      </w:r>
      <w:r>
        <w:rPr>
          <w:i/>
          <w:color w:val="000000"/>
        </w:rPr>
        <w:t>PKD2</w:t>
      </w:r>
      <w:r>
        <w:rPr>
          <w:color w:val="000000"/>
        </w:rPr>
        <w:t xml:space="preserve"> are reported separately, split by that flag, and are secondary.</w:t>
      </w:r>
    </w:p>
    <w:p>
      <w:pPr>
        <w:pStyle w:val="ListNumber"/>
      </w:pPr>
      <w:r>
        <w:rPr>
          <w:color w:val="000000"/>
        </w:rPr>
        <w:t>This affects AVI only. The AlphaGenome base model (used for on-demand scores) was trained on functional genomics tracks, not on variant labels, so the variant-level leakage argument does not apply to it in the same way. SpliceAI and CADD have their own, different training data and are not adjusted.</w:t>
      </w:r>
    </w:p>
    <w:p>
      <w:r>
        <w:rPr>
          <w:b/>
          <w:color w:val="000000"/>
          <w:sz w:val="24"/>
        </w:rPr>
        <w:t>A3. New negatives from hand-downloaded papers; discordant results (19 September 2026)</w:t>
      </w:r>
    </w:p>
    <w:p>
      <w:r>
        <w:rPr>
          <w:b/>
          <w:color w:val="000000"/>
        </w:rPr>
        <w:t>Timing, stated plainly.</w:t>
      </w:r>
      <w:r>
        <w:rPr>
          <w:color w:val="000000"/>
        </w:rPr>
        <w:t xml:space="preserve"> Written after all scores for the original 52 variants had been seen (results note of 19 September). None of the variants added here had been scored when this was written. The changes below follow rules fixed in advance or are mechanical; none was chosen by looking at how a tool performed.</w:t>
      </w:r>
    </w:p>
    <w:p>
      <w:r>
        <w:rPr>
          <w:b/>
          <w:color w:val="000000"/>
        </w:rPr>
        <w:t>New data.</w:t>
      </w:r>
      <w:r>
        <w:rPr>
          <w:color w:val="000000"/>
        </w:rPr>
        <w:t xml:space="preserve"> Dr Lawrence obtained three papers that were not open access (PMIDs 24907393, 34257392, 26692149). From them:</w:t>
      </w:r>
    </w:p>
    <w:p>
      <w:pPr>
        <w:pStyle w:val="ListBullet"/>
      </w:pPr>
      <w:r>
        <w:rPr>
          <w:color w:val="000000"/>
        </w:rPr>
        <w:t>8 new positives with full HGVS (PMID 34257392, Table 2).</w:t>
      </w:r>
    </w:p>
    <w:p>
      <w:pPr>
        <w:pStyle w:val="ListBullet"/>
      </w:pPr>
      <w:r>
        <w:rPr>
          <w:color w:val="000000"/>
        </w:rPr>
        <w:t xml:space="preserve">New negatives named in the main text: 10 </w:t>
      </w:r>
      <w:r>
        <w:rPr>
          <w:i/>
          <w:color w:val="000000"/>
        </w:rPr>
        <w:t>PKD2</w:t>
      </w:r>
      <w:r>
        <w:rPr>
          <w:color w:val="000000"/>
        </w:rPr>
        <w:t xml:space="preserve"> missense (PMID 26692149, Table 1) and 8 </w:t>
      </w:r>
      <w:r>
        <w:rPr>
          <w:i/>
          <w:color w:val="000000"/>
        </w:rPr>
        <w:t>PKD1</w:t>
      </w:r>
      <w:r>
        <w:rPr>
          <w:color w:val="000000"/>
        </w:rPr>
        <w:t xml:space="preserve"> (PMID 24907393: seven missense named in protein notation, plus c.11258G&gt;A).</w:t>
      </w:r>
    </w:p>
    <w:p>
      <w:pPr>
        <w:pStyle w:val="ListBullet"/>
      </w:pPr>
      <w:r>
        <w:rPr>
          <w:color w:val="000000"/>
        </w:rPr>
        <w:t xml:space="preserve">The remaining negatives of PMIDs 24907393 (about 21) and 34257392 (29) are only in online supplementary files and are </w:t>
      </w:r>
      <w:r>
        <w:rPr>
          <w:b/>
          <w:color w:val="000000"/>
        </w:rPr>
        <w:t>not</w:t>
      </w:r>
      <w:r>
        <w:rPr>
          <w:color w:val="000000"/>
        </w:rPr>
        <w:t xml:space="preserve"> added until those files are obtained.</w:t>
      </w:r>
    </w:p>
    <w:p>
      <w:r>
        <w:rPr>
          <w:b/>
          <w:color w:val="000000"/>
        </w:rPr>
        <w:t>Protein-to-DNA derivation.</w:t>
      </w:r>
      <w:r>
        <w:rPr>
          <w:color w:val="000000"/>
        </w:rPr>
        <w:t xml:space="preserve"> Variants given only in protein notation are converted by </w:t>
      </w:r>
      <w:r>
        <w:rPr>
          <w:rFonts w:ascii="Consolas" w:hAnsi="Consolas"/>
          <w:color w:val="000000"/>
        </w:rPr>
        <w:t>analysis/p_to_c.py</w:t>
      </w:r>
      <w:r>
        <w:rPr>
          <w:color w:val="000000"/>
        </w:rPr>
        <w:t xml:space="preserve">: the codon is read from the RefSeq coding sequence, the stated reference amino acid is checked, and a DNA change is accepted only if exactly one single-base substitution produces the stated amino-acid change. All 17 such conversions were unique. For </w:t>
      </w:r>
      <w:r>
        <w:rPr>
          <w:i/>
          <w:color w:val="000000"/>
        </w:rPr>
        <w:t>PKD2</w:t>
      </w:r>
      <w:r>
        <w:rPr>
          <w:color w:val="000000"/>
        </w:rPr>
        <w:t xml:space="preserve">, every derived position matches the paper's own "distance from exon end" column. As a control, the same method reproduces exactly the five variants for which these two papers also print c. notation (three in </w:t>
      </w:r>
      <w:r>
        <w:rPr>
          <w:i/>
          <w:color w:val="000000"/>
        </w:rPr>
        <w:t>PKD2</w:t>
      </w:r>
      <w:r>
        <w:rPr>
          <w:color w:val="000000"/>
        </w:rPr>
        <w:t xml:space="preserve">, two in </w:t>
      </w:r>
      <w:r>
        <w:rPr>
          <w:i/>
          <w:color w:val="000000"/>
        </w:rPr>
        <w:t>PKD1</w:t>
      </w:r>
      <w:r>
        <w:rPr>
          <w:color w:val="000000"/>
        </w:rPr>
        <w:t>).</w:t>
      </w:r>
    </w:p>
    <w:p>
      <w:r>
        <w:rPr>
          <w:b/>
          <w:color w:val="000000"/>
        </w:rPr>
        <w:t>Discordant results (rule).</w:t>
      </w:r>
      <w:r>
        <w:rPr>
          <w:color w:val="000000"/>
        </w:rPr>
        <w:t xml:space="preserve"> Where two sources report opposite functional results for the same variant, the variant is labelled DISCORDANT and excluded from both POS and NEG. This applies now to </w:t>
      </w:r>
      <w:r>
        <w:rPr>
          <w:i/>
          <w:color w:val="000000"/>
        </w:rPr>
        <w:t>PKD1</w:t>
      </w:r>
      <w:r>
        <w:rPr>
          <w:color w:val="000000"/>
        </w:rPr>
        <w:t xml:space="preserve"> c.11257C&gt;T: positive in PMID 37468838 (minigene, 33.8% vs 27.7% exon exclusion, P &lt; 0.05), negative in PMID 24907393 (minigene, no effect). Because this changes one original label after its scores were seen, every affected endpoint is reported twice: with the rule applied and with the original label.</w:t>
      </w:r>
    </w:p>
    <w:p>
      <w:r>
        <w:rPr>
          <w:b/>
          <w:color w:val="000000"/>
        </w:rPr>
        <w:t>AUC.</w:t>
      </w:r>
      <w:r>
        <w:rPr>
          <w:color w:val="000000"/>
        </w:rPr>
        <w:t xml:space="preserve"> Section 5 anticipated this: with the added negatives, an AUC with a bootstrap 95% interval becomes a secondary endpoint for each tool. It is computed on the variant classes each tool can legitimately be judged on (amendment A1): all variants for the splicing-specific scores; for AVI and CADD, non-coding and synonymous variants only, and separately on all variants, labelled.</w:t>
      </w:r>
    </w:p>
    <w:p>
      <w:r>
        <w:rPr>
          <w:b/>
          <w:color w:val="000000"/>
        </w:rPr>
        <w:t>Caveat for the new negatives.</w:t>
      </w:r>
      <w:r>
        <w:rPr>
          <w:color w:val="000000"/>
        </w:rPr>
        <w:t xml:space="preserve"> Almost all are missense. They are valid negatives for splicing scores, but not for AVI or CADD, which will rightly score damaging missense variants high (A1). Several are listed as pathogenic in the ADPKD mutation database by the paper's own account; one, </w:t>
      </w:r>
      <w:r>
        <w:rPr>
          <w:i/>
          <w:color w:val="000000"/>
        </w:rPr>
        <w:t>PKD1</w:t>
      </w:r>
      <w:r>
        <w:rPr>
          <w:color w:val="000000"/>
        </w:rPr>
        <w:t xml:space="preserve"> p.R3277C, is a well-known hypomorphic allele.</w:t>
      </w:r>
    </w:p>
    <w:p>
      <w:r>
        <w:rPr>
          <w:b/>
          <w:color w:val="000000"/>
          <w:sz w:val="24"/>
        </w:rPr>
        <w:t>A4. Exploratory aim: the miR-17 drug-target site in the PKD1 3'UTR (19 September 2026)</w:t>
      </w:r>
    </w:p>
    <w:p>
      <w:r>
        <w:rPr>
          <w:b/>
          <w:color w:val="000000"/>
        </w:rPr>
        <w:t>Status and timing.</w:t>
      </w:r>
      <w:r>
        <w:rPr>
          <w:color w:val="000000"/>
        </w:rPr>
        <w:t xml:space="preserve"> A new, exploratory, descriptive aim. Written after obtaining Supplementary Table 4 of Lakhia et al., NAR 2026 (PMID 41558825), and </w:t>
      </w:r>
      <w:r>
        <w:rPr>
          <w:b/>
          <w:color w:val="000000"/>
        </w:rPr>
        <w:t>before any score or population data for the site was looked at</w:t>
      </w:r>
      <w:r>
        <w:rPr>
          <w:color w:val="000000"/>
        </w:rPr>
        <w:t>. It is not part of the benchmark and cannot change any earlier endpoint.</w:t>
      </w:r>
    </w:p>
    <w:p>
      <w:r>
        <w:rPr>
          <w:b/>
          <w:color w:val="000000"/>
        </w:rPr>
        <w:t>The site.</w:t>
      </w:r>
      <w:r>
        <w:rPr>
          <w:color w:val="000000"/>
        </w:rPr>
        <w:t xml:space="preserve"> The mouse edit (allele-specific primers in Table 4) changes the six seed-matching bases CACTTT to TGTCCC. The human orthologue was located by sequence: CACTTT occurs exactly once in the 1,019-nt </w:t>
      </w:r>
      <w:r>
        <w:rPr>
          <w:i/>
          <w:color w:val="000000"/>
        </w:rPr>
        <w:t>PKD1</w:t>
      </w:r>
      <w:r>
        <w:rPr>
          <w:color w:val="000000"/>
        </w:rPr>
        <w:t xml:space="preserve"> 3'UTR (NM_001009944.3 c.*153_*158), with 31 of 35 flanking bases identical to the mouse context. GRCh38 chr16:2,089,569-2,089,574 (forward strand AAAGTG), reference bases confirmed by VariantValidator. Experimental truth, from the paper: disrupting this site (mouse, by base editing; human cells, by steric-blocking oligonucleotide) stabilises </w:t>
      </w:r>
      <w:r>
        <w:rPr>
          <w:i/>
          <w:color w:val="000000"/>
        </w:rPr>
        <w:t>PKD1</w:t>
      </w:r>
      <w:r>
        <w:rPr>
          <w:color w:val="000000"/>
        </w:rPr>
        <w:t xml:space="preserve"> mRNA and raises polycystin-1.</w:t>
      </w:r>
    </w:p>
    <w:p>
      <w:r>
        <w:rPr>
          <w:b/>
          <w:color w:val="000000"/>
        </w:rPr>
        <w:t>Questions and expectations, fixed now.</w:t>
      </w:r>
    </w:p>
    <w:p>
      <w:pPr>
        <w:pStyle w:val="ListBullet"/>
      </w:pPr>
      <w:r>
        <w:rPr>
          <w:b/>
          <w:color w:val="000000"/>
        </w:rPr>
        <w:t>Q1, natural variation.</w:t>
      </w:r>
      <w:r>
        <w:rPr>
          <w:color w:val="000000"/>
        </w:rPr>
        <w:t xml:space="preserve"> Which variants does gnomAD v4.1 record at the six bases, at what frequency and in which populations? A variant disrupting the seed would in principle mimic the drug. Recorded as description and hypothesis only; nothing here tests protection.</w:t>
      </w:r>
    </w:p>
    <w:p>
      <w:pPr>
        <w:pStyle w:val="ListBullet"/>
      </w:pPr>
      <w:r>
        <w:rPr>
          <w:b/>
          <w:color w:val="000000"/>
        </w:rPr>
        <w:t>Q2, does AlphaGenome see the site?</w:t>
      </w:r>
      <w:r>
        <w:rPr>
          <w:color w:val="000000"/>
        </w:rPr>
        <w:t xml:space="preserve"> AVI for all 18 possible SNVs at the six bases, ranked against every other SNV in the 3'UTR. </w:t>
      </w:r>
      <w:r>
        <w:rPr>
          <w:b/>
          <w:color w:val="000000"/>
        </w:rPr>
        <w:t>Expectation: no distinguishable signal</w:t>
      </w:r>
      <w:r>
        <w:rPr>
          <w:color w:val="000000"/>
        </w:rPr>
        <w:t>, because AlphaGenome has no microRNA modality and miR-17 repression is post-transcriptional and cell-type dependent.</w:t>
      </w:r>
    </w:p>
    <w:p>
      <w:pPr>
        <w:pStyle w:val="ListBullet"/>
      </w:pPr>
      <w:r>
        <w:rPr>
          <w:b/>
          <w:color w:val="000000"/>
        </w:rPr>
        <w:t>Q3, the edit itself.</w:t>
      </w:r>
      <w:r>
        <w:rPr>
          <w:color w:val="000000"/>
        </w:rPr>
        <w:t xml:space="preserve"> AlphaGenome on-demand RNA-seq prediction for </w:t>
      </w:r>
      <w:r>
        <w:rPr>
          <w:i/>
          <w:color w:val="000000"/>
        </w:rPr>
        <w:t>PKD1</w:t>
      </w:r>
      <w:r>
        <w:rPr>
          <w:color w:val="000000"/>
        </w:rPr>
        <w:t xml:space="preserve"> for the full human 6-base edit (AAAGTG to GGGACA on the forward strand). Experimental direction: </w:t>
      </w:r>
      <w:r>
        <w:rPr>
          <w:i/>
          <w:color w:val="000000"/>
        </w:rPr>
        <w:t>more</w:t>
      </w:r>
      <w:r>
        <w:rPr>
          <w:color w:val="000000"/>
        </w:rPr>
        <w:t xml:space="preserve"> PKD1 mRNA. </w:t>
      </w:r>
      <w:r>
        <w:rPr>
          <w:b/>
          <w:color w:val="000000"/>
        </w:rPr>
        <w:t>Expectation: a predicted change near zero.</w:t>
      </w:r>
      <w:r>
        <w:rPr>
          <w:color w:val="000000"/>
        </w:rPr>
        <w:t xml:space="preserve"> This is the only positive-direction test available.</w:t>
      </w:r>
    </w:p>
    <w:p>
      <w:pPr>
        <w:pStyle w:val="ListBullet"/>
      </w:pPr>
      <w:r>
        <w:rPr>
          <w:b/>
          <w:color w:val="000000"/>
        </w:rPr>
        <w:t>Q4, uORF start-loss (added the same evening, before scoring).</w:t>
      </w:r>
      <w:r>
        <w:rPr>
          <w:color w:val="000000"/>
        </w:rPr>
        <w:t xml:space="preserve"> Figure 4A of PMID 41006799, supplied by Dr Lawrence, gives the engineered edits c.-87A&gt;T (uORF1 ATG to TTG) and c.-20A&gt;T (uORF2 ATG to TTG); both start codons confirmed in the RefSeq sequence, and the flanking sequence matches the figure. Measured effect (paper text): +9% translation (uORF1), +34% (uORF2), +130% (both). These act on translation, like c.-69dupG. </w:t>
      </w:r>
      <w:r>
        <w:rPr>
          <w:b/>
          <w:color w:val="000000"/>
        </w:rPr>
        <w:t>Expectation: AlphaGenome predicts near-zero change.</w:t>
      </w:r>
      <w:r>
        <w:rPr>
          <w:color w:val="000000"/>
        </w:rPr>
        <w:t xml:space="preserve"> The double edit is two non-adjacent changes and is not scored as a single allele.</w:t>
      </w:r>
    </w:p>
    <w:p>
      <w:r>
        <w:rPr>
          <w:b/>
          <w:color w:val="000000"/>
          <w:sz w:val="24"/>
        </w:rPr>
        <w:t>A5. Gene-wide SpliceAI background by evenly spaced sample (19 September 2026)</w:t>
      </w:r>
    </w:p>
    <w:p>
      <w:r>
        <w:rPr>
          <w:b/>
          <w:color w:val="000000"/>
        </w:rPr>
        <w:t>Timing.</w:t>
      </w:r>
      <w:r>
        <w:rPr>
          <w:color w:val="000000"/>
        </w:rPr>
        <w:t xml:space="preserve"> Written before any gene-wide SpliceAI result was analysed (3 of 53 chunks of the exhaustive </w:t>
      </w:r>
      <w:r>
        <w:rPr>
          <w:i/>
          <w:color w:val="000000"/>
        </w:rPr>
        <w:t>PKD1</w:t>
      </w:r>
      <w:r>
        <w:rPr>
          <w:color w:val="000000"/>
        </w:rPr>
        <w:t xml:space="preserve"> run had been computed and none had been read).</w:t>
      </w:r>
    </w:p>
    <w:p>
      <w:r>
        <w:rPr>
          <w:b/>
          <w:color w:val="000000"/>
        </w:rPr>
        <w:t>Reason.</w:t>
      </w:r>
      <w:r>
        <w:rPr>
          <w:color w:val="000000"/>
        </w:rPr>
        <w:t xml:space="preserve"> Exhaustive scoring of every position takes about 22 minutes per 1,000 positions on this machine, which is roughly 19 hours for </w:t>
      </w:r>
      <w:r>
        <w:rPr>
          <w:i/>
          <w:color w:val="000000"/>
        </w:rPr>
        <w:t>PKD1</w:t>
      </w:r>
      <w:r>
        <w:rPr>
          <w:color w:val="000000"/>
        </w:rPr>
        <w:t xml:space="preserve"> and a further 28 for </w:t>
      </w:r>
      <w:r>
        <w:rPr>
          <w:i/>
          <w:color w:val="000000"/>
        </w:rPr>
        <w:t>PKD2</w:t>
      </w:r>
      <w:r>
        <w:rPr>
          <w:color w:val="000000"/>
        </w:rPr>
        <w:t>. The background is used only to convert a score into a percentile and to count what fraction of a locus a threshold flags. An evenly spaced sample of positions estimates both to within a few tenths of a percentage point.</w:t>
      </w:r>
    </w:p>
    <w:p>
      <w:r>
        <w:rPr>
          <w:b/>
          <w:color w:val="000000"/>
        </w:rPr>
        <w:t>Change.</w:t>
      </w:r>
      <w:r>
        <w:rPr>
          <w:color w:val="000000"/>
        </w:rPr>
        <w:t xml:space="preserve"> The SpliceAI locus background is computed on an evenly spaced sample of 12,000 positions per locus (about one position in four for </w:t>
      </w:r>
      <w:r>
        <w:rPr>
          <w:i/>
          <w:color w:val="000000"/>
        </w:rPr>
        <w:t>PKD1</w:t>
      </w:r>
      <w:r>
        <w:rPr>
          <w:color w:val="000000"/>
        </w:rPr>
        <w:t xml:space="preserve">, one in six for </w:t>
      </w:r>
      <w:r>
        <w:rPr>
          <w:i/>
          <w:color w:val="000000"/>
        </w:rPr>
        <w:t>PKD2</w:t>
      </w:r>
      <w:r>
        <w:rPr>
          <w:color w:val="000000"/>
        </w:rPr>
        <w:t xml:space="preserve">), all three alternate alleles at each. This affects the background distribution only: every truth-set variant is still scored exactly, by </w:t>
      </w:r>
      <w:r>
        <w:rPr>
          <w:rFonts w:ascii="Consolas" w:hAnsi="Consolas"/>
          <w:color w:val="000000"/>
        </w:rPr>
        <w:t>08_score_spliceai.py</w:t>
      </w:r>
      <w:r>
        <w:rPr>
          <w:color w:val="000000"/>
        </w:rPr>
        <w:t>, and AVI and CADD backgrounds remain exhaustive. Sample size and spacing are recorded in the output. The exhaustive run can be completed later; the partial results already computed are kept.</w:t>
      </w:r>
    </w:p>
    <w:p>
      <w:r>
        <w:rPr>
          <w:b/>
          <w:color w:val="000000"/>
          <w:sz w:val="24"/>
        </w:rPr>
        <w:t>A6. Non-coding background as a sensitivity analysis (20 September 2026)</w:t>
      </w:r>
    </w:p>
    <w:p>
      <w:r>
        <w:rPr>
          <w:b/>
          <w:color w:val="000000"/>
        </w:rPr>
        <w:t>Timing, stated plainly.</w:t>
      </w:r>
      <w:r>
        <w:rPr>
          <w:color w:val="000000"/>
        </w:rPr>
        <w:t xml:space="preserve"> Devised and run </w:t>
      </w:r>
      <w:r>
        <w:rPr>
          <w:b/>
          <w:color w:val="000000"/>
        </w:rPr>
        <w:t>after</w:t>
      </w:r>
      <w:r>
        <w:rPr>
          <w:color w:val="000000"/>
        </w:rPr>
        <w:t xml:space="preserve"> seeing the first burden result, which compared AVI and SpliceAI at an equal number of flagged variants against a background of every possible variant in </w:t>
      </w:r>
      <w:r>
        <w:rPr>
          <w:i/>
          <w:color w:val="000000"/>
        </w:rPr>
        <w:t>PKD1</w:t>
      </w:r>
      <w:r>
        <w:rPr>
          <w:color w:val="000000"/>
        </w:rPr>
        <w:t>. It is therefore exploratory and is reported as a sensitivity analysis, not as a pre-specified endpoint. Both results are reported together and neither is presented alone.</w:t>
      </w:r>
    </w:p>
    <w:p>
      <w:r>
        <w:rPr>
          <w:b/>
          <w:color w:val="000000"/>
        </w:rPr>
        <w:t>Why.</w:t>
      </w:r>
      <w:r>
        <w:rPr>
          <w:color w:val="000000"/>
        </w:rPr>
        <w:t xml:space="preserve"> Ranking a non-coding candidate against a background that includes every coding variant penalises AVI unfairly: AVI is a whole-genome pathogenicity score and is correct to place protein-truncating variants at the top of a gene. A laboratory searching for a non-coding cause, having already assessed the coding sequence, would compare candidates against other non-coding variants.</w:t>
      </w:r>
    </w:p>
    <w:p>
      <w:r>
        <w:rPr>
          <w:b/>
          <w:color w:val="000000"/>
        </w:rPr>
        <w:t>Method.</w:t>
      </w:r>
      <w:r>
        <w:rPr>
          <w:color w:val="000000"/>
        </w:rPr>
        <w:t xml:space="preserve"> The background is restricted to positions outside the exons of the canonical Ensembl transcript, padded by 2 bp so that canonical splice-site positions are also excluded, using exon coordinates fetched from Ensembl (</w:t>
      </w:r>
      <w:r>
        <w:rPr>
          <w:rFonts w:ascii="Consolas" w:hAnsi="Consolas"/>
          <w:color w:val="000000"/>
        </w:rPr>
        <w:t>data/raw/exons_grch38.json</w:t>
      </w:r>
      <w:r>
        <w:rPr>
          <w:color w:val="000000"/>
        </w:rPr>
        <w:t>). The comparison is otherwise identical: the AVI threshold is set so that AVI flags the same proportion of the restricted background as SpliceAI flags at 0.5, and recovery of proven positives is compared at that matched burden. Only variants classified as non-coding are counted.</w:t>
      </w:r>
    </w:p>
    <w:p>
      <w:r>
        <w:rPr>
          <w:b/>
          <w:color w:val="000000"/>
          <w:sz w:val="24"/>
        </w:rPr>
        <w:t>A7. Rebuild after external review (20 September 2026)</w:t>
      </w:r>
    </w:p>
    <w:p>
      <w:r>
        <w:rPr>
          <w:b/>
          <w:color w:val="000000"/>
        </w:rPr>
        <w:t>Timing.</w:t>
      </w:r>
      <w:r>
        <w:rPr>
          <w:color w:val="000000"/>
        </w:rPr>
        <w:t xml:space="preserve"> After the full analysis was complete and after an external editorial review of draft v1.3. Everything below is therefore post hoc. The earlier analyses are retained in the repository and the change is described, not hidden.</w:t>
      </w:r>
    </w:p>
    <w:p>
      <w:r>
        <w:rPr>
          <w:b/>
          <w:color w:val="000000"/>
        </w:rPr>
        <w:t>Errors found by the review and corrected.</w:t>
      </w:r>
    </w:p>
    <w:p>
      <w:pPr>
        <w:pStyle w:val="ListNumber"/>
      </w:pPr>
      <w:r>
        <w:rPr>
          <w:i/>
          <w:color w:val="000000"/>
        </w:rPr>
        <w:t>Burden matching used counts, not proportions.</w:t>
      </w:r>
      <w:r>
        <w:rPr>
          <w:color w:val="000000"/>
        </w:rPr>
        <w:t xml:space="preserve"> The AVI threshold was set to flag the same NUMBER of variants as SpliceAI at 0.5, but the SpliceAI background is an evenly spaced sample of the locus (A5) while the AVI background is complete, so the same count was a four times stricter threshold. Corrected to match proportions. Whole locus: AVI recovers 5 of 25, not 1 of 25. Non-coding background: AVI 18 of 21, not 8 of 21. The corrected result reverses the direction of the earlier claim.</w:t>
      </w:r>
    </w:p>
    <w:p>
      <w:pPr>
        <w:pStyle w:val="ListNumber"/>
      </w:pPr>
      <w:r>
        <w:rPr>
          <w:i/>
          <w:color w:val="000000"/>
        </w:rPr>
        <w:t>The documented AlphaGenome splicing composite was not tested.</w:t>
      </w:r>
      <w:r>
        <w:rPr>
          <w:color w:val="000000"/>
        </w:rPr>
        <w:t xml:space="preserve"> The published recommendation is max(splice_sites) + max(splice_site_usage) + max(splice_junctions)/5, each aggregated across all tracks and genes. Only the separate components, gene-restricted, had been used. The composite is now the primary AlphaGenome score, and the all-gene aggregation is recorded alongside the gene-restricted one.</w:t>
      </w:r>
    </w:p>
    <w:p>
      <w:pPr>
        <w:pStyle w:val="ListNumber"/>
      </w:pPr>
      <w:r>
        <w:rPr>
          <w:i/>
          <w:color w:val="000000"/>
        </w:rPr>
        <w:t>Equivalence was inferred from overlapping intervals.</w:t>
      </w:r>
      <w:r>
        <w:rPr>
          <w:color w:val="000000"/>
        </w:rPr>
        <w:t xml:space="preserve"> Replaced by a paired difference in AUC with a bootstrap interval. No equivalence margin is claimed.</w:t>
      </w:r>
    </w:p>
    <w:p>
      <w:pPr>
        <w:pStyle w:val="ListNumber"/>
      </w:pPr>
      <w:r>
        <w:rPr>
          <w:i/>
          <w:color w:val="000000"/>
        </w:rPr>
        <w:t>Counts were inconsistent</w:t>
      </w:r>
      <w:r>
        <w:rPr>
          <w:color w:val="000000"/>
        </w:rPr>
        <w:t xml:space="preserve"> between the abstract, Results and Supplementary Table S1, because entries and unique variants were mixed. Reconciled explicitly: 128 source-level entries describe 125 unique variants.</w:t>
      </w:r>
    </w:p>
    <w:p>
      <w:r>
        <w:rPr>
          <w:b/>
          <w:color w:val="000000"/>
        </w:rPr>
        <w:t>Change of design: one reference standard per assay class.</w:t>
      </w:r>
      <w:r>
        <w:rPr>
          <w:color w:val="000000"/>
        </w:rPr>
        <w:t xml:space="preserve"> Variants are assigned to the class of experiment that produced their evidence, and each class is analysed separately: splicing (patient RNA or minigene read out as splicing), abundance (transcript-level measurement), translation (5'UTR reporter, protein output with RNA unchanged). The primary comparison uses the splicing class only. The abundance class contains one variant and the translation class three; both are reported descriptively and no AUC is computed for them.</w:t>
      </w:r>
    </w:p>
    <w:p>
      <w:r>
        <w:rPr>
          <w:b/>
          <w:color w:val="000000"/>
        </w:rPr>
        <w:t>Added robustness analyses</w:t>
      </w:r>
      <w:r>
        <w:rPr>
          <w:color w:val="000000"/>
        </w:rPr>
        <w:t>, because the controls are concentrated in a few papers: leave-one-study -out AUC, a bootstrap that resamples whole source studies rather than variants, and subgroups by gene, by distance from the splice site, and by patient RNA versus minigene evidence.</w:t>
      </w:r>
    </w:p>
    <w:p>
      <w:r>
        <w:rPr>
          <w:b/>
          <w:color w:val="000000"/>
        </w:rPr>
        <w:t>Coverage.</w:t>
      </w:r>
      <w:r>
        <w:rPr>
          <w:color w:val="000000"/>
        </w:rPr>
        <w:t xml:space="preserve"> A variant a tool cannot score is reported as unscored, never as a low score, in a per-tool coverage matrix.</w:t>
      </w:r>
    </w:p>
    <w:p>
      <w:r>
        <w:rPr>
          <w:b/>
          <w:color w:val="000000"/>
        </w:rPr>
        <w:t>Claims withdrawn.</w:t>
      </w:r>
      <w:r>
        <w:rPr>
          <w:color w:val="000000"/>
        </w:rPr>
        <w:t xml:space="preserve"> The general statement that these models are blind to mechanisms acting after transcription is withdrawn. rs3874648 acts through a cryptic splice acceptor, so a near-zero score there is a splicing miss, not evidence about scope. Statements about translation-acting variants are confined to the endpoint actually measured.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