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Where sequence-to-function models see, and do not see, proven PKD1 and PKD2 variants</w:t>
      </w:r>
    </w:p>
    <w:p>
      <w:r>
        <w:rPr>
          <w:b/>
          <w:color w:val="000000"/>
        </w:rPr>
        <w:t>DRAFT v0.1, 19 September 2026.</w:t>
      </w:r>
      <w:r>
        <w:rPr>
          <w:color w:val="000000"/>
        </w:rPr>
        <w:t xml:space="preserve"> Numbers marked PENDING await the gene-wide SpliceAI run. Nothing in this draft should be submitted before the checks listed at the end are done.</w:t>
      </w:r>
    </w:p>
    <w:p>
      <w:r>
        <w:rPr>
          <w:color w:val="000000"/>
        </w:rPr>
        <w:t>Christopher Lawrence, BSc, MBBS, LLM, MD(Res), FRCP Consultant Nephrologist, 9 Harley Street, London W1G 9QY, United Kingdom ORCID 0000-0002-8159-0879 Correspondence: Christopher.lawrence3@nhs.net</w:t>
      </w:r>
    </w:p>
    <w:p>
      <w:pPr>
        <w:pBdr>
          <w:bottom w:val="single" w:sz="6" w:space="1" w:color="999999"/>
        </w:pBdr>
      </w:pPr>
    </w:p>
    <w:p>
      <w:r>
        <w:rPr>
          <w:b/>
          <w:color w:val="000000"/>
          <w:sz w:val="28"/>
        </w:rPr>
        <w:t>Abstract</w:t>
      </w:r>
    </w:p>
    <w:p>
      <w:r>
        <w:rPr>
          <w:b/>
          <w:color w:val="000000"/>
        </w:rPr>
        <w:t>Background.</w:t>
      </w:r>
      <w:r>
        <w:rPr>
          <w:color w:val="000000"/>
        </w:rPr>
        <w:t xml:space="preserve"> Sequence-to-function models are entering variant interpretation, and the AlphaGenome Atlas now provides a precomputed impact score (AVI) for every possible single-nucleotide variant in the genome. Their performance at </w:t>
      </w:r>
      <w:r>
        <w:rPr>
          <w:i/>
          <w:color w:val="000000"/>
        </w:rPr>
        <w:t>PKD1</w:t>
      </w:r>
      <w:r>
        <w:rPr>
          <w:color w:val="000000"/>
        </w:rPr>
        <w:t>, a locus that defeats conventional pipelines, is unknown.</w:t>
      </w:r>
    </w:p>
    <w:p>
      <w:r>
        <w:rPr>
          <w:b/>
          <w:color w:val="000000"/>
        </w:rPr>
        <w:t>Methods.</w:t>
      </w:r>
      <w:r>
        <w:rPr>
          <w:color w:val="000000"/>
        </w:rPr>
        <w:t xml:space="preserve"> A recorded PubMed search identified papers reporting functional tests of </w:t>
      </w:r>
      <w:r>
        <w:rPr>
          <w:i/>
          <w:color w:val="000000"/>
        </w:rPr>
        <w:t>PKD1</w:t>
      </w:r>
      <w:r>
        <w:rPr>
          <w:color w:val="000000"/>
        </w:rPr>
        <w:t xml:space="preserve"> or </w:t>
      </w:r>
      <w:r>
        <w:rPr>
          <w:i/>
          <w:color w:val="000000"/>
        </w:rPr>
        <w:t>PKD2</w:t>
      </w:r>
      <w:r>
        <w:rPr>
          <w:color w:val="000000"/>
        </w:rPr>
        <w:t xml:space="preserve"> variants. A truth set of 121 unique variants was curated from 24 primary sources: 51 shown to disrupt splicing or expression, 68 tested and indistinguishable from wild type, 1 inconclusive and 1 discordant between laboratories. Every entry carries a verbatim quote from its source, checked mechanically against the stored text, and every variant was confirmed against GRCh38 by VariantValidator. The analysis plan was fixed and hash-stamped before scoring. Variants were scored with the AlphaGenome Atlas (AVI and its feature attributions), AlphaGenome on demand (splicing and RNA-seq), SpliceAI run locally, and CADD v1.7.</w:t>
      </w:r>
    </w:p>
    <w:p>
      <w:r>
        <w:rPr>
          <w:b/>
          <w:color w:val="000000"/>
        </w:rPr>
        <w:t>Results.</w:t>
      </w:r>
      <w:r>
        <w:rPr>
          <w:color w:val="000000"/>
        </w:rPr>
        <w:t xml:space="preserve"> For splice-acting variants, AlphaGenome and SpliceAI were indistinguishable (AUC 0.84, 95% CI 0.77 to 0.92 for AlphaGenome splice-site usage; 0.84, 0.76 to 0.91 for SpliceAI). At the conventional SpliceAI threshold of 0.2, 16 of 68 experimentally normal variants (24%) were flagged. AVI ranked non-coding and synonymous positives at a median 94.2nd percentile of the </w:t>
      </w:r>
      <w:r>
        <w:rPr>
          <w:i/>
          <w:color w:val="000000"/>
        </w:rPr>
        <w:t>PKD1</w:t>
      </w:r>
      <w:r>
        <w:rPr>
          <w:color w:val="000000"/>
        </w:rPr>
        <w:t xml:space="preserve"> locus, with 5 of 25 in the top 1%. Three classes of proven variant were missed by every tool: a 5'UTR variant that reduces translation by 87%, a common intronic variant that lowers full-length </w:t>
      </w:r>
      <w:r>
        <w:rPr>
          <w:i/>
          <w:color w:val="000000"/>
        </w:rPr>
        <w:t>PKD1</w:t>
      </w:r>
      <w:r>
        <w:rPr>
          <w:color w:val="000000"/>
        </w:rPr>
        <w:t>, and engineered disruption of the two elements that are current drug targets (the 3'UTR miR-17 seed and the 5'UTR upstream open reading frames). Where AVI did rank the drug-target sites highly, evolutionary conservation was the largest contributor for all 36 possible changes, not any functional prediction.</w:t>
      </w:r>
    </w:p>
    <w:p>
      <w:r>
        <w:rPr>
          <w:b/>
          <w:color w:val="000000"/>
        </w:rPr>
        <w:t>Conclusions.</w:t>
      </w:r>
      <w:r>
        <w:rPr>
          <w:color w:val="000000"/>
        </w:rPr>
        <w:t xml:space="preserve"> At </w:t>
      </w:r>
      <w:r>
        <w:rPr>
          <w:i/>
          <w:color w:val="000000"/>
        </w:rPr>
        <w:t>PKD1</w:t>
      </w:r>
      <w:r>
        <w:rPr>
          <w:color w:val="000000"/>
        </w:rPr>
        <w:t xml:space="preserve"> and </w:t>
      </w:r>
      <w:r>
        <w:rPr>
          <w:i/>
          <w:color w:val="000000"/>
        </w:rPr>
        <w:t>PKD2</w:t>
      </w:r>
      <w:r>
        <w:rPr>
          <w:color w:val="000000"/>
        </w:rPr>
        <w:t>, a multimodal sequence model matches but does not beat a dedicated splicing model, and both carry a substantial false-alarm burden. Post-transcriptional mechanisms, including the two elements currently being drugged, are outside what these models predict. PENDING: the gene-wide false-alarm comparison.</w:t>
      </w:r>
    </w:p>
    <w:p>
      <w:pPr>
        <w:pBdr>
          <w:bottom w:val="single" w:sz="6" w:space="1" w:color="999999"/>
        </w:pBdr>
      </w:pPr>
    </w:p>
    <w:p>
      <w:r>
        <w:rPr>
          <w:b/>
          <w:color w:val="000000"/>
          <w:sz w:val="28"/>
        </w:rPr>
        <w:t>Introduction</w:t>
      </w:r>
    </w:p>
    <w:p>
      <w:r>
        <w:rPr>
          <w:color w:val="000000"/>
        </w:rPr>
        <w:t>[To write. Points to cover, with sources already in the truth set:</w:t>
      </w:r>
    </w:p>
    <w:p>
      <w:pPr>
        <w:pStyle w:val="ListBullet"/>
      </w:pPr>
      <w:r>
        <w:rPr>
          <w:color w:val="000000"/>
        </w:rPr>
        <w:t>ADPKD remains genetically unexplained in about 10% of patients after coding-region testing.</w:t>
      </w:r>
    </w:p>
    <w:p>
      <w:pPr>
        <w:pStyle w:val="ListBullet"/>
      </w:pPr>
      <w:r>
        <w:rPr>
          <w:i/>
          <w:color w:val="000000"/>
        </w:rPr>
        <w:t>PKD1</w:t>
      </w:r>
      <w:r>
        <w:rPr>
          <w:color w:val="000000"/>
        </w:rPr>
        <w:t xml:space="preserve"> is hard: six pseudogenes over exons 1 to 33, GC-rich, poorly covered by capture methods.</w:t>
      </w:r>
    </w:p>
    <w:p>
      <w:pPr>
        <w:pStyle w:val="ListBullet"/>
      </w:pPr>
      <w:r>
        <w:rPr>
          <w:color w:val="000000"/>
        </w:rPr>
        <w:t>ADPKD is a dosage disease with a functional threshold, so quantitative regulatory prediction has a clear biological job.</w:t>
      </w:r>
    </w:p>
    <w:p>
      <w:pPr>
        <w:pStyle w:val="ListBullet"/>
      </w:pPr>
      <w:r>
        <w:rPr>
          <w:color w:val="000000"/>
        </w:rPr>
        <w:t>The AlphaGenome Atlas has just made a genome-wide precomputed score available, and laboratories will use it. No locus-specific evaluation exists for the PKD genes.</w:t>
      </w:r>
    </w:p>
    <w:p>
      <w:pPr>
        <w:pStyle w:val="ListBullet"/>
      </w:pPr>
      <w:r>
        <w:rPr>
          <w:color w:val="000000"/>
        </w:rPr>
        <w:t xml:space="preserve">Two </w:t>
      </w:r>
      <w:r>
        <w:rPr>
          <w:i/>
          <w:color w:val="000000"/>
        </w:rPr>
        <w:t>PKD1</w:t>
      </w:r>
      <w:r>
        <w:rPr>
          <w:color w:val="000000"/>
        </w:rPr>
        <w:t xml:space="preserve"> regulatory elements are drug targets in current trials, which makes their predictability a practical question, not an academic one.]</w:t>
      </w:r>
    </w:p>
    <w:p>
      <w:r>
        <w:rPr>
          <w:b/>
          <w:color w:val="000000"/>
          <w:sz w:val="28"/>
        </w:rPr>
        <w:t>Methods</w:t>
      </w:r>
    </w:p>
    <w:p>
      <w:r>
        <w:rPr>
          <w:b/>
          <w:color w:val="000000"/>
          <w:sz w:val="24"/>
        </w:rPr>
        <w:t>Literature search and screening</w:t>
      </w:r>
    </w:p>
    <w:p>
      <w:r>
        <w:rPr>
          <w:color w:val="000000"/>
        </w:rPr>
        <w:t>Two fixed PubMed queries (</w:t>
      </w:r>
      <w:r>
        <w:rPr>
          <w:rFonts w:ascii="Consolas" w:hAnsi="Consolas"/>
          <w:color w:val="000000"/>
        </w:rPr>
        <w:t>analysis/01_literature_search.py</w:t>
      </w:r>
      <w:r>
        <w:rPr>
          <w:color w:val="000000"/>
        </w:rPr>
        <w:t xml:space="preserve">, run 19 September 2026) returned 391 unique records. Titles were screened for papers reporting human </w:t>
      </w:r>
      <w:r>
        <w:rPr>
          <w:i/>
          <w:color w:val="000000"/>
        </w:rPr>
        <w:t>PKD1</w:t>
      </w:r>
      <w:r>
        <w:rPr>
          <w:color w:val="000000"/>
        </w:rPr>
        <w:t xml:space="preserve"> or </w:t>
      </w:r>
      <w:r>
        <w:rPr>
          <w:i/>
          <w:color w:val="000000"/>
        </w:rPr>
        <w:t>PKD2</w:t>
      </w:r>
      <w:r>
        <w:rPr>
          <w:color w:val="000000"/>
        </w:rPr>
        <w:t xml:space="preserve"> variants with RNA-level, reporter or regulatory functional evidence; 47 were included and retrieved as open-access full text (26) or abstract. Three further papers and two supplementary files, not available through automated retrieval, were obtained manually. Screening decisions are recorded in </w:t>
      </w:r>
      <w:r>
        <w:rPr>
          <w:rFonts w:ascii="Consolas" w:hAnsi="Consolas"/>
          <w:color w:val="000000"/>
        </w:rPr>
        <w:t>data/curated/screening_log.tsv</w:t>
      </w:r>
      <w:r>
        <w:rPr>
          <w:color w:val="000000"/>
        </w:rPr>
        <w:t>.</w:t>
      </w:r>
    </w:p>
    <w:p>
      <w:r>
        <w:rPr>
          <w:b/>
          <w:color w:val="000000"/>
          <w:sz w:val="24"/>
        </w:rPr>
        <w:t>Truth set</w:t>
      </w:r>
    </w:p>
    <w:p>
      <w:r>
        <w:rPr>
          <w:color w:val="000000"/>
        </w:rPr>
        <w:t>Entries were labelled by what the experiment showed, never by what a predictor said: POS (aberrant splicing or reduced expression demonstrated), NEG (tested and indistinguishable from wild type), INDET (assay uninterpretable). Variants named but never tested were excluded and listed with reasons (</w:t>
      </w:r>
      <w:r>
        <w:rPr>
          <w:rFonts w:ascii="Consolas" w:hAnsi="Consolas"/>
          <w:color w:val="000000"/>
        </w:rPr>
        <w:t>data/curated/excluded.tsv</w:t>
      </w:r>
      <w:r>
        <w:rPr>
          <w:color w:val="000000"/>
        </w:rPr>
        <w:t>). Where two sources reported opposite results for the same variant it was labelled DISCORDANT and excluded from both classes.</w:t>
      </w:r>
    </w:p>
    <w:p>
      <w:r>
        <w:rPr>
          <w:color w:val="000000"/>
        </w:rPr>
        <w:t xml:space="preserve">Each entry carries a short verbatim quote from its source. </w:t>
      </w:r>
      <w:r>
        <w:rPr>
          <w:rFonts w:ascii="Consolas" w:hAnsi="Consolas"/>
          <w:color w:val="000000"/>
        </w:rPr>
        <w:t>analysis/05_verify.py</w:t>
      </w:r>
      <w:r>
        <w:rPr>
          <w:color w:val="000000"/>
        </w:rPr>
        <w:t xml:space="preserve"> rejects any entry whose quote is not literally present in the stored source text, normalising only typography. Every HGVS description was validated against the MANE Select transcripts NM_001009944.3 (</w:t>
      </w:r>
      <w:r>
        <w:rPr>
          <w:i/>
          <w:color w:val="000000"/>
        </w:rPr>
        <w:t>PKD1</w:t>
      </w:r>
      <w:r>
        <w:rPr>
          <w:color w:val="000000"/>
        </w:rPr>
        <w:t>) and NM_000297.4 (</w:t>
      </w:r>
      <w:r>
        <w:rPr>
          <w:i/>
          <w:color w:val="000000"/>
        </w:rPr>
        <w:t>PKD2</w:t>
      </w:r>
      <w:r>
        <w:rPr>
          <w:color w:val="000000"/>
        </w:rPr>
        <w:t>) on GRCh38 by VariantValidator, which also supplied genomic coordinates; 124 of 124 entries passed both checks. Legacy IVS notation was converted mechanically from the RefSeq exon table. Variants published only as protein changes were converted by reading the codon from the reference coding sequence and accepting the result only when exactly one single-base substitution produced the stated amino-acid change (</w:t>
      </w:r>
      <w:r>
        <w:rPr>
          <w:rFonts w:ascii="Consolas" w:hAnsi="Consolas"/>
          <w:color w:val="000000"/>
        </w:rPr>
        <w:t>analysis/p_to_c.py</w:t>
      </w:r>
      <w:r>
        <w:rPr>
          <w:color w:val="000000"/>
        </w:rPr>
        <w:t>); all 17 such conversions were unique, and the method reproduced exactly the five variants for which the same papers also printed c. notation.</w:t>
      </w:r>
    </w:p>
    <w:p>
      <w:r>
        <w:rPr>
          <w:b/>
          <w:color w:val="000000"/>
          <w:sz w:val="24"/>
        </w:rPr>
        <w:t>Scoring</w:t>
      </w:r>
    </w:p>
    <w:p>
      <w:r>
        <w:rPr>
          <w:color w:val="000000"/>
        </w:rPr>
        <w:t xml:space="preserve">AlphaGenome Atlas AVI scores and the 18 AVI feature attributions were retrieved for every truth-set SNV and for every possible SNV across each locus (gene span plus 5 kb upstream: 156,573 SNVs for </w:t>
      </w:r>
      <w:r>
        <w:rPr>
          <w:i/>
          <w:color w:val="000000"/>
        </w:rPr>
        <w:t>PKD1</w:t>
      </w:r>
      <w:r>
        <w:rPr>
          <w:color w:val="000000"/>
        </w:rPr>
        <w:t xml:space="preserve">, 225,576 for </w:t>
      </w:r>
      <w:r>
        <w:rPr>
          <w:i/>
          <w:color w:val="000000"/>
        </w:rPr>
        <w:t>PKD2</w:t>
      </w:r>
      <w:r>
        <w:rPr>
          <w:color w:val="000000"/>
        </w:rPr>
        <w:t>). AlphaGenome on-demand predictions (splice sites, splice-site usage, splice junctions, RNA-seq; 1,048,576 bp context) were obtained for all variants including indels, summarised over all tracks and over 11 kidney tracks. SpliceAI 1.3.1 was run locally (distance 500, unmasked) against GRCh38; the installation reproduced published SpliceAI scores exactly for a reference variant, and agreed with a further 37 published scores in 29 of 37 cases to two decimal places. CADD v1.7 PHRED scores were read from the official whole-genome file.</w:t>
      </w:r>
    </w:p>
    <w:p>
      <w:r>
        <w:rPr>
          <w:b/>
          <w:color w:val="000000"/>
          <w:sz w:val="24"/>
        </w:rPr>
        <w:t>Statistics and pre-specification</w:t>
      </w:r>
    </w:p>
    <w:p>
      <w:r>
        <w:rPr>
          <w:color w:val="000000"/>
        </w:rPr>
        <w:t>The analysis plan (</w:t>
      </w:r>
      <w:r>
        <w:rPr>
          <w:rFonts w:ascii="Consolas" w:hAnsi="Consolas"/>
          <w:color w:val="000000"/>
        </w:rPr>
        <w:t>docs/ANALYSIS_PLAN.md</w:t>
      </w:r>
      <w:r>
        <w:rPr>
          <w:color w:val="000000"/>
        </w:rPr>
        <w:t>) was written and SHA-256 hash-stamped before scoring, with four dated amendments, each recording whether the scores it could affect already existed. The primary endpoint was the percentile rank of AVI within the variant's own locus. Discrimination is reported as the Mann-Whitney AUC with a stratified bootstrap 95% interval (2,000 resamples). Composite scores (AVI, CADD) are evaluated primarily on non-coding and synonymous variants, where a high score cannot arise from a protein consequence.</w:t>
      </w:r>
    </w:p>
    <w:p>
      <w:r>
        <w:rPr>
          <w:b/>
          <w:color w:val="000000"/>
          <w:sz w:val="28"/>
        </w:rPr>
        <w:t>Results</w:t>
      </w:r>
    </w:p>
    <w:p>
      <w:r>
        <w:rPr>
          <w:b/>
          <w:color w:val="000000"/>
          <w:sz w:val="24"/>
        </w:rPr>
        <w:t>The truth set</w:t>
      </w:r>
    </w:p>
    <w:p>
      <w:r>
        <w:rPr>
          <w:color w:val="000000"/>
        </w:rPr>
        <w:t>[Table 1: composition by gene, label, mechanism class, assay type and source.]</w:t>
      </w:r>
    </w:p>
    <w:p>
      <w:r>
        <w:rPr>
          <w:b/>
          <w:color w:val="000000"/>
          <w:sz w:val="24"/>
        </w:rPr>
        <w:t>Discrimination</w:t>
      </w:r>
    </w:p>
    <w:p>
      <w:r>
        <w:rPr>
          <w:color w:val="000000"/>
        </w:rPr>
        <w:t>[Figure 1.] AlphaGenome splice-site usage AUC 0.84 (0.77 to 0.92); SpliceAI 0.84 (0.76 to 0.91); AlphaGenome splice junctions 0.83 (0.75 to 0.91); splice sites 0.83 (0.74 to 0.90). Restricting AlphaGenome to kidney tracks changed nothing (0.84). On non-coding and synonymous variants, AVI reached 0.77 (0.64 to 0.89) and CADD 0.72 (0.58 to 0.84).</w:t>
      </w:r>
    </w:p>
    <w:p>
      <w:r>
        <w:rPr>
          <w:b/>
          <w:color w:val="000000"/>
          <w:sz w:val="24"/>
        </w:rPr>
        <w:t>False alarms</w:t>
      </w:r>
    </w:p>
    <w:p>
      <w:r>
        <w:rPr>
          <w:color w:val="000000"/>
        </w:rPr>
        <w:t xml:space="preserve">At SpliceAI 0.2, 41 of 51 positives were flagged and 16 of 68 negatives (24%); at 0.5, 35 of 51 and 7 of 68 (10%). PENDING: the same burden expressed across all 156,573 possible </w:t>
      </w:r>
      <w:r>
        <w:rPr>
          <w:i/>
          <w:color w:val="000000"/>
        </w:rPr>
        <w:t>PKD1</w:t>
      </w:r>
      <w:r>
        <w:rPr>
          <w:color w:val="000000"/>
        </w:rPr>
        <w:t xml:space="preserve"> variants, and the AVI threshold that matches it.</w:t>
      </w:r>
    </w:p>
    <w:p>
      <w:r>
        <w:rPr>
          <w:b/>
          <w:color w:val="000000"/>
          <w:sz w:val="24"/>
        </w:rPr>
        <w:t>Ranking within the locus</w:t>
      </w:r>
    </w:p>
    <w:p>
      <w:r>
        <w:rPr>
          <w:color w:val="000000"/>
        </w:rPr>
        <w:t xml:space="preserve">For 25 non-coding or synonymous </w:t>
      </w:r>
      <w:r>
        <w:rPr>
          <w:i/>
          <w:color w:val="000000"/>
        </w:rPr>
        <w:t>PKD1</w:t>
      </w:r>
      <w:r>
        <w:rPr>
          <w:color w:val="000000"/>
        </w:rPr>
        <w:t xml:space="preserve"> positives, AVI's median locus percentile was 94.2 (5 of 25 in the top 1%, none in the top 0.1%); CADD 88.2 (2 of 25). About 8,000 other possible </w:t>
      </w:r>
      <w:r>
        <w:rPr>
          <w:i/>
          <w:color w:val="000000"/>
        </w:rPr>
        <w:t>PKD1</w:t>
      </w:r>
      <w:r>
        <w:rPr>
          <w:color w:val="000000"/>
        </w:rPr>
        <w:t xml:space="preserve"> changes outrank a typical proven splice variant.</w:t>
      </w:r>
    </w:p>
    <w:p>
      <w:r>
        <w:rPr>
          <w:b/>
          <w:color w:val="000000"/>
          <w:sz w:val="24"/>
        </w:rPr>
        <w:t>What the models do not see</w:t>
      </w:r>
    </w:p>
    <w:p>
      <w:r>
        <w:rPr>
          <w:color w:val="000000"/>
        </w:rPr>
        <w:t xml:space="preserve">[Figure 2.] c.-69dupG (87% less translation), c.-87A&gt;T and c.-20A&gt;T (9% and 34% more translation), the six-base miR-17 seed edit, and rs3874648. AlphaGenome predicted a change in </w:t>
      </w:r>
      <w:r>
        <w:rPr>
          <w:i/>
          <w:color w:val="000000"/>
        </w:rPr>
        <w:t>PKD1</w:t>
      </w:r>
      <w:r>
        <w:rPr>
          <w:color w:val="000000"/>
        </w:rPr>
        <w:t xml:space="preserve"> RNA of 0.047 or less (log2) for all five.</w:t>
      </w:r>
    </w:p>
    <w:p>
      <w:r>
        <w:rPr>
          <w:b/>
          <w:color w:val="000000"/>
          <w:sz w:val="24"/>
        </w:rPr>
        <w:t>What drives AVI</w:t>
      </w:r>
    </w:p>
    <w:p>
      <w:r>
        <w:rPr>
          <w:color w:val="000000"/>
        </w:rPr>
        <w:t>[Figure 3.] For all 36 possible changes at the two drug-target sites, conservation was the largest contributor. Among coding positives, 8 of 15 were driven by protein damage and only 4 by splicing.</w:t>
      </w:r>
    </w:p>
    <w:p>
      <w:r>
        <w:rPr>
          <w:b/>
          <w:color w:val="000000"/>
          <w:sz w:val="24"/>
        </w:rPr>
        <w:t>Adversarial cases</w:t>
      </w:r>
    </w:p>
    <w:p>
      <w:r>
        <w:rPr>
          <w:color w:val="000000"/>
        </w:rPr>
        <w:t>The intron 16 pseudoexon allele was detected by AlphaGenome and SpliceAI when presented as a single two-base allele (splice-junction score 7.4 against 0.17 and 0.93 for its parts; SpliceAI 0.78 against 0.12 and 0.24), but CADD cannot score it, and conventional pipelines separate the two changes.</w:t>
      </w:r>
    </w:p>
    <w:p>
      <w:r>
        <w:rPr>
          <w:b/>
          <w:color w:val="000000"/>
          <w:sz w:val="28"/>
        </w:rPr>
        <w:t>Discussion</w:t>
      </w:r>
    </w:p>
    <w:p>
      <w:r>
        <w:rPr>
          <w:color w:val="000000"/>
        </w:rPr>
        <w:t>[To write. The argument:</w:t>
      </w:r>
    </w:p>
    <w:p>
      <w:pPr>
        <w:pStyle w:val="ListNumber"/>
      </w:pPr>
      <w:r>
        <w:rPr>
          <w:color w:val="000000"/>
        </w:rPr>
        <w:t>For the commonest testable class, the new model matches the old one. Laboratories gain little by switching, and AVI has no validated threshold.</w:t>
      </w:r>
    </w:p>
    <w:p>
      <w:pPr>
        <w:pStyle w:val="ListNumber"/>
      </w:pPr>
      <w:r>
        <w:rPr>
          <w:color w:val="000000"/>
        </w:rPr>
        <w:t>The false-alarm burden is the practical limit, not sensitivity.</w:t>
      </w:r>
    </w:p>
    <w:p>
      <w:pPr>
        <w:pStyle w:val="ListNumber"/>
      </w:pPr>
      <w:r>
        <w:rPr>
          <w:color w:val="000000"/>
        </w:rPr>
        <w:t>The blind spots are systematic, not incidental: anything acting after transcription is invisible, which includes both elements currently being drugged in ADPKD and the only proven common dosage modifier. For a disease whose severity varies with polycystin dose, that is the interesting class.</w:t>
      </w:r>
    </w:p>
    <w:p>
      <w:pPr>
        <w:pStyle w:val="ListNumber"/>
      </w:pPr>
      <w:r>
        <w:rPr>
          <w:color w:val="000000"/>
        </w:rPr>
        <w:t>AVI's high scores at conserved regulatory sites come from conservation, so the score can look informative where the model is not.</w:t>
      </w:r>
    </w:p>
    <w:p>
      <w:pPr>
        <w:pStyle w:val="ListNumber"/>
      </w:pPr>
      <w:r>
        <w:rPr>
          <w:color w:val="000000"/>
        </w:rPr>
        <w:t>The benchmark itself is assay-dependent: one variant has opposite results in two laboratories.</w:t>
      </w:r>
    </w:p>
    <w:p>
      <w:pPr>
        <w:pStyle w:val="ListNumber"/>
      </w:pPr>
      <w:r>
        <w:rPr>
          <w:color w:val="000000"/>
        </w:rPr>
        <w:t>Pipeline design matters as much as model choice, as the intron 16 case shows.]</w:t>
      </w:r>
    </w:p>
    <w:p>
      <w:r>
        <w:rPr>
          <w:b/>
          <w:color w:val="000000"/>
          <w:sz w:val="28"/>
        </w:rPr>
        <w:t>Limitations</w:t>
      </w:r>
    </w:p>
    <w:p>
      <w:r>
        <w:rPr>
          <w:color w:val="000000"/>
        </w:rPr>
        <w:t xml:space="preserve">Most positives were demonstrated in blood RNA or in minigenes in non-kidney cell lines. Published variants are enriched for those a predictor once found interesting, which favours all predictors and particularly the older tools used to choose what to test. Negatives are enriched for missense variants, which are valid negatives for splicing but not for composite scores. </w:t>
      </w:r>
      <w:r>
        <w:rPr>
          <w:i/>
          <w:color w:val="000000"/>
        </w:rPr>
        <w:t>PKD2</w:t>
      </w:r>
      <w:r>
        <w:rPr>
          <w:color w:val="000000"/>
        </w:rPr>
        <w:t xml:space="preserve"> lies on an AVI training chromosome, so its AVI results carry a leakage caveat and are secondary; </w:t>
      </w:r>
      <w:r>
        <w:rPr>
          <w:i/>
          <w:color w:val="000000"/>
        </w:rPr>
        <w:t>PKD1</w:t>
      </w:r>
      <w:r>
        <w:rPr>
          <w:color w:val="000000"/>
        </w:rPr>
        <w:t xml:space="preserve"> lies on chromosome 16, used for neither training nor validation. About 21 further tested variants from one supplementary table were not available.</w:t>
      </w:r>
    </w:p>
    <w:p>
      <w:r>
        <w:rPr>
          <w:b/>
          <w:color w:val="000000"/>
          <w:sz w:val="28"/>
        </w:rPr>
        <w:t>Data and code availability</w:t>
      </w:r>
    </w:p>
    <w:p>
      <w:r>
        <w:rPr>
          <w:color w:val="000000"/>
        </w:rPr>
        <w:t>Analysis code, the curated truth set with its quotes, the screening log and the pre-specified plan with its hash record are in the project repository. AlphaGenome predictions are redistributed under the AlphaGenome Output Terms of Use (non-commercial), as set out in the repository's LEGALLY_BINDING_TERMS_OF_USE.txt. Publisher full texts are not redistributed.</w:t>
      </w:r>
    </w:p>
    <w:p>
      <w:r>
        <w:rPr>
          <w:b/>
          <w:color w:val="000000"/>
          <w:sz w:val="28"/>
        </w:rPr>
        <w:t>Declarations</w:t>
      </w:r>
    </w:p>
    <w:p>
      <w:r>
        <w:rPr>
          <w:color w:val="000000"/>
        </w:rPr>
        <w:t>No funding. No institutional or commercial affiliation. The AlphaGenome API was accessed under a personal, individual, non-commercial account. Competing interests: [to complete].</w:t>
      </w:r>
    </w:p>
    <w:p>
      <w:r>
        <w:rPr>
          <w:b/>
          <w:color w:val="000000"/>
          <w:sz w:val="28"/>
        </w:rPr>
        <w:t>References</w:t>
      </w:r>
    </w:p>
    <w:p>
      <w:r>
        <w:rPr>
          <w:color w:val="000000"/>
        </w:rPr>
        <w:t xml:space="preserve">Generated mechanically from the stored PubMed records in </w:t>
      </w:r>
      <w:r>
        <w:rPr>
          <w:rFonts w:ascii="Consolas" w:hAnsi="Consolas"/>
          <w:color w:val="000000"/>
        </w:rPr>
        <w:t>publication/references_auto.md</w:t>
      </w:r>
      <w:r>
        <w:rPr>
          <w:color w:val="000000"/>
        </w:rPr>
        <w:t>; two entries need their author list completed by hand, and every entry should be checked against the journal before submission.</w:t>
      </w:r>
    </w:p>
    <w:p>
      <w:pPr>
        <w:pBdr>
          <w:bottom w:val="single" w:sz="6" w:space="1" w:color="999999"/>
        </w:pBdr>
      </w:pPr>
    </w:p>
    <w:p>
      <w:r>
        <w:rPr>
          <w:b/>
          <w:color w:val="000000"/>
          <w:sz w:val="28"/>
        </w:rPr>
        <w:t>Before submission</w:t>
      </w:r>
    </w:p>
    <w:p>
      <w:pPr>
        <w:pStyle w:val="ListNumber"/>
      </w:pPr>
      <w:r>
        <w:rPr>
          <w:color w:val="000000"/>
        </w:rPr>
        <w:t>Add the gene-wide SpliceAI results and Figure 4.</w:t>
      </w:r>
    </w:p>
    <w:p>
      <w:pPr>
        <w:pStyle w:val="ListNumber"/>
      </w:pPr>
      <w:r>
        <w:rPr>
          <w:color w:val="000000"/>
        </w:rPr>
        <w:t xml:space="preserve">Decide </w:t>
      </w:r>
      <w:r>
        <w:rPr>
          <w:i/>
          <w:color w:val="000000"/>
        </w:rPr>
        <w:t>PKD1</w:t>
      </w:r>
      <w:r>
        <w:rPr>
          <w:color w:val="000000"/>
        </w:rPr>
        <w:t xml:space="preserve"> only, or </w:t>
      </w:r>
      <w:r>
        <w:rPr>
          <w:i/>
          <w:color w:val="000000"/>
        </w:rPr>
        <w:t>PKD1</w:t>
      </w:r>
      <w:r>
        <w:rPr>
          <w:color w:val="000000"/>
        </w:rPr>
        <w:t xml:space="preserve"> and </w:t>
      </w:r>
      <w:r>
        <w:rPr>
          <w:i/>
          <w:color w:val="000000"/>
        </w:rPr>
        <w:t>PKD2</w:t>
      </w:r>
      <w:r>
        <w:rPr>
          <w:color w:val="000000"/>
        </w:rPr>
        <w:t>.</w:t>
      </w:r>
    </w:p>
    <w:p>
      <w:pPr>
        <w:pStyle w:val="ListNumber"/>
      </w:pPr>
      <w:r>
        <w:rPr>
          <w:color w:val="000000"/>
        </w:rPr>
        <w:t>Recover the remaining supplementary negatives if possible.</w:t>
      </w:r>
    </w:p>
    <w:p>
      <w:pPr>
        <w:pStyle w:val="ListNumber"/>
      </w:pPr>
      <w:r>
        <w:rPr>
          <w:color w:val="000000"/>
        </w:rPr>
        <w:t>Write Introduction and Discussion.</w:t>
      </w:r>
    </w:p>
    <w:p>
      <w:pPr>
        <w:pStyle w:val="ListNumber"/>
      </w:pPr>
      <w:r>
        <w:rPr>
          <w:color w:val="000000"/>
        </w:rPr>
        <w:t>Choose the journal and reformat. Candidates discussed: Clinical Kidney Journal, Kidney International Reports, European Journal of Human Genetics, a letter to AJKD.</w:t>
      </w:r>
    </w:p>
    <w:p>
      <w:pPr>
        <w:pStyle w:val="ListNumber"/>
      </w:pPr>
      <w:r>
        <w:rPr>
          <w:color w:val="000000"/>
        </w:rPr>
        <w:t>Check every reference against the journal record.</w:t>
      </w:r>
    </w:p>
    <w:p>
      <w:pPr>
        <w:pStyle w:val="ListNumber"/>
      </w:pPr>
      <w:r>
        <w:rPr>
          <w:color w:val="000000"/>
        </w:rPr>
        <w:t>Consider sending the discordant result (c.11257C&gt;T) to both original groups before publishing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