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6"/>
        </w:rPr>
        <w:t>References</w:t>
      </w:r>
    </w:p>
    <w:p>
      <w:r>
        <w:rPr>
          <w:color w:val="000000"/>
        </w:rPr>
        <w:t>Generated by analysis/16_references.py from NCBI E-utilities records on 19 September 2026. Vancouver style, formatted from the returned fields.</w:t>
      </w:r>
    </w:p>
    <w:p>
      <w:pPr>
        <w:pStyle w:val="ListNumber"/>
      </w:pPr>
      <w:r>
        <w:rPr>
          <w:color w:val="000000"/>
        </w:rPr>
        <w:t>Xu P, Huang S, Li J, Zou Y, Gao M, Kang R, et al. A novel splicing mutation in the PKD1 gene causes autosomal dominant polycystic kidney disease in a Chinese family: a case report. BMC Med Genet. 2018;19(1):198. doi:10.1186/s12881-018-0706-6. PMID: 30424739.</w:t>
      </w:r>
    </w:p>
    <w:p>
      <w:pPr>
        <w:pStyle w:val="ListNumber"/>
      </w:pPr>
      <w:r>
        <w:rPr>
          <w:color w:val="000000"/>
        </w:rPr>
        <w:t>Lakhia R, Song C, Biggers L, Zumwalt M, Alvarez J, Somasundaram A, et al. Disruption of a six-nucleotide miRNA motif improves PKD1 dosage and ameliorates polycystic kidney disease. bioRxiv. 2025. doi:10.1101/2025.10.22.683929. PMID: 41279527.</w:t>
      </w:r>
    </w:p>
    <w:p>
      <w:pPr>
        <w:pStyle w:val="ListNumber"/>
      </w:pPr>
      <w:r>
        <w:rPr>
          <w:color w:val="000000"/>
        </w:rPr>
        <w:t>Chen L, Gao X, Liu X, Zhu Y, Wang D. Translational regulation of PKD1 by evolutionarily conserved upstream open reading frames. RNA Biol. 2025;22(1):1-12. doi:10.1080/15476286.2024.2448387. PMID: 39757590.</w:t>
      </w:r>
    </w:p>
    <w:p>
      <w:pPr>
        <w:pStyle w:val="ListNumber"/>
      </w:pPr>
      <w:r>
        <w:rPr>
          <w:color w:val="000000"/>
        </w:rPr>
        <w:t>Wedd L, Hort Y, Patel C, Sayer JA, Rius R, Mallett AJ, et al. PKD1 5'UTR variants are a rare cause of disease in ADPKD and suggest a new focus for therapeutic development. Eur J Hum Genet. 2026;34(1):61-69. doi:10.1038/s41431-025-01949-z. PMID: 41006799.</w:t>
      </w:r>
    </w:p>
    <w:p>
      <w:pPr>
        <w:pStyle w:val="ListNumber"/>
      </w:pPr>
      <w:r>
        <w:rPr>
          <w:color w:val="000000"/>
        </w:rPr>
        <w:t>Zhang Z, Blumenfeld J, Ramnauth A, Barash I, Zhou P, Levine D, et al. A common intronic single nucleotide variant modifies PKD1 expression level. Clin Genet. 2022;102(6):483-493. doi:10.1111/cge.14214. PMID: 36029107.</w:t>
      </w:r>
    </w:p>
    <w:p>
      <w:pPr>
        <w:pStyle w:val="ListNumber"/>
      </w:pPr>
      <w:r>
        <w:rPr>
          <w:color w:val="000000"/>
        </w:rPr>
        <w:t>Pan Q, Liu Y, Sun X, Lu S, Li L, Shen J. Case Report: Functional validation of a PKD1 c.7489 + 5G&gt;A variant in an ADPKD family. Front Genet. 2026;17:1850997. doi:10.3389/fgene.2026.1850997. PMID: 42621998.</w:t>
      </w:r>
    </w:p>
    <w:p>
      <w:pPr>
        <w:pStyle w:val="ListNumber"/>
      </w:pPr>
      <w:r>
        <w:rPr>
          <w:color w:val="000000"/>
        </w:rPr>
        <w:t>Jaganathan K, Kyriazopoulou Panagiotopoulou S, McRae JF, Darbandi SF, Knowles D, Li YI, et al. Predicting Splicing from Primary Sequence with Deep Learning. Cell. 2019;176(3):535-548.e24. doi:10.1016/j.cell.2018.12.015. PMID: 30661751.</w:t>
      </w:r>
    </w:p>
    <w:p>
      <w:pPr>
        <w:pStyle w:val="ListNumber"/>
      </w:pPr>
      <w:r>
        <w:rPr>
          <w:color w:val="000000"/>
        </w:rPr>
        <w:t>Schubach M, Maass T, Nazaretyan L, Röner S, Kircher M. CADD v1.7: using protein language models, regulatory CNNs and other nucleotide-level scores to improve genome-wide variant predictions. Nucleic Acids Res. 2024;52(D1):D1143-D1154. doi:10.1093/nar/gkad989. PMID: 38183205.</w:t>
      </w:r>
    </w:p>
    <w:p>
      <w:pPr>
        <w:pStyle w:val="ListNumber"/>
      </w:pPr>
      <w:r>
        <w:rPr>
          <w:color w:val="000000"/>
        </w:rPr>
        <w:t>Avsec Ž, Latysheva N, Cheng J, Novati G, Taylor KR, Ward T, et al. Advancing regulatory variant effect prediction with AlphaGenome. Nature. 2026;649(8099):1206-1218. doi:10.1038/s41586-025-10014-0. PMID: 41606153.</w:t>
      </w:r>
    </w:p>
    <w:p>
      <w:pPr>
        <w:pStyle w:val="ListNumber"/>
      </w:pPr>
      <w:r>
        <w:rPr>
          <w:color w:val="000000"/>
        </w:rPr>
        <w:t>AlphaGenome Atlas team; Cheng J, Taylor KR, Nicolaisen L, et al. AlphaGenome Atlas: in silico mutagenesis of the entire human genome improves prioritization and interpretation of non-coding variants. Google DeepMind; 2026. Available from: https://deepmind.google/science/alphagenome/atlas</w:t>
      </w:r>
    </w:p>
    <w:p>
      <w:pPr>
        <w:pStyle w:val="ListNumber"/>
      </w:pPr>
      <w:r>
        <w:rPr>
          <w:color w:val="000000"/>
        </w:rPr>
        <w:t>Freeman PJ, Hart RK, Gretton LJ, Brookes AJ, Dalgleish R. VariantValidator: Accurate validation, mapping, and formatting of sequence variation descriptions. Hum Mutat. 2018;39(1):61-68. doi:10.1002/humu.23348. PMID: 28967166.</w:t>
      </w:r>
    </w:p>
    <w:p>
      <w:pPr>
        <w:pStyle w:val="ListNumber"/>
      </w:pPr>
      <w:r>
        <w:rPr>
          <w:color w:val="000000"/>
        </w:rPr>
        <w:t>Chen S, Francioli LC, Goodrich JK, Collins RL, Kanai M, Wang Q, et al. A genomic mutational constraint map using variation in 76,156 human genomes. Nature. 2024;625(7993):92-100. doi:10.1038/s41586-023-06045-0. PMID: 38057664.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