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telco-customer-churn-insights-summary"/>
    <w:p>
      <w:pPr>
        <w:pStyle w:val="Heading1"/>
      </w:pPr>
      <w:r>
        <w:t xml:space="preserve">Telco Customer Churn — Insights Summary</w:t>
      </w:r>
    </w:p>
    <w:p>
      <w:pPr>
        <w:pStyle w:val="FirstParagraph"/>
      </w:pPr>
      <w:r>
        <w:rPr>
          <w:bCs/>
          <w:b/>
        </w:rPr>
        <w:t xml:space="preserve">Dataset:</w:t>
      </w:r>
      <w:r>
        <w:t xml:space="preserve"> </w:t>
      </w:r>
      <w:r>
        <w:t xml:space="preserve">7,043 customers |</w:t>
      </w:r>
      <w:r>
        <w:t xml:space="preserve"> </w:t>
      </w:r>
      <w:r>
        <w:rPr>
          <w:bCs/>
          <w:b/>
        </w:rPr>
        <w:t xml:space="preserve">Overall churn rate:</w:t>
      </w:r>
      <w:r>
        <w:t xml:space="preserve"> </w:t>
      </w:r>
      <w:r>
        <w:t xml:space="preserve">26.5% |</w:t>
      </w:r>
      <w:r>
        <w:t xml:space="preserve"> </w:t>
      </w:r>
      <w:r>
        <w:rPr>
          <w:bCs/>
          <w:b/>
        </w:rPr>
        <w:t xml:space="preserve">Monthly revenue at risk:</w:t>
      </w:r>
      <w:r>
        <w:t xml:space="preserve"> </w:t>
      </w:r>
      <w:r>
        <w:t xml:space="preserve">$139.1K (30.5% of total)</w:t>
      </w:r>
    </w:p>
    <w:bookmarkStart w:id="20" w:name="the-business-question"/>
    <w:p>
      <w:pPr>
        <w:pStyle w:val="Heading2"/>
      </w:pPr>
      <w:r>
        <w:t xml:space="preserve">The Business Question</w:t>
      </w:r>
    </w:p>
    <w:p>
      <w:pPr>
        <w:pStyle w:val="FirstParagraph"/>
      </w:pPr>
      <w:r>
        <w:t xml:space="preserve">Why are customers leaving, and which segments should the business prioritize to reduce churn?</w:t>
      </w:r>
    </w:p>
    <w:bookmarkEnd w:id="20"/>
    <w:bookmarkStart w:id="21" w:name="key-findings"/>
    <w:p>
      <w:pPr>
        <w:pStyle w:val="Heading2"/>
      </w:pPr>
      <w:r>
        <w:t xml:space="preserve">Key Findings</w:t>
      </w:r>
    </w:p>
    <w:p>
      <w:pPr>
        <w:pStyle w:val="FirstParagraph"/>
      </w:pPr>
      <w:r>
        <w:rPr>
          <w:bCs/>
          <w:b/>
        </w:rPr>
        <w:t xml:space="preserve">1. Contract type is the single strongest predictor of churn.</w:t>
      </w:r>
      <w:r>
        <w:t xml:space="preserve"> </w:t>
      </w:r>
      <w:r>
        <w:t xml:space="preserve">Month-to-month customers churn at 42.7%, compared to 11.3% for one-year contracts and just 2.8% for two-year contracts — a 15x difference between the extremes. Customers with no long-term commitment have no friction preventing them from leaving.</w:t>
      </w:r>
    </w:p>
    <w:p>
      <w:pPr>
        <w:pStyle w:val="BodyText"/>
      </w:pPr>
      <w:r>
        <w:rPr>
          <w:bCs/>
          <w:b/>
        </w:rPr>
        <w:t xml:space="preserve">2. Payment method signals risk.</w:t>
      </w:r>
      <w:r>
        <w:t xml:space="preserve"> </w:t>
      </w:r>
      <w:r>
        <w:t xml:space="preserve">Customers paying by electronic check churn at 45.3%, nearly 3x the rate of customers on automatic bank transfer (16.7%) or credit card (15.2%). Automatic payment methods likely correlate with more</w:t>
      </w:r>
      <w:r>
        <w:t xml:space="preserve"> </w:t>
      </w:r>
      <w:r>
        <w:t xml:space="preserve">“</w:t>
      </w:r>
      <w:r>
        <w:t xml:space="preserve">set and forget</w:t>
      </w:r>
      <w:r>
        <w:t xml:space="preserve">”</w:t>
      </w:r>
      <w:r>
        <w:t xml:space="preserve"> </w:t>
      </w:r>
      <w:r>
        <w:t xml:space="preserve">customers who are less actively considering alternatives.</w:t>
      </w:r>
    </w:p>
    <w:p>
      <w:pPr>
        <w:pStyle w:val="BodyText"/>
      </w:pPr>
      <w:r>
        <w:rPr>
          <w:bCs/>
          <w:b/>
        </w:rPr>
        <w:t xml:space="preserve">3. New customers are the most vulnerable.</w:t>
      </w:r>
      <w:r>
        <w:t xml:space="preserve"> </w:t>
      </w:r>
      <w:r>
        <w:t xml:space="preserve">Churn is heavily concentrated in the first 10 months of tenure. Customers who make it past the first year are substantially more likely to stay long-term — the first few months are the critical retention window.</w:t>
      </w:r>
    </w:p>
    <w:p>
      <w:pPr>
        <w:pStyle w:val="BodyText"/>
      </w:pPr>
      <w:r>
        <w:rPr>
          <w:bCs/>
          <w:b/>
        </w:rPr>
        <w:t xml:space="preserve">4. Fiber optic customers churn the most, despite paying the most.</w:t>
      </w:r>
      <w:r>
        <w:t xml:space="preserve"> </w:t>
      </w:r>
      <w:r>
        <w:t xml:space="preserve">Fiber optic has the highest churn rate of any internet service tier, which is counterintuitive since it’s the premium offering. This suggests a pricing or service-quality issue specific to that product line worth investigating separately.</w:t>
      </w:r>
    </w:p>
    <w:p>
      <w:pPr>
        <w:pStyle w:val="BodyText"/>
      </w:pPr>
      <w:r>
        <w:rPr>
          <w:bCs/>
          <w:b/>
        </w:rPr>
        <w:t xml:space="preserve">5. Higher monthly charges correlate with higher churn.</w:t>
      </w:r>
      <w:r>
        <w:t xml:space="preserve"> </w:t>
      </w:r>
      <w:r>
        <w:t xml:space="preserve">Customers who churned had a higher median monthly bill than those who stayed, reinforcing that price sensitivity is a real factor, particularly combined with month-to-month flexibility.</w:t>
      </w:r>
    </w:p>
    <w:bookmarkEnd w:id="21"/>
    <w:bookmarkStart w:id="22" w:name="recommendations"/>
    <w:p>
      <w:pPr>
        <w:pStyle w:val="Heading2"/>
      </w:pPr>
      <w:r>
        <w:t xml:space="preserve">Recommendations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Incentivize longer contracts.</w:t>
      </w:r>
      <w:r>
        <w:t xml:space="preserve"> </w:t>
      </w:r>
      <w:r>
        <w:t xml:space="preserve">A modest discount for switching from month-to-month to a one-year contract could meaningfully reduce churn, given the 15x gap between contract types.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Encourage automatic payment methods.</w:t>
      </w:r>
      <w:r>
        <w:t xml:space="preserve"> </w:t>
      </w:r>
      <w:r>
        <w:t xml:space="preserve">Offering a small incentive to switch from electronic check to autopay could reduce churn risk in that segment.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Focus retention efforts in the first 90 days.</w:t>
      </w:r>
      <w:r>
        <w:t xml:space="preserve"> </w:t>
      </w:r>
      <w:r>
        <w:t xml:space="preserve">Since churn risk is highest early on, a proactive onboarding or check-in program for new customers would target the highest-risk window.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Investigate the Fiber optic experience.</w:t>
      </w:r>
      <w:r>
        <w:t xml:space="preserve"> </w:t>
      </w:r>
      <w:r>
        <w:t xml:space="preserve">Since it’s both the highest-priced and highest-churn service, a focused review of pricing, reliability, or customer satisfaction for this product is warranted.</w:t>
      </w:r>
    </w:p>
    <w:bookmarkEnd w:id="22"/>
    <w:bookmarkStart w:id="23" w:name="methodology"/>
    <w:p>
      <w:pPr>
        <w:pStyle w:val="Heading2"/>
      </w:pPr>
      <w:r>
        <w:t xml:space="preserve">Methodology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Data cleaning:</w:t>
      </w:r>
      <w:r>
        <w:t xml:space="preserve"> </w:t>
      </w:r>
      <w:r>
        <w:t xml:space="preserve">Python (pandas) — resolved blank</w:t>
      </w:r>
      <w:r>
        <w:t xml:space="preserve"> </w:t>
      </w:r>
      <w:r>
        <w:rPr>
          <w:rStyle w:val="VerbatimChar"/>
        </w:rPr>
        <w:t xml:space="preserve">TotalCharges</w:t>
      </w:r>
      <w:r>
        <w:t xml:space="preserve"> </w:t>
      </w:r>
      <w:r>
        <w:t xml:space="preserve">values (new customers with zero billing history), converted</w:t>
      </w:r>
      <w:r>
        <w:t xml:space="preserve"> </w:t>
      </w:r>
      <w:r>
        <w:rPr>
          <w:rStyle w:val="VerbatimChar"/>
        </w:rPr>
        <w:t xml:space="preserve">Churn</w:t>
      </w:r>
      <w:r>
        <w:t xml:space="preserve"> </w:t>
      </w:r>
      <w:r>
        <w:t xml:space="preserve">into a numeric flag for analysis.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Analysis:</w:t>
      </w:r>
      <w:r>
        <w:t xml:space="preserve"> </w:t>
      </w:r>
      <w:r>
        <w:t xml:space="preserve">SQL Server — aggregate churn rates by contract type, payment method, tenure bucket, and combinations thereof.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Visualization:</w:t>
      </w:r>
      <w:r>
        <w:t xml:space="preserve"> </w:t>
      </w:r>
      <w:r>
        <w:t xml:space="preserve">Power BI — interactive dashboard with KPI cards, segment breakdowns, and a dynamic narrative summary.</w:t>
      </w:r>
    </w:p>
    <w:p>
      <w:pPr>
        <w:pStyle w:val="FirstParagraph"/>
      </w:pPr>
      <w:r>
        <w:rPr>
          <w:iCs/>
          <w:i/>
        </w:rPr>
        <w:t xml:space="preserve">Full analysis notebook, SQL scripts, and dashboard file included in this repository.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2026-09-21T17:11:00Z</dcterms:created>
  <dcterms:modified xsi:type="dcterms:W3CDTF">2026-09-21T17:11:00Z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