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6280" w:rsidRDefault="00291583">
      <w:pPr>
        <w:spacing w:after="60"/>
      </w:pPr>
      <w:r>
        <w:rPr>
          <w:b/>
          <w:bCs/>
          <w:color w:val="712B13"/>
          <w:sz w:val="44"/>
          <w:szCs w:val="44"/>
        </w:rPr>
        <w:t>Customer Churn Analysis</w:t>
      </w:r>
    </w:p>
    <w:p w:rsidR="002B6280" w:rsidRDefault="00291583">
      <w:pPr>
        <w:spacing w:after="300"/>
      </w:pPr>
      <w:r>
        <w:rPr>
          <w:i/>
          <w:iCs/>
          <w:color w:val="595959"/>
          <w:sz w:val="24"/>
          <w:szCs w:val="24"/>
        </w:rPr>
        <w:t>Business Report — Telco Customer Data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7"/>
        <w:gridCol w:w="2457"/>
        <w:gridCol w:w="2458"/>
        <w:gridCol w:w="2458"/>
      </w:tblGrid>
      <w:tr w:rsidR="002B628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CEBEB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2B6280" w:rsidRDefault="00291583">
            <w:pPr>
              <w:jc w:val="center"/>
            </w:pPr>
            <w:r>
              <w:rPr>
                <w:b/>
                <w:bCs/>
                <w:color w:val="712B13"/>
                <w:sz w:val="30"/>
                <w:szCs w:val="30"/>
              </w:rPr>
              <w:t>7,043</w:t>
            </w:r>
          </w:p>
          <w:p w:rsidR="002B6280" w:rsidRDefault="00291583">
            <w:pPr>
              <w:jc w:val="center"/>
            </w:pPr>
            <w:r>
              <w:rPr>
                <w:color w:val="595959"/>
                <w:sz w:val="18"/>
                <w:szCs w:val="18"/>
              </w:rPr>
              <w:t>Customers analyzed</w:t>
            </w:r>
          </w:p>
        </w:tc>
        <w:tc>
          <w:tcPr>
            <w:tcW w:w="1250" w:type="pct"/>
            <w:shd w:val="clear" w:color="auto" w:fill="FCEBEB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2B6280" w:rsidRDefault="00291583">
            <w:pPr>
              <w:jc w:val="center"/>
            </w:pPr>
            <w:r>
              <w:rPr>
                <w:b/>
                <w:bCs/>
                <w:color w:val="712B13"/>
                <w:sz w:val="30"/>
                <w:szCs w:val="30"/>
              </w:rPr>
              <w:t>26.5%</w:t>
            </w:r>
          </w:p>
          <w:p w:rsidR="002B6280" w:rsidRDefault="00291583">
            <w:pPr>
              <w:jc w:val="center"/>
            </w:pPr>
            <w:r>
              <w:rPr>
                <w:color w:val="595959"/>
                <w:sz w:val="18"/>
                <w:szCs w:val="18"/>
              </w:rPr>
              <w:t>Churn rate</w:t>
            </w:r>
          </w:p>
        </w:tc>
        <w:tc>
          <w:tcPr>
            <w:tcW w:w="1250" w:type="pct"/>
            <w:shd w:val="clear" w:color="auto" w:fill="FCEBEB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2B6280" w:rsidRDefault="00291583">
            <w:pPr>
              <w:jc w:val="center"/>
            </w:pPr>
            <w:r>
              <w:rPr>
                <w:b/>
                <w:bCs/>
                <w:color w:val="712B13"/>
                <w:sz w:val="30"/>
                <w:szCs w:val="30"/>
              </w:rPr>
              <w:t>$139.1K</w:t>
            </w:r>
          </w:p>
          <w:p w:rsidR="002B6280" w:rsidRDefault="00291583">
            <w:pPr>
              <w:jc w:val="center"/>
            </w:pPr>
            <w:r>
              <w:rPr>
                <w:color w:val="595959"/>
                <w:sz w:val="18"/>
                <w:szCs w:val="18"/>
              </w:rPr>
              <w:t>Monthly revenue at risk</w:t>
            </w:r>
          </w:p>
        </w:tc>
        <w:tc>
          <w:tcPr>
            <w:tcW w:w="1250" w:type="pct"/>
            <w:shd w:val="clear" w:color="auto" w:fill="FCEBEB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2B6280" w:rsidRDefault="00291583">
            <w:pPr>
              <w:jc w:val="center"/>
            </w:pPr>
            <w:r>
              <w:rPr>
                <w:b/>
                <w:bCs/>
                <w:color w:val="712B13"/>
                <w:sz w:val="30"/>
                <w:szCs w:val="30"/>
              </w:rPr>
              <w:t>30.5%</w:t>
            </w:r>
          </w:p>
          <w:p w:rsidR="002B6280" w:rsidRDefault="00291583">
            <w:pPr>
              <w:jc w:val="center"/>
            </w:pPr>
            <w:r>
              <w:rPr>
                <w:color w:val="595959"/>
                <w:sz w:val="18"/>
                <w:szCs w:val="18"/>
              </w:rPr>
              <w:t>Share of revenue lost</w:t>
            </w:r>
          </w:p>
        </w:tc>
      </w:tr>
    </w:tbl>
    <w:p w:rsidR="002B6280" w:rsidRDefault="002B6280">
      <w:pPr>
        <w:spacing w:after="300"/>
      </w:pPr>
    </w:p>
    <w:p w:rsidR="002B6280" w:rsidRDefault="00291583">
      <w:pPr>
        <w:pStyle w:val="Heading1"/>
        <w:spacing w:before="300" w:after="150"/>
      </w:pPr>
      <w:r>
        <w:rPr>
          <w:b/>
          <w:bCs/>
          <w:color w:val="712B13"/>
        </w:rPr>
        <w:t>Executive Summary</w:t>
      </w:r>
    </w:p>
    <w:p w:rsidR="002B6280" w:rsidRDefault="00291583">
      <w:pPr>
        <w:spacing w:after="160"/>
      </w:pPr>
      <w:r>
        <w:rPr>
          <w:sz w:val="22"/>
          <w:szCs w:val="22"/>
        </w:rPr>
        <w:t xml:space="preserve">This report looks at why customers are leaving and where the business should focus to reduce it. The short answer: churn isn't random. It clusters heavily around a few specific, addressable factors — contract length, payment method, and how new a customer </w:t>
      </w:r>
      <w:r>
        <w:rPr>
          <w:sz w:val="22"/>
          <w:szCs w:val="22"/>
        </w:rPr>
        <w:t>is. Fixing even one of these could meaningfully cut the churn rate.</w:t>
      </w:r>
    </w:p>
    <w:p w:rsidR="002B6280" w:rsidRDefault="00291583">
      <w:pPr>
        <w:pStyle w:val="Heading1"/>
        <w:spacing w:before="300" w:after="150"/>
      </w:pPr>
      <w:r>
        <w:rPr>
          <w:b/>
          <w:bCs/>
          <w:color w:val="712B13"/>
        </w:rPr>
        <w:t>The Question</w:t>
      </w:r>
    </w:p>
    <w:p w:rsidR="002B6280" w:rsidRDefault="00291583">
      <w:pPr>
        <w:spacing w:after="160"/>
      </w:pPr>
      <w:r>
        <w:rPr>
          <w:sz w:val="22"/>
          <w:szCs w:val="22"/>
        </w:rPr>
        <w:t>Why are customers leaving, and which segments should be prioritized to reduce churn?</w:t>
      </w:r>
    </w:p>
    <w:p w:rsidR="002B6280" w:rsidRDefault="00291583">
      <w:pPr>
        <w:pStyle w:val="Heading1"/>
        <w:spacing w:before="300" w:after="150"/>
      </w:pPr>
      <w:r>
        <w:rPr>
          <w:b/>
          <w:bCs/>
          <w:color w:val="712B13"/>
        </w:rPr>
        <w:t>What the Data Shows</w:t>
      </w:r>
    </w:p>
    <w:p w:rsidR="002B6280" w:rsidRDefault="00291583"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sz w:val="22"/>
          <w:szCs w:val="22"/>
        </w:rPr>
        <w:t xml:space="preserve">Contract length is the biggest factor. </w:t>
      </w:r>
      <w:r>
        <w:rPr>
          <w:sz w:val="22"/>
          <w:szCs w:val="22"/>
        </w:rPr>
        <w:t>Month-to-month customers churn at 42.7%, versus 11.3% for one-year contracts and just 2.8% for two-year contracts. Customers with no commitment leave far more easily.</w:t>
      </w:r>
    </w:p>
    <w:p w:rsidR="002B6280" w:rsidRDefault="00291583"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sz w:val="22"/>
          <w:szCs w:val="22"/>
        </w:rPr>
        <w:t xml:space="preserve">Payment method matters more than expected. </w:t>
      </w:r>
      <w:r>
        <w:rPr>
          <w:sz w:val="22"/>
          <w:szCs w:val="22"/>
        </w:rPr>
        <w:t xml:space="preserve">Customers paying by electronic check churn at </w:t>
      </w:r>
      <w:r>
        <w:rPr>
          <w:sz w:val="22"/>
          <w:szCs w:val="22"/>
        </w:rPr>
        <w:t>45.3%, close to three times the rate of customers on autopay (bank transfer or credit card). Automatic payments seem to correlate with more settled, less price-sensitive customers.</w:t>
      </w:r>
    </w:p>
    <w:p w:rsidR="002B6280" w:rsidRDefault="00291583"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sz w:val="22"/>
          <w:szCs w:val="22"/>
        </w:rPr>
        <w:t xml:space="preserve">The first few months are the riskiest. </w:t>
      </w:r>
      <w:r>
        <w:rPr>
          <w:sz w:val="22"/>
          <w:szCs w:val="22"/>
        </w:rPr>
        <w:t>Churn is heavily weighted toward cus</w:t>
      </w:r>
      <w:r>
        <w:rPr>
          <w:sz w:val="22"/>
          <w:szCs w:val="22"/>
        </w:rPr>
        <w:t xml:space="preserve">tomers in their first 10 months. Customers who stick around past year one </w:t>
      </w:r>
      <w:proofErr w:type="gramStart"/>
      <w:r>
        <w:rPr>
          <w:sz w:val="22"/>
          <w:szCs w:val="22"/>
        </w:rPr>
        <w:t>are</w:t>
      </w:r>
      <w:proofErr w:type="gramEnd"/>
      <w:r>
        <w:rPr>
          <w:sz w:val="22"/>
          <w:szCs w:val="22"/>
        </w:rPr>
        <w:t xml:space="preserve"> meaningfully more likely to stay long-term.</w:t>
      </w:r>
    </w:p>
    <w:p w:rsidR="002B6280" w:rsidRDefault="00291583"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sz w:val="22"/>
          <w:szCs w:val="22"/>
        </w:rPr>
        <w:t xml:space="preserve">Fiber optic customers churn the most, despite paying the most. </w:t>
      </w:r>
      <w:r>
        <w:rPr>
          <w:sz w:val="22"/>
          <w:szCs w:val="22"/>
        </w:rPr>
        <w:t>This is the one counterintuitive finding — the premium service tier has</w:t>
      </w:r>
      <w:r>
        <w:rPr>
          <w:sz w:val="22"/>
          <w:szCs w:val="22"/>
        </w:rPr>
        <w:t xml:space="preserve"> the highest churn rate of any internet service offered, which points to a pricing or service quality problem specific to that product.</w:t>
      </w:r>
    </w:p>
    <w:p w:rsidR="002B6280" w:rsidRDefault="00291583"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sz w:val="22"/>
          <w:szCs w:val="22"/>
        </w:rPr>
        <w:t xml:space="preserve">Price sensitivity shows up clearly. </w:t>
      </w:r>
      <w:r>
        <w:rPr>
          <w:sz w:val="22"/>
          <w:szCs w:val="22"/>
        </w:rPr>
        <w:t>Customers who left were paying more per month, on average, than customers who stayed</w:t>
      </w:r>
      <w:r>
        <w:rPr>
          <w:sz w:val="22"/>
          <w:szCs w:val="22"/>
        </w:rPr>
        <w:t>.</w:t>
      </w:r>
    </w:p>
    <w:p w:rsidR="002B6280" w:rsidRDefault="00291583">
      <w:pPr>
        <w:pStyle w:val="Heading1"/>
        <w:spacing w:before="300" w:after="150"/>
      </w:pPr>
      <w:r>
        <w:rPr>
          <w:b/>
          <w:bCs/>
          <w:color w:val="712B13"/>
        </w:rPr>
        <w:t>Recommendations</w:t>
      </w:r>
    </w:p>
    <w:p w:rsidR="002B6280" w:rsidRDefault="00291583"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>Offer an incentive for month-to-month customers to move to a one-year contract — even a modest discount could meaningfully close the 15x churn gap between contract types.</w:t>
      </w:r>
    </w:p>
    <w:p w:rsidR="002B6280" w:rsidRDefault="00291583"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>Encourage a switch to automatic payment methods, since manual</w:t>
      </w:r>
      <w:r>
        <w:rPr>
          <w:sz w:val="22"/>
          <w:szCs w:val="22"/>
        </w:rPr>
        <w:t xml:space="preserve"> electronic check payments correlate with much higher churn.</w:t>
      </w:r>
    </w:p>
    <w:p w:rsidR="002B6280" w:rsidRDefault="00291583"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>Build a proactive outreach or onboarding program for the first 90 days, since that's where churn risk is concentrated.</w:t>
      </w:r>
    </w:p>
    <w:p w:rsidR="002B6280" w:rsidRPr="00291583" w:rsidRDefault="00291583"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>Investigate the Fiber optic experience specifically — pricing, reliabi</w:t>
      </w:r>
      <w:r>
        <w:rPr>
          <w:sz w:val="22"/>
          <w:szCs w:val="22"/>
        </w:rPr>
        <w:t>lity, or support quality — since it's both the most expensive and highest-churn product.</w:t>
      </w:r>
    </w:p>
    <w:p w:rsidR="00291583" w:rsidRDefault="00291583" w:rsidP="00291583">
      <w:pPr>
        <w:spacing w:after="120"/>
      </w:pPr>
    </w:p>
    <w:p w:rsidR="00291583" w:rsidRDefault="00291583" w:rsidP="00291583">
      <w:pPr>
        <w:spacing w:after="120"/>
      </w:pPr>
      <w:bookmarkStart w:id="0" w:name="_GoBack"/>
      <w:bookmarkEnd w:id="0"/>
    </w:p>
    <w:p w:rsidR="002B6280" w:rsidRDefault="00291583">
      <w:pPr>
        <w:pStyle w:val="Heading1"/>
        <w:spacing w:before="300" w:after="150"/>
      </w:pPr>
      <w:r>
        <w:rPr>
          <w:b/>
          <w:bCs/>
          <w:color w:val="712B13"/>
        </w:rPr>
        <w:lastRenderedPageBreak/>
        <w:t>H</w:t>
      </w:r>
      <w:r>
        <w:rPr>
          <w:b/>
          <w:bCs/>
          <w:color w:val="712B13"/>
        </w:rPr>
        <w:t>ow This Was Built</w:t>
      </w:r>
    </w:p>
    <w:p w:rsidR="002B6280" w:rsidRDefault="00291583">
      <w:pPr>
        <w:spacing w:after="160"/>
      </w:pPr>
      <w:r>
        <w:rPr>
          <w:sz w:val="22"/>
          <w:szCs w:val="22"/>
        </w:rPr>
        <w:t>Data was cleaned and explored in Python, aggregated and queried in SQL Server, and visualized in an interactive Power BI dashboard with live KPIs an</w:t>
      </w:r>
      <w:r>
        <w:rPr>
          <w:sz w:val="22"/>
          <w:szCs w:val="22"/>
        </w:rPr>
        <w:t>d segment breakdowns. Full technical detail, including the notebook, SQL scripts, and dashboard file, is available in the accompanying project repository.</w:t>
      </w:r>
    </w:p>
    <w:sectPr w:rsidR="002B6280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C0066E"/>
    <w:multiLevelType w:val="hybridMultilevel"/>
    <w:tmpl w:val="C382D490"/>
    <w:lvl w:ilvl="0" w:tplc="56880868">
      <w:start w:val="1"/>
      <w:numFmt w:val="bullet"/>
      <w:lvlText w:val="●"/>
      <w:lvlJc w:val="left"/>
      <w:pPr>
        <w:ind w:left="720" w:hanging="360"/>
      </w:pPr>
    </w:lvl>
    <w:lvl w:ilvl="1" w:tplc="FCDE659C">
      <w:start w:val="1"/>
      <w:numFmt w:val="bullet"/>
      <w:lvlText w:val="○"/>
      <w:lvlJc w:val="left"/>
      <w:pPr>
        <w:ind w:left="1440" w:hanging="360"/>
      </w:pPr>
    </w:lvl>
    <w:lvl w:ilvl="2" w:tplc="6CA68236">
      <w:start w:val="1"/>
      <w:numFmt w:val="bullet"/>
      <w:lvlText w:val="■"/>
      <w:lvlJc w:val="left"/>
      <w:pPr>
        <w:ind w:left="2160" w:hanging="360"/>
      </w:pPr>
    </w:lvl>
    <w:lvl w:ilvl="3" w:tplc="C81ECA38">
      <w:start w:val="1"/>
      <w:numFmt w:val="bullet"/>
      <w:lvlText w:val="●"/>
      <w:lvlJc w:val="left"/>
      <w:pPr>
        <w:ind w:left="2880" w:hanging="360"/>
      </w:pPr>
    </w:lvl>
    <w:lvl w:ilvl="4" w:tplc="718C8600">
      <w:start w:val="1"/>
      <w:numFmt w:val="bullet"/>
      <w:lvlText w:val="○"/>
      <w:lvlJc w:val="left"/>
      <w:pPr>
        <w:ind w:left="3600" w:hanging="360"/>
      </w:pPr>
    </w:lvl>
    <w:lvl w:ilvl="5" w:tplc="0E2E4E9C">
      <w:start w:val="1"/>
      <w:numFmt w:val="bullet"/>
      <w:lvlText w:val="■"/>
      <w:lvlJc w:val="left"/>
      <w:pPr>
        <w:ind w:left="4320" w:hanging="360"/>
      </w:pPr>
    </w:lvl>
    <w:lvl w:ilvl="6" w:tplc="38161B1C">
      <w:start w:val="1"/>
      <w:numFmt w:val="bullet"/>
      <w:lvlText w:val="●"/>
      <w:lvlJc w:val="left"/>
      <w:pPr>
        <w:ind w:left="5040" w:hanging="360"/>
      </w:pPr>
    </w:lvl>
    <w:lvl w:ilvl="7" w:tplc="61E27B1C">
      <w:start w:val="1"/>
      <w:numFmt w:val="bullet"/>
      <w:lvlText w:val="●"/>
      <w:lvlJc w:val="left"/>
      <w:pPr>
        <w:ind w:left="5760" w:hanging="360"/>
      </w:pPr>
    </w:lvl>
    <w:lvl w:ilvl="8" w:tplc="57D646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280"/>
    <w:rsid w:val="00291583"/>
    <w:rsid w:val="002B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B5FE7"/>
  <w15:docId w15:val="{F86AF66F-DB33-40BC-AE29-A8EBEF81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Puja Patil</cp:lastModifiedBy>
  <cp:revision>2</cp:revision>
  <dcterms:created xsi:type="dcterms:W3CDTF">2026-09-21T17:07:00Z</dcterms:created>
  <dcterms:modified xsi:type="dcterms:W3CDTF">2026-09-21T17:17:00Z</dcterms:modified>
</cp:coreProperties>
</file>