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  <w:r>
        <w:rPr>
          <w:rFonts w:eastAsia="Times New Roman" w:cs="Arial"/>
          <w:b/>
          <w:color w:val="000000"/>
          <w:sz w:val="36"/>
          <w:szCs w:val="36"/>
          <w:lang w:eastAsia="es-VE"/>
        </w:rPr>
      </w:r>
    </w:p>
    <w:p>
      <w:pPr>
        <w:pStyle w:val="807"/>
        <w:pBdr/>
        <w:spacing w:after="0"/>
        <w:ind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Estudio de 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factibilidad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</w:r>
    </w:p>
    <w:p>
      <w:pPr>
        <w:pStyle w:val="807"/>
        <w:pBdr/>
        <w:spacing w:after="0"/>
        <w:ind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</w:r>
      <w:r>
        <w:rPr>
          <w:rFonts w:ascii="Calibri" w:hAnsi="Calibri"/>
          <w:b/>
          <w:i/>
          <w:color w:val="00b050"/>
          <w:sz w:val="36"/>
          <w:szCs w:val="36"/>
        </w:rPr>
      </w:r>
    </w:p>
    <w:p>
      <w:pPr>
        <w:pStyle w:val="807"/>
        <w:pBdr/>
        <w:spacing w:after="0"/>
        <w:ind/>
        <w:jc w:val="right"/>
        <w:rPr>
          <w:rFonts w:cs="Arial"/>
          <w:b/>
          <w:i/>
          <w:color w:val="00b050"/>
          <w:sz w:val="36"/>
          <w:szCs w:val="36"/>
        </w:rPr>
      </w:pPr>
      <w:r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  <w:lang w:val="es-ES"/>
        </w:rPr>
        <w:t xml:space="preserve">Pativanna</w:t>
      </w:r>
      <w:r>
        <w:rPr>
          <w:rFonts w:cs="Arial"/>
          <w:b/>
          <w:i/>
          <w:color w:val="00b050"/>
          <w:sz w:val="36"/>
          <w:szCs w:val="36"/>
        </w:rPr>
      </w:r>
    </w:p>
    <w:p>
      <w:pPr>
        <w:pStyle w:val="807"/>
        <w:pBdr/>
        <w:spacing w:after="0"/>
        <w:ind/>
        <w:jc w:val="right"/>
        <w:rPr>
          <w:rFonts w:cs="Arial"/>
          <w:b/>
          <w:i/>
          <w:color w:val="365f91"/>
          <w:sz w:val="36"/>
          <w:szCs w:val="36"/>
        </w:rPr>
      </w:pPr>
      <w:r>
        <w:rPr>
          <w:rFonts w:cs="Arial"/>
          <w:b/>
          <w:i/>
          <w:sz w:val="36"/>
          <w:szCs w:val="36"/>
        </w:rPr>
        <w:t xml:space="preserve">Fecha:</w:t>
      </w:r>
      <w:r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365f91"/>
          <w:sz w:val="36"/>
          <w:szCs w:val="36"/>
          <w:lang w:val="es-ES"/>
        </w:rPr>
        <w:t xml:space="preserve">17/10/2025</w:t>
      </w:r>
      <w:r>
        <w:rPr>
          <w:rFonts w:cs="Arial"/>
          <w:b/>
          <w:i/>
          <w:color w:val="365f91"/>
          <w:sz w:val="36"/>
          <w:szCs w:val="36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rFonts w:eastAsia="Times New Roman" w:cs="Arial"/>
          <w:b/>
          <w:color w:val="365f91"/>
          <w:sz w:val="32"/>
          <w:szCs w:val="32"/>
          <w:lang w:eastAsia="es-VE"/>
        </w:rPr>
        <w:t xml:space="preserve">Tabla de contenido</w:t>
      </w:r>
      <w:r>
        <w:rPr>
          <w:rFonts w:eastAsia="Times New Roman" w:cs="Arial"/>
          <w:b/>
          <w:color w:val="365f91"/>
          <w:sz w:val="32"/>
          <w:szCs w:val="32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>
        <w:t xml:space="preserve">Historial de Versiones</w:t>
      </w:r>
      <w:r>
        <w:tab/>
      </w:r>
      <w:r>
        <w:fldChar w:fldCharType="begin"/>
      </w:r>
      <w:r>
        <w:instrText xml:space="preserve"> PAGEREF _Toc447627811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Información del Proyecto</w:t>
        <w:tab/>
      </w:r>
      <w:r>
        <w:fldChar w:fldCharType="begin"/>
      </w:r>
      <w:r>
        <w:instrText xml:space="preserve"> PAGEREF _Toc447627812 \h </w:instrText>
      </w:r>
      <w:r>
        <w:fldChar w:fldCharType="separate"/>
      </w:r>
      <w:r>
        <w:t xml:space="preserve">3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Resumen Ejecutivo</w:t>
        <w:tab/>
      </w:r>
      <w:r>
        <w:fldChar w:fldCharType="begin"/>
      </w:r>
      <w:r>
        <w:instrText xml:space="preserve"> PAGEREF _Toc447627813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rPr>
          <w:rFonts w:cs="Arial"/>
        </w:rPr>
        <w:t xml:space="preserve">Antecedentes del proyecto</w:t>
      </w:r>
      <w:r>
        <w:tab/>
      </w:r>
      <w:r>
        <w:fldChar w:fldCharType="begin"/>
      </w:r>
      <w:r>
        <w:instrText xml:space="preserve"> PAGEREF _Toc447627814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El proyecto y su contexto</w:t>
      </w:r>
      <w:r>
        <w:tab/>
      </w:r>
      <w:r>
        <w:fldChar w:fldCharType="begin"/>
      </w:r>
      <w:r>
        <w:instrText xml:space="preserve"> PAGEREF _Toc447627815 \h </w:instrText>
      </w:r>
      <w:r>
        <w:fldChar w:fldCharType="separate"/>
      </w:r>
      <w:r>
        <w:t xml:space="preserve">6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Alcance del estudio de factibilidad</w:t>
      </w:r>
      <w:r>
        <w:tab/>
      </w:r>
      <w:r>
        <w:fldChar w:fldCharType="begin"/>
      </w:r>
      <w:r>
        <w:instrText xml:space="preserve"> PAGEREF _Toc447627819 \h </w:instrText>
      </w:r>
      <w:r>
        <w:fldChar w:fldCharType="separate"/>
      </w:r>
      <w:r>
        <w:t xml:space="preserve">7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técnica</w:t>
      </w:r>
      <w:r>
        <w:tab/>
      </w:r>
      <w:r>
        <w:fldChar w:fldCharType="begin"/>
      </w:r>
      <w:r>
        <w:instrText xml:space="preserve"> PAGEREF _Toc447627820 \h </w:instrText>
      </w:r>
      <w:r>
        <w:fldChar w:fldCharType="separate"/>
      </w:r>
      <w:r>
        <w:t xml:space="preserve">8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económica</w:t>
      </w:r>
      <w:r>
        <w:tab/>
      </w:r>
      <w:r>
        <w:fldChar w:fldCharType="begin"/>
      </w:r>
      <w:r>
        <w:instrText xml:space="preserve"> PAGEREF _Toc447627821 \h </w:instrText>
      </w:r>
      <w:r>
        <w:fldChar w:fldCharType="separate"/>
      </w:r>
      <w:r>
        <w:t xml:space="preserve">9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legal</w:t>
      </w:r>
      <w:r>
        <w:tab/>
      </w:r>
      <w:r>
        <w:fldChar w:fldCharType="begin"/>
      </w:r>
      <w:r>
        <w:instrText xml:space="preserve"> PAGEREF _Toc447627822 \h </w:instrText>
      </w:r>
      <w:r>
        <w:fldChar w:fldCharType="separate"/>
      </w:r>
      <w:r>
        <w:t xml:space="preserve">10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de recursos</w:t>
      </w:r>
      <w:r>
        <w:tab/>
      </w:r>
      <w:r>
        <w:fldChar w:fldCharType="begin"/>
      </w:r>
      <w:r>
        <w:instrText xml:space="preserve"> PAGEREF _Toc447627823 \h </w:instrText>
      </w:r>
      <w:r>
        <w:fldChar w:fldCharType="separate"/>
      </w:r>
      <w:r>
        <w:t xml:space="preserve">11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de mercado</w:t>
      </w:r>
      <w:r>
        <w:tab/>
      </w:r>
      <w:r>
        <w:fldChar w:fldCharType="begin"/>
      </w:r>
      <w:r>
        <w:instrText xml:space="preserve"> PAGEREF _Toc447627824 \h </w:instrText>
      </w:r>
      <w:r>
        <w:fldChar w:fldCharType="separate"/>
      </w:r>
      <w:r>
        <w:t xml:space="preserve">12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operacional</w:t>
      </w:r>
      <w:r>
        <w:tab/>
      </w:r>
      <w:r>
        <w:fldChar w:fldCharType="begin"/>
      </w:r>
      <w:r>
        <w:instrText xml:space="preserve"> PAGEREF _Toc447627825 \h </w:instrText>
      </w:r>
      <w:r>
        <w:fldChar w:fldCharType="separate"/>
      </w:r>
      <w:r>
        <w:t xml:space="preserve">13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Factibilidad de tiempo</w:t>
      </w:r>
      <w:r>
        <w:tab/>
      </w:r>
      <w:r>
        <w:fldChar w:fldCharType="begin"/>
      </w:r>
      <w:r>
        <w:instrText xml:space="preserve"> PAGEREF _Toc447627826 \h </w:instrText>
      </w:r>
      <w:r>
        <w:fldChar w:fldCharType="separate"/>
      </w:r>
      <w:r>
        <w:t xml:space="preserve">14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41"/>
        <w:pBdr/>
        <w:spacing/>
        <w:ind/>
        <w:rPr>
          <w:rFonts w:ascii="Calibri" w:hAnsi="Calibri" w:eastAsia="Times New Roman"/>
          <w:sz w:val="22"/>
          <w:lang w:eastAsia="es-VE"/>
        </w:rPr>
      </w:pPr>
      <w:r>
        <w:t xml:space="preserve">Recomendaciones y aprobación</w:t>
      </w:r>
      <w:r>
        <w:tab/>
      </w:r>
      <w:r>
        <w:fldChar w:fldCharType="begin"/>
      </w:r>
      <w:r>
        <w:instrText xml:space="preserve"> PAGEREF _Toc447627827 \h </w:instrText>
      </w:r>
      <w:r>
        <w:fldChar w:fldCharType="separate"/>
      </w:r>
      <w:r>
        <w:t xml:space="preserve">15</w:t>
      </w:r>
      <w:r>
        <w:fldChar w:fldCharType="end"/>
      </w:r>
      <w:r>
        <w:rPr>
          <w:rFonts w:ascii="Calibri" w:hAnsi="Calibri" w:eastAsia="Times New Roman"/>
          <w:sz w:val="22"/>
          <w:lang w:eastAsia="es-VE"/>
        </w:rPr>
      </w:r>
      <w:r>
        <w:rPr>
          <w:rFonts w:ascii="Calibri" w:hAnsi="Calibri" w:eastAsia="Times New Roman"/>
          <w:sz w:val="22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7"/>
        <w:pBdr/>
        <w:spacing w:after="0"/>
        <w:ind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</w:r>
      <w:r>
        <w:rPr>
          <w:rFonts w:eastAsia="Times New Roman" w:cs="Arial"/>
          <w:b/>
          <w:color w:val="365f91"/>
          <w:szCs w:val="24"/>
          <w:lang w:eastAsia="es-VE"/>
        </w:rPr>
      </w:r>
    </w:p>
    <w:p>
      <w:pPr>
        <w:pStyle w:val="808"/>
        <w:pBdr/>
        <w:spacing w:line="276" w:lineRule="auto"/>
        <w:ind/>
        <w:rPr>
          <w:lang w:val="es-VE"/>
        </w:rPr>
      </w:pPr>
      <w:r/>
      <w:bookmarkStart w:id="0" w:name="_Toc447627811"/>
      <w:r>
        <w:rPr>
          <w:lang w:val="es-VE"/>
        </w:rPr>
        <w:t xml:space="preserve">Historial de Versiones</w:t>
      </w:r>
      <w:bookmarkEnd w:id="0"/>
      <w:r>
        <w:rPr>
          <w:lang w:val="es-VE"/>
        </w:rPr>
      </w:r>
      <w:r>
        <w:rPr>
          <w:lang w:val="es-VE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18"/>
        <w:gridCol w:w="1061"/>
        <w:gridCol w:w="1974"/>
        <w:gridCol w:w="2551"/>
        <w:gridCol w:w="2031"/>
      </w:tblGrid>
      <w:tr>
        <w:trPr/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Fecha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Versión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4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Autor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Organización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shd w:val="clear" w:color="auto" w:fill="d9d9d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3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Descripción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17/10/2025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0.1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4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Patricio Valdebenito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Duoc uc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3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Estudio de Factibilidad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</w:tbl>
    <w:p>
      <w:pPr>
        <w:pStyle w:val="808"/>
        <w:pBdr/>
        <w:spacing w:line="276" w:lineRule="auto"/>
        <w:ind/>
        <w:rPr/>
      </w:pPr>
      <w:r/>
      <w:bookmarkStart w:id="1" w:name="_Toc447627812"/>
      <w:r>
        <w:t xml:space="preserve">I</w:t>
      </w:r>
      <w:r>
        <w:t xml:space="preserve">nformación </w:t>
      </w:r>
      <w:r>
        <w:t xml:space="preserve">del Proyecto</w:t>
      </w:r>
      <w:bookmarkEnd w:id="1"/>
      <w:r/>
      <w:r/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261"/>
        <w:gridCol w:w="560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Empresa / Organización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TranService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Proyecto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Pativanna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Fecha de preparación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17/10/2025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Cliente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TranService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Patrocinador (Sponsor)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ES"/>
              </w:rPr>
              <w:t xml:space="preserve">Propio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1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Gerente / Líder de Proyecto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09" w:type="dxa"/>
            <w:vAlign w:val="top"/>
            <w:textDirection w:val="lrTb"/>
            <w:noWrap w:val="false"/>
          </w:tcPr>
          <w:p>
            <w:pPr>
              <w:pStyle w:val="807"/>
              <w:pBdr/>
              <w:spacing w:after="0"/>
              <w:ind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Sebastián Ignacio Núñez Llantén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r>
          </w:p>
        </w:tc>
      </w:tr>
    </w:tbl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7"/>
        <w:pBdr/>
        <w:spacing w:after="0"/>
        <w:ind/>
        <w:rPr/>
      </w:pPr>
      <w:r/>
      <w:r/>
    </w:p>
    <w:p>
      <w:pPr>
        <w:pStyle w:val="808"/>
        <w:pageBreakBefore w:val="true"/>
        <w:pBdr/>
        <w:spacing w:line="276" w:lineRule="auto"/>
        <w:ind/>
        <w:rPr>
          <w:rFonts w:ascii="Calibri" w:hAnsi="Calibri"/>
          <w:color w:val="222222"/>
          <w:sz w:val="22"/>
          <w:lang w:eastAsia="es-VE"/>
        </w:rPr>
      </w:pPr>
      <w:r/>
      <w:bookmarkStart w:id="2" w:name="_Toc447627813"/>
      <w:r>
        <w:t xml:space="preserve">Resumen Ejecutivo</w:t>
      </w:r>
      <w:bookmarkEnd w:id="2"/>
      <w:r>
        <w:rPr>
          <w:rFonts w:ascii="Calibri" w:hAnsi="Calibri"/>
          <w:color w:val="222222"/>
          <w:sz w:val="22"/>
          <w:lang w:eastAsia="es-VE"/>
        </w:rPr>
        <w:t xml:space="preserve"> </w:t>
      </w:r>
      <w:r>
        <w:rPr>
          <w:rFonts w:ascii="Calibri" w:hAnsi="Calibri"/>
          <w:color w:val="222222"/>
          <w:sz w:val="22"/>
          <w:lang w:eastAsia="es-VE"/>
        </w:rPr>
      </w:r>
      <w:r>
        <w:rPr>
          <w:rFonts w:ascii="Calibri" w:hAnsi="Calibri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14:ligatures w14:val="none"/>
        </w:rPr>
      </w:pPr>
      <w:r>
        <w:rPr>
          <w:sz w:val="22"/>
          <w:szCs w:val="20"/>
          <w:lang w:eastAsia="es-VE"/>
        </w:rPr>
        <w:t xml:space="preserve">Transervice ha cambiado su modelo de negocio en diversas ocasiones —compra/venta de vehículos, reparación y, actualmente, desarme y venta de piezas— manteniendo procesos manuales basados en papel, planillas y grupos de mensajería como “base de datos” fotogr</w:t>
      </w:r>
      <w:r>
        <w:rPr>
          <w:sz w:val="22"/>
          <w:szCs w:val="20"/>
          <w:lang w:eastAsia="es-VE"/>
        </w:rPr>
        <w:t xml:space="preserve">áfica. El crecimiento del inventario generó alta ocupación de bodega y baja rotación: de ~300 piezas por auto, solo ~20% se vende rápido; el 80% restante permanece sin publicar ni generar valor.</w:t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14:ligatures w14:val="none"/>
        </w:rPr>
      </w:pPr>
      <w:r>
        <w:rPr>
          <w:sz w:val="22"/>
          <w:szCs w:val="20"/>
          <w:lang w:eastAsia="es-VE"/>
        </w:rPr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14:ligatures w14:val="none"/>
        </w:rPr>
      </w:pPr>
      <w:r>
        <w:rPr>
          <w:sz w:val="22"/>
          <w:szCs w:val="20"/>
          <w:lang w:eastAsia="es-VE"/>
        </w:rPr>
        <w:t xml:space="preserve">El proyecto propone implementar un sistema informático de bajo costo, con catálogo centralizado en la nube, perfiles de usuario, flujo de ingreso de piezas en terreno, etiquetado/QR, búsqueda rápida en bodega, y publicación asistida hacia canales externos (</w:t>
      </w:r>
      <w:r>
        <w:rPr>
          <w:sz w:val="22"/>
          <w:szCs w:val="20"/>
          <w:lang w:eastAsia="es-VE"/>
        </w:rPr>
        <w:t xml:space="preserve">p. ej., exportaciones/plantillas y colas de contenido para redes/marketplaces). La solución prioriza usabilidad en condiciones difíciles (manos sucias, guantes, poco espacio), adopción gradual, y operación desde móviles.</w:t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14:ligatures w14:val="none"/>
        </w:rPr>
      </w:pPr>
      <w:r>
        <w:rPr>
          <w:sz w:val="22"/>
          <w:szCs w:val="20"/>
          <w:lang w:eastAsia="es-VE"/>
        </w:rPr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:lang w:eastAsia="es-VE"/>
          <w14:ligatures w14:val="none"/>
        </w:rPr>
      </w:pPr>
      <w:r>
        <w:rPr>
          <w:sz w:val="22"/>
          <w:szCs w:val="20"/>
          <w:lang w:eastAsia="es-VE"/>
        </w:rPr>
        <w:t xml:space="preserve">La factibilidad técnica es alta con tecnologías abiertas y componentes económicos; la factibilidad económica es favorable bajo un enfoque por fases (MVP en 6–10 semanas) y con costos operativos bajos; la factibilidad legal requiere respetar términos de plat</w:t>
      </w:r>
      <w:r>
        <w:rPr>
          <w:sz w:val="22"/>
          <w:szCs w:val="20"/>
          <w:lang w:eastAsia="es-VE"/>
        </w:rPr>
        <w:t xml:space="preserve">aformas y protección de datos; la factibilidad operacional depende de capacitación breve y roles claros. Se recomienda aprobar el proyecto con un MVP acotado y plan de escalamiento.</w:t>
      </w:r>
      <w:r>
        <w:rPr>
          <w:sz w:val="22"/>
          <w:szCs w:val="20"/>
          <w:lang w:eastAsia="es-VE"/>
        </w:rPr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 w:line="360" w:lineRule="auto"/>
        <w:ind/>
        <w:rPr>
          <w:sz w:val="22"/>
          <w:szCs w:val="20"/>
          <w:lang w:eastAsia="es-VE"/>
          <w14:ligatures w14:val="none"/>
        </w:rPr>
      </w:pPr>
      <w:r>
        <w:rPr>
          <w:sz w:val="22"/>
          <w:szCs w:val="20"/>
          <w:lang w:eastAsia="es-VE"/>
        </w:rPr>
      </w:r>
      <w:r>
        <w:rPr>
          <w:sz w:val="22"/>
          <w:szCs w:val="20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lang w:val="en-US" w:eastAsia="es-VE"/>
          <w14:ligatures w14:val="none"/>
        </w:rPr>
      </w:pPr>
      <w:r>
        <w:rPr>
          <w:lang w:val="en-US" w:eastAsia="es-VE"/>
        </w:rPr>
      </w:r>
      <w:r>
        <w:rPr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8"/>
        <w:pageBreakBefore w:val="true"/>
        <w:pBdr/>
        <w:spacing w:line="276" w:lineRule="auto"/>
        <w:ind/>
        <w:rPr>
          <w:rFonts w:cs="Arial"/>
          <w:lang w:val="es-VE"/>
        </w:rPr>
      </w:pPr>
      <w:r/>
      <w:bookmarkStart w:id="3" w:name="_Toc447627814"/>
      <w:r>
        <w:rPr>
          <w:rFonts w:cs="Arial"/>
          <w:lang w:val="es-VE"/>
        </w:rPr>
        <w:t xml:space="preserve">Antecedentes del proyecto</w:t>
      </w:r>
      <w:bookmarkEnd w:id="3"/>
      <w:r>
        <w:rPr>
          <w:rFonts w:cs="Arial"/>
          <w:lang w:val="es-VE"/>
        </w:rPr>
      </w:r>
      <w:r>
        <w:rPr>
          <w:rFonts w:cs="Arial"/>
          <w:lang w:val="es-VE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Evolución del negocio: de compra/venta → reparación → desarme y venta de repuestos.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 w:left="72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Procesos actuales: registro en papel, Excel y grupos de mensajería con fotos.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 w:left="72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Operación física: desarmaduría, almacén, ventas y administración co-localizados.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 w:left="72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Bodega: ordenada por categoría y peso; aumento sostenido de ocupación; sobrecarga en múltiples categorías.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 w:left="72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Rotación: por auto ingresan ~300 piezas; ~20% se vende rápido, 80% queda en bodega sin visibilidad externa.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 w:left="72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numPr>
          <w:ilvl w:val="0"/>
          <w:numId w:val="43"/>
        </w:numPr>
        <w:pBdr/>
        <w:shd w:val="clear" w:color="auto" w:fill="ffffff"/>
        <w:spacing w:after="0"/>
        <w:ind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Publicación externa: manual y lenta; alto volumen impide mantener catálogos al día.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Cs w:val="24"/>
          <w:lang w:eastAsia="es-VE"/>
        </w:rPr>
      </w:pPr>
      <w:r>
        <w:rPr>
          <w:rFonts w:eastAsia="Times New Roman" w:cs="Arial"/>
          <w:color w:val="000000"/>
          <w:szCs w:val="24"/>
          <w:lang w:eastAsia="es-VE"/>
        </w:rPr>
      </w:r>
      <w:r>
        <w:rPr>
          <w:rFonts w:eastAsia="Times New Roman" w:cs="Arial"/>
          <w:color w:val="000000"/>
          <w:szCs w:val="24"/>
          <w:lang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8"/>
        <w:pBdr/>
        <w:spacing w:line="276" w:lineRule="auto"/>
        <w:ind/>
        <w:rPr>
          <w:lang w:val="es-VE"/>
        </w:rPr>
      </w:pPr>
      <w:r/>
      <w:bookmarkStart w:id="4" w:name="_Toc447627815"/>
      <w:r>
        <w:rPr>
          <w:lang w:val="es-VE"/>
        </w:rPr>
        <w:t xml:space="preserve">El</w:t>
      </w:r>
      <w:r>
        <w:rPr>
          <w:lang w:val="es-VE"/>
        </w:rPr>
        <w:t xml:space="preserve"> proyecto y su contexto</w:t>
      </w:r>
      <w:bookmarkEnd w:id="4"/>
      <w:r>
        <w:rPr>
          <w:lang w:val="es-VE"/>
        </w:rPr>
      </w:r>
      <w:r>
        <w:rPr>
          <w:lang w:val="es-VE"/>
        </w:rPr>
      </w:r>
    </w:p>
    <w:p>
      <w:pPr>
        <w:pStyle w:val="809"/>
        <w:pBdr/>
        <w:spacing/>
        <w:ind/>
        <w:rPr/>
      </w:pPr>
      <w:r/>
      <w:bookmarkStart w:id="5" w:name="_Toc447619708"/>
      <w:r/>
      <w:bookmarkStart w:id="6" w:name="_Toc447627816"/>
      <w:r>
        <w:t xml:space="preserve">Descripción del proyecto</w:t>
      </w:r>
      <w:bookmarkEnd w:id="5"/>
      <w:r/>
      <w:bookmarkEnd w:id="6"/>
      <w:r/>
      <w:r/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Diseñar e implementar un sistema integral de gestión de repuestos que permita: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Ingresar piezas desde el desarme con la menor fricción posible (móvil primero, fotos rápidas, plantillas);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Identificar y ubicar piezas en bodega (etiquetas QR/códigos, estanterías/categorías);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Consultar disponibilidad en tiempo real (evitar ventas duplicadas);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Publicación asistida (generación de fichas, exportaciones y colas para redes/marketplaces);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Alertas y recordatorios (p. ej., piezas sin publicar, stock o espacio crítico);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sz w:val="22"/>
          <w:szCs w:val="20"/>
          <w14:ligatures w14:val="none"/>
        </w:rPr>
      </w:pPr>
      <w:r>
        <w:rPr>
          <w:sz w:val="22"/>
          <w:szCs w:val="20"/>
        </w:rPr>
        <w:t xml:space="preserve">Reportes de rotación, ocupación y ventas.</w:t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Style w:val="809"/>
        <w:pBdr/>
        <w:spacing/>
        <w:ind/>
        <w:rPr/>
      </w:pPr>
      <w:r/>
      <w:bookmarkStart w:id="7" w:name="_Toc447619709"/>
      <w:r/>
      <w:bookmarkStart w:id="8" w:name="_Toc447627817"/>
      <w:r>
        <w:t xml:space="preserve">Objetivos</w:t>
      </w:r>
      <w:bookmarkEnd w:id="7"/>
      <w:r/>
      <w:bookmarkEnd w:id="8"/>
      <w:r/>
      <w:r/>
    </w:p>
    <w:p>
      <w:pPr>
        <w:pStyle w:val="16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sz w:val="22"/>
          <w:szCs w:val="20"/>
        </w:rPr>
      </w:pPr>
      <w:r>
        <w:rPr>
          <w:sz w:val="22"/>
          <w:szCs w:val="20"/>
        </w:rPr>
        <w:t xml:space="preserve">O1. Reducir en ≥30% el tiempo de alta de piezas (meta post‑MVP).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sz w:val="22"/>
          <w:szCs w:val="20"/>
        </w:rPr>
      </w:pPr>
      <w:r>
        <w:rPr>
          <w:sz w:val="22"/>
          <w:szCs w:val="20"/>
        </w:rPr>
        <w:t xml:space="preserve">O2. Aumentar la visibilidad del 80% de piezas de baja rotación mediante publicación asistida.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sz w:val="22"/>
          <w:szCs w:val="20"/>
        </w:rPr>
      </w:pPr>
      <w:r>
        <w:rPr>
          <w:sz w:val="22"/>
          <w:szCs w:val="20"/>
        </w:rPr>
        <w:t xml:space="preserve">O3. Lograr disponibilidad en tiempo real del catálogo para vendedores.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sz w:val="22"/>
          <w:szCs w:val="20"/>
        </w:rPr>
      </w:pPr>
      <w:r>
        <w:rPr>
          <w:sz w:val="22"/>
          <w:szCs w:val="20"/>
        </w:rPr>
        <w:t xml:space="preserve">O4. Disminuir la ocupación crítica de categorías saturadas en ≥20% a 6 meses (mediante mayor salida/venta).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/>
        <w:rPr>
          <w:sz w:val="22"/>
          <w:szCs w:val="20"/>
        </w:rPr>
      </w:pPr>
      <w:r>
        <w:rPr>
          <w:sz w:val="22"/>
          <w:szCs w:val="20"/>
        </w:rPr>
        <w:t xml:space="preserve">O5. Estandarizar fichas de piezas (título, modelo, compatibilidades, estado, fotos) para consistencia.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 w:line="276" w:lineRule="auto"/>
        <w:ind w:left="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</w:r>
      <w:r>
        <w:rPr>
          <w:color w:val="00b050"/>
          <w:sz w:val="22"/>
          <w:szCs w:val="22"/>
        </w:rPr>
      </w:r>
    </w:p>
    <w:p>
      <w:pPr>
        <w:pStyle w:val="809"/>
        <w:pBdr/>
        <w:spacing/>
        <w:ind/>
        <w:rPr/>
      </w:pPr>
      <w:r/>
      <w:bookmarkStart w:id="9" w:name="_Toc447619710"/>
      <w:r/>
      <w:bookmarkStart w:id="10" w:name="_Toc447627818"/>
      <w:r>
        <w:t xml:space="preserve">Contexto del proyecto</w:t>
      </w:r>
      <w:bookmarkEnd w:id="9"/>
      <w:r/>
      <w:bookmarkEnd w:id="10"/>
      <w:r/>
      <w:r/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eastAsia="es-VE"/>
        </w:rPr>
      </w:pPr>
      <w:r>
        <w:rPr>
          <w:rFonts w:eastAsia="Times New Roman" w:cs="Arial"/>
          <w:color w:val="000000"/>
          <w:sz w:val="22"/>
          <w:lang w:eastAsia="es-VE"/>
        </w:rPr>
      </w:r>
      <w:r>
        <w:rPr>
          <w:rFonts w:eastAsia="Times New Roman" w:cs="Arial"/>
          <w:color w:val="000000"/>
          <w:sz w:val="22"/>
          <w:lang w:eastAsia="es-VE"/>
        </w:rPr>
      </w:r>
    </w:p>
    <w:p>
      <w:pPr>
        <w:pStyle w:val="16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Interesados internos: desarmadores, vendedores, administración/contabilidad y gerencia.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Interesados externos: clientes presenciales y online; plataformas de venta; proveedores de logística.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Condiciones de uso: manos sucias/guantes, poco espacio físico, conectividad variable.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Restricciones clave: presupuesto inicial muy bajo; alto volumen de piezas; curva de adopción.</w:t>
      </w:r>
      <w:r>
        <w:rPr>
          <w:sz w:val="22"/>
          <w:szCs w:val="20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17"/>
        <w:pBdr/>
        <w:spacing w:after="0"/>
        <w:ind w:left="0"/>
        <w:rPr>
          <w:rFonts w:eastAsia="Times New Roman" w:cs="Arial"/>
          <w:color w:val="000000"/>
          <w:sz w:val="22"/>
          <w:lang w:val="en-US" w:eastAsia="es-VE"/>
        </w:rPr>
      </w:pPr>
      <w:r>
        <w:rPr>
          <w:rFonts w:eastAsia="Times New Roman" w:cs="Arial"/>
          <w:color w:val="000000"/>
          <w:sz w:val="22"/>
          <w:lang w:val="en-US" w:eastAsia="es-VE"/>
        </w:rPr>
      </w:r>
      <w:r>
        <w:rPr>
          <w:rFonts w:eastAsia="Times New Roman" w:cs="Arial"/>
          <w:color w:val="000000"/>
          <w:sz w:val="22"/>
          <w:lang w:val="en-US" w:eastAsia="es-VE"/>
        </w:rPr>
      </w:r>
    </w:p>
    <w:p>
      <w:pPr>
        <w:pStyle w:val="808"/>
        <w:pageBreakBefore w:val="true"/>
        <w:pBdr/>
        <w:spacing w:line="276" w:lineRule="auto"/>
        <w:ind/>
        <w:rPr>
          <w:lang w:val="es-VE"/>
        </w:rPr>
      </w:pPr>
      <w:r/>
      <w:bookmarkStart w:id="11" w:name="_Toc447627819"/>
      <w:r>
        <w:rPr>
          <w:lang w:val="es-VE"/>
        </w:rPr>
        <w:t xml:space="preserve">Alcance del estudio de factibilidad</w:t>
      </w:r>
      <w:bookmarkEnd w:id="11"/>
      <w:r>
        <w:rPr>
          <w:lang w:val="es-VE"/>
        </w:rPr>
      </w:r>
      <w:r>
        <w:rPr>
          <w:lang w:val="es-V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Resultados esperados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Determinar viabilidad técnica, económica, legal, de recursos, de mercado, operacional y de tiempo.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Definir un MVP de bajo costo con un plan de adopción gradual y escalabilidad.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Macro‑actividades del estudio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Levantamiento de procesos actuales y pain points.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Diseño de arquitectura objetivo y opciones de bajo costo.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Estimación de costos/beneficios y riesgos.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Plan de implementación por fases y consideraciones de cambio.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Gobernanza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Patrocinio de Gerencia; validación con Vendedores y Desarmadores; revisiones quincenales.</w:t>
      </w:r>
      <w:r>
        <w:rPr>
          <w:sz w:val="22"/>
          <w:szCs w:val="20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</w:r>
      <w:r>
        <w:rPr>
          <w:sz w:val="28"/>
          <w:szCs w:val="44"/>
          <w:lang w:val="en-US"/>
        </w:rPr>
      </w:r>
    </w:p>
    <w:p>
      <w:pPr>
        <w:pStyle w:val="808"/>
        <w:pBdr/>
        <w:spacing w:line="276" w:lineRule="auto"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808"/>
        <w:pageBreakBefore w:val="true"/>
        <w:pBdr/>
        <w:spacing w:line="276" w:lineRule="auto"/>
        <w:ind/>
        <w:rPr>
          <w:lang w:val="es-VE"/>
        </w:rPr>
      </w:pPr>
      <w:r/>
      <w:bookmarkStart w:id="12" w:name="_Toc447627820"/>
      <w:r>
        <w:rPr>
          <w:lang w:val="es-VE"/>
        </w:rPr>
        <w:t xml:space="preserve">Factibilidad técnica</w:t>
      </w:r>
      <w:bookmarkEnd w:id="12"/>
      <w:r>
        <w:rPr>
          <w:lang w:val="es-VE"/>
        </w:rPr>
      </w:r>
      <w:r>
        <w:rPr>
          <w:lang w:val="es-V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Arquitectura propuesta (enfoque simple y económico):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Aplicación web móvil‑first (PWA) con autenticación y perfiles (desarmador, vendedor, admin).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Backend: stack abierto (p. ej., Python + framework web, REST/JSON).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Base de datos relacional (p. ej., PostgreSQL) con modelos de: vehículos, piezas, compatibilidades, ubicación física (estanterías/categorías), estado y medios.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Almacenamiento de imágenes económico (p. ej., S3‑compatible/objeto) con compresión/miniaturas automáticas.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Etiquetado: generación/impr. de QR/códigos por pieza y por estantería.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Búsqueda: por texto, categoría, vehículo, compatibilidad y ubicación.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Sincronización: cambios visibles casi en tiempo real para evitar dobles ventas.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Publicación asistida: exportaciones CSV/plantillas + cola de publicaciones (workflow interno); posibilidad de “copiar/pegar” fichas normalizadas para plataformas que no permiten automatización directa.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Notificaciones: recordatorios por email/mensajería para piezas sin fotos, sin publicar o con baja rotación.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Seguridad: control de acceso por rol, bitácoras de cambios, copias de seguridad automatizadas.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Adecuación al contexto de uso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Interfaz grande y táctil para uso con guantes; captura fotográfica rápida; plantillas por tipo de pieza.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Funcionamiento offline‑tolerante (PWA con reintentos) para conectividad inestable.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Conclusión técnica: Alta factibilidad con tecnología probada y de bajo costo.</w:t>
      </w:r>
      <w:r>
        <w:rPr>
          <w:sz w:val="22"/>
          <w:szCs w:val="20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sz w:val="22"/>
          <w:szCs w:val="20"/>
        </w:rPr>
      </w:r>
    </w:p>
    <w:p>
      <w:pPr>
        <w:pStyle w:val="808"/>
        <w:pageBreakBefore w:val="true"/>
        <w:pBdr/>
        <w:spacing w:after="0" w:afterAutospacing="0" w:before="0" w:beforeAutospacing="0" w:line="276" w:lineRule="auto"/>
        <w:ind/>
        <w:rPr>
          <w:rFonts w:ascii="Calibri" w:hAnsi="Calibri"/>
          <w:color w:val="222222"/>
          <w:sz w:val="22"/>
          <w:lang w:eastAsia="es-VE"/>
        </w:rPr>
      </w:pPr>
      <w:r/>
      <w:bookmarkStart w:id="13" w:name="_Toc447627821"/>
      <w:r>
        <w:rPr>
          <w:lang w:val="es-VE"/>
        </w:rPr>
        <w:t xml:space="preserve">Factibilidad económica</w:t>
      </w:r>
      <w:bookmarkEnd w:id="13"/>
      <w:r>
        <w:rPr>
          <w:rFonts w:ascii="Calibri" w:hAnsi="Calibri"/>
          <w:color w:val="222222"/>
          <w:sz w:val="22"/>
          <w:lang w:eastAsia="es-VE"/>
        </w:rPr>
        <w:t xml:space="preserve"> </w:t>
      </w:r>
      <w:r>
        <w:rPr>
          <w:rFonts w:ascii="Calibri" w:hAnsi="Calibri"/>
          <w:color w:val="222222"/>
          <w:sz w:val="22"/>
          <w:lang w:eastAsia="es-VE"/>
        </w:rPr>
      </w:r>
      <w:r>
        <w:rPr>
          <w:rFonts w:ascii="Calibri" w:hAnsi="Calibri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eastAsia="Times New Roman" w:cs="Arial"/>
          <w:color w:val="000000"/>
          <w:sz w:val="22"/>
          <w:lang w:eastAsia="es-VE"/>
        </w:rPr>
      </w:pPr>
      <w:r>
        <w:rPr>
          <w:rFonts w:eastAsia="Times New Roman" w:cs="Arial"/>
          <w:color w:val="000000"/>
          <w:sz w:val="22"/>
          <w:lang w:eastAsia="es-VE"/>
        </w:rPr>
      </w:r>
      <w:r>
        <w:rPr>
          <w:rFonts w:eastAsia="Times New Roman" w:cs="Arial"/>
          <w:color w:val="000000"/>
          <w:sz w:val="22"/>
          <w:lang w:eastAsia="es-V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Supuestos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Volumen: ~1 auto/mes → ~300 piezas/mes.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Actualmente se publica manualmente una fracción; el 80% queda sin visibilidad.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MVP con stack abierto, infraestructura mínima (1 instancia pequeña en la nube u on‑premise).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Costos estimados (rango, CLP, valores referenciales):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Infraestructura inicial (servidor/VM, almacenamiento): $0–25.000/mes.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Dominio/SSL/backup: $0–10.000/mes.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Impresora térmica + rollos + lector código (único): $80.000–250.000.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1–2 dispositivos móviles económicos (único, si se requieren): $100.000–300.000 c/u.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Capacitación inicial (interna): bajo.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Beneficios esperados (cualitativos):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Aumento de piezas visibles/publicadas y de la tasa de rotación.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Menos tiempo para ubicar piezas y menos errores de disponibilidad.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Mejor uso del espacio por salida de stock lento y orden de bodega.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Análisis preliminar: Bajo CAPEX/OPEX; el payback es probable al incrementar modestamente la venta de piezas hoy no visibles.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7"/>
        <w:pBdr/>
        <w:shd w:val="clear" w:color="auto" w:fill="ffffff"/>
        <w:spacing w:after="0"/>
        <w:ind/>
        <w:rPr>
          <w:rFonts w:ascii="Calibri" w:hAnsi="Calibri" w:eastAsia="Times New Roman"/>
          <w:color w:val="222222"/>
          <w:sz w:val="22"/>
          <w:lang w:eastAsia="es-VE"/>
        </w:rPr>
      </w:pPr>
      <w:r>
        <w:rPr>
          <w:rFonts w:ascii="Calibri" w:hAnsi="Calibri" w:eastAsia="Times New Roman"/>
          <w:color w:val="222222"/>
          <w:sz w:val="22"/>
          <w:lang w:eastAsia="es-VE"/>
        </w:rPr>
      </w:r>
      <w:r>
        <w:rPr>
          <w:rFonts w:ascii="Calibri" w:hAnsi="Calibri" w:eastAsia="Times New Roman"/>
          <w:color w:val="222222"/>
          <w:sz w:val="22"/>
          <w:lang w:eastAsia="es-VE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/>
      <w:bookmarkStart w:id="14" w:name="_Toc447627822"/>
      <w:r>
        <w:rPr>
          <w:lang w:val="es-VE"/>
        </w:rPr>
        <w:t xml:space="preserve">Factibilidad legal</w:t>
      </w:r>
      <w:bookmarkEnd w:id="14"/>
      <w:r>
        <w:rPr>
          <w:lang w:val="es-VE"/>
        </w:rPr>
      </w:r>
      <w:r>
        <w:rPr>
          <w:lang w:val="es-VE"/>
        </w:rPr>
      </w:r>
    </w:p>
    <w:p>
      <w:pPr>
        <w:pStyle w:val="16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Protección de datos de clientes y usuarios; políticas de tratamiento y consentimiento.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Derechos sobre imágenes del catálogo (tomadas por la empresa).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Términos de uso de plataformas externas (redes/marketplaces): evitar automatizaciones prohibidas; preferir flujos asistidos/manuales conformes.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Documentación comercial y trazabilidad acorde a normativa vigente (boletas/facturas, etc.).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Conclusión: Viable con lineamientos simples de cumplimiento y capacitación básica.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 w:val="22"/>
          <w:szCs w:val="22"/>
          <w:lang w:val="en-US"/>
        </w:rPr>
      </w:pPr>
      <w:r>
        <w:rPr>
          <w:color w:val="00b050"/>
          <w:sz w:val="22"/>
          <w:szCs w:val="22"/>
          <w:lang w:val="en-US"/>
        </w:rPr>
      </w:r>
      <w:r>
        <w:rPr>
          <w:color w:val="00b050"/>
          <w:sz w:val="22"/>
          <w:szCs w:val="22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 w:val="22"/>
          <w:szCs w:val="22"/>
          <w:lang w:val="en-US"/>
        </w:rPr>
      </w:pPr>
      <w:r>
        <w:rPr>
          <w:color w:val="00b050"/>
          <w:sz w:val="22"/>
          <w:szCs w:val="22"/>
          <w:lang w:val="en-US"/>
        </w:rPr>
      </w:r>
      <w:r>
        <w:rPr>
          <w:color w:val="00b050"/>
          <w:sz w:val="22"/>
          <w:szCs w:val="22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/>
      <w:bookmarkStart w:id="15" w:name="_Toc447627823"/>
      <w:r>
        <w:rPr>
          <w:lang w:val="es-VE"/>
        </w:rPr>
        <w:t xml:space="preserve">Factibilidad de recursos</w:t>
      </w:r>
      <w:bookmarkEnd w:id="15"/>
      <w:r>
        <w:rPr>
          <w:lang w:val="es-VE"/>
        </w:rPr>
      </w:r>
      <w:r>
        <w:rPr>
          <w:lang w:val="es-V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Recursos humanos (fase MVP):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1 responsable técnico (desarrollo/infraestructura).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1 referente de bodega (flujo de ingreso/ubicación y pruebas).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1 referente de ventas (publicación y criterios comerciales).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Infraestructura y materiales: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1 servidor/VM pequeña; almacenamiento de objetos para fotos; respaldo automatizado.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Impresora térmica de etiquetas; lector de códigos; estanterías con señalética.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Procedimientos: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Definir plantillas de alta y nomenclatura (títulos/fotos).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Estándar de ubicación física (estante/fila/bandeja).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Conclusión: Requiere dotación mínima y reutiliza infraestructura básica.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 w:val="22"/>
          <w:szCs w:val="22"/>
          <w:lang w:val="en-US"/>
        </w:rPr>
      </w:pPr>
      <w:r>
        <w:rPr>
          <w:color w:val="00b050"/>
          <w:sz w:val="22"/>
          <w:szCs w:val="22"/>
          <w:lang w:val="en-US"/>
        </w:rPr>
      </w:r>
      <w:r>
        <w:rPr>
          <w:color w:val="00b050"/>
          <w:sz w:val="22"/>
          <w:szCs w:val="22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>
        <w:rPr>
          <w:lang w:val="es-VE"/>
        </w:rPr>
        <w:t xml:space="preserve">Factibilidad de mercado</w:t>
      </w:r>
      <w:r>
        <w:rPr>
          <w:lang w:val="es-VE"/>
        </w:rPr>
      </w:r>
      <w:r>
        <w:rPr>
          <w:lang w:val="es-VE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1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Segmento objetivo: compradores de repuestos usados compatibles por modelo/año.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Competencia: otras desarmadurías/catálogos online.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Distribución: venta presencial + plataformas (según políticas vigentes).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Propuesta de valor: respuesta rápida, catálogo organizado, fotos claras, compatibilidades precisas y disponibilidad real‑time.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Estrategia inicial: priorizar publicación de stock lento y piezas de alto valor/consulta; plantillas de publicación consistentes; métricas simples de conversión.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>
        <w:rPr>
          <w:lang w:val="es-VE"/>
        </w:rPr>
        <w:t xml:space="preserve">Factibilidad operacional</w:t>
      </w:r>
      <w:r>
        <w:rPr>
          <w:lang w:val="es-VE"/>
        </w:rPr>
      </w:r>
      <w:r>
        <w:rPr>
          <w:lang w:val="es-VE"/>
        </w:rPr>
      </w:r>
    </w:p>
    <w:p>
      <w:pPr>
        <w:pStyle w:val="1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Ajuste a objetivos: ordenar bodega, aumentar visibilidad y rotación con bajo costo.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Requerimientos cubiertos: ingreso ágil, consulta instantánea, publicación asistida, alertas, reporteo.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KPIs sugeridos: tiempo de alta por pieza; % piezas con fotos; % stock publicado; rotación por categoría; tiempo de localización en bodega.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Desafíos (del contexto) y mitigaciones: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Ingreso en terreno con manos sucias/guantes y espacio reducido → UI táctil grande, flujos con mínimos campos obligatorios, plantillas por tipo de pieza, carga de fotos rápida, PWA offline‑tolerante.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Mucho volumen a ingresar → priorización por categorías de baja rotación/alto valor; carga por lotes; códigos QR por bandeja para marcados masivos.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Bajo presupuesto → stack abierto, infraestructura mínima, enfoque MVP; diferir integraciones costosas.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Adopción (equipo actual y nuevos) → capacitación breve, manual visual y guía en la app; roles claros.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Consistencia de datos → validaciones y estados; bloqueo de piezas vendidas; bitácora de cambios.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Conclusión: Operacionalmente viable con entrenamiento corto y mejoras iterativas.</w:t>
      </w:r>
      <w:r>
        <w:rPr>
          <w:sz w:val="22"/>
          <w:szCs w:val="20"/>
        </w:rPr>
      </w:r>
    </w:p>
    <w:p>
      <w:pPr>
        <w:pStyle w:val="808"/>
        <w:pBdr/>
        <w:spacing/>
        <w:ind/>
        <w:rPr>
          <w:sz w:val="28"/>
          <w:szCs w:val="44"/>
          <w:lang w:val="es-VE"/>
        </w:rPr>
      </w:pPr>
      <w:r>
        <w:rPr>
          <w:sz w:val="28"/>
          <w:szCs w:val="44"/>
          <w:lang w:val="es-VE"/>
        </w:rPr>
      </w:r>
      <w:r>
        <w:rPr>
          <w:sz w:val="28"/>
          <w:szCs w:val="44"/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Bdr/>
        <w:spacing/>
        <w:ind/>
        <w:rPr>
          <w:lang w:val="es-VE"/>
        </w:rPr>
      </w:pPr>
      <w:r>
        <w:rPr>
          <w:lang w:val="es-VE"/>
        </w:rPr>
      </w:r>
      <w:r>
        <w:rPr>
          <w:lang w:val="es-VE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>
        <w:rPr>
          <w:lang w:val="es-VE"/>
        </w:rPr>
        <w:t xml:space="preserve">Factibilidad </w:t>
      </w:r>
      <w:r>
        <w:rPr>
          <w:lang w:val="es-VE"/>
        </w:rPr>
        <w:t xml:space="preserve">de tiempo</w:t>
      </w:r>
      <w:r>
        <w:rPr>
          <w:lang w:val="es-VE"/>
        </w:rPr>
      </w:r>
      <w:r>
        <w:rPr>
          <w:lang w:val="es-V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Propuesta de hitos (MVP ~6–10 semanas):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S0–S1: Levantamiento y diseño funcional (1–2 semanas).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S2–S4: Desarrollo base (modelos, altas, búsqueda, fotos, etiquetas) (3 semanas).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S5: Publicación asistida (exportaciones/plantillas) y alertas (1 semana).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S6: Pruebas piloto en bodega + ajustes (1–2 semanas).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S7: Capacitación y salida a producción (1 semana).</w:t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2"/>
          <w:szCs w:val="20"/>
        </w:rPr>
      </w:pPr>
      <w:r>
        <w:rPr>
          <w:sz w:val="22"/>
          <w:szCs w:val="20"/>
        </w:rPr>
        <w:t xml:space="preserve">Payback: Dependiente del incremento de ventas de stock lento; se espera mejora temprana post‑MVP.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8"/>
        <w:pageBreakBefore w:val="true"/>
        <w:pBdr/>
        <w:spacing/>
        <w:ind/>
        <w:rPr>
          <w:lang w:val="es-VE"/>
        </w:rPr>
      </w:pPr>
      <w:r>
        <w:rPr>
          <w:lang w:val="es-VE"/>
        </w:rPr>
        <w:t xml:space="preserve">Recomendaciones y aprobación</w:t>
      </w:r>
      <w:r>
        <w:rPr>
          <w:lang w:val="es-VE"/>
        </w:rPr>
      </w:r>
      <w:r>
        <w:rPr>
          <w:lang w:val="es-VE"/>
        </w:rPr>
      </w:r>
    </w:p>
    <w:p>
      <w:pPr>
        <w:pStyle w:val="165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Recomendación: Aprobar un MVP con foco en ingreso ágil, catálogo en tiempo real, etiquetado y publicación asistida.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Énfasis: bajo costo, usabilidad en bodega y resultados rápidos (rotación de stock lento).</w:t>
      </w:r>
      <w:r>
        <w:rPr>
          <w:sz w:val="22"/>
          <w:szCs w:val="20"/>
        </w:rPr>
      </w:r>
    </w:p>
    <w:p>
      <w:pPr>
        <w:pStyle w:val="165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Próximos pasos:</w:t>
      </w:r>
      <w:r>
        <w:rPr>
          <w:sz w:val="22"/>
          <w:szCs w:val="20"/>
        </w:rPr>
      </w:r>
    </w:p>
    <w:p>
      <w:pPr>
        <w:pStyle w:val="165"/>
        <w:numPr>
          <w:ilvl w:val="1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Validar alcance del MVP y KPIs.</w:t>
      </w:r>
      <w:r>
        <w:rPr>
          <w:sz w:val="22"/>
          <w:szCs w:val="20"/>
        </w:rPr>
      </w:r>
    </w:p>
    <w:p>
      <w:pPr>
        <w:pStyle w:val="165"/>
        <w:numPr>
          <w:ilvl w:val="1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Definir responsables internos.</w:t>
      </w:r>
      <w:r>
        <w:rPr>
          <w:sz w:val="22"/>
          <w:szCs w:val="20"/>
        </w:rPr>
      </w:r>
    </w:p>
    <w:p>
      <w:pPr>
        <w:pStyle w:val="165"/>
        <w:numPr>
          <w:ilvl w:val="1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0"/>
        </w:rPr>
      </w:pPr>
      <w:r>
        <w:rPr>
          <w:sz w:val="22"/>
          <w:szCs w:val="20"/>
        </w:rPr>
        <w:t xml:space="preserve">Ejecutar plan por hitos.</w:t>
      </w:r>
      <w:r>
        <w:rPr>
          <w:sz w:val="22"/>
          <w:szCs w:val="20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</w:rPr>
      </w:pPr>
      <w:r>
        <w:rPr>
          <w:color w:val="00b050"/>
          <w:szCs w:val="24"/>
        </w:rPr>
      </w:r>
      <w:r>
        <w:rPr>
          <w:color w:val="00b050"/>
          <w:szCs w:val="24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p>
      <w:pPr>
        <w:pStyle w:val="807"/>
        <w:pBdr/>
        <w:shd w:val="clear" w:color="auto" w:fill="ffffff"/>
        <w:spacing w:after="0"/>
        <w:ind/>
        <w:rPr>
          <w:color w:val="00b050"/>
          <w:szCs w:val="24"/>
          <w:lang w:val="en-US"/>
        </w:rPr>
      </w:pPr>
      <w:r>
        <w:rPr>
          <w:color w:val="00b050"/>
          <w:szCs w:val="24"/>
          <w:lang w:val="en-US"/>
        </w:rPr>
      </w:r>
      <w:r>
        <w:rPr>
          <w:color w:val="00b050"/>
          <w:szCs w:val="24"/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985" w:right="1701" w:bottom="1418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30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">
    <w:nsid w:val="01456D8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">
    <w:nsid w:val="06B612C3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3">
    <w:nsid w:val="0717248A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">
    <w:nsid w:val="074B79E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nsid w:val="084C07F4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6">
    <w:nsid w:val="09DE3AE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7">
    <w:nsid w:val="0A2D237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8">
    <w:nsid w:val="145E158A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9">
    <w:nsid w:val="18873424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0">
    <w:nsid w:val="1CE07517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nsid w:val="20407A8F"/>
    <w:lvl w:ilvl="0">
      <w:isLgl w:val="false"/>
      <w:lvlJc w:val="left"/>
      <w:lvlText w:val="•"/>
      <w:numFmt w:val="bullet"/>
      <w:pPr>
        <w:pBdr/>
        <w:tabs>
          <w:tab w:val="num" w:leader="none" w:pos="0"/>
        </w:tabs>
        <w:spacing/>
        <w:ind w:hanging="144" w:left="144"/>
      </w:pPr>
      <w:rPr>
        <w:rFonts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2">
    <w:nsid w:val="2B2B4A4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3">
    <w:nsid w:val="2BA8158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4">
    <w:nsid w:val="2C03242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5">
    <w:nsid w:val="36D660E4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6">
    <w:nsid w:val="37B850ED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7">
    <w:nsid w:val="380F490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8">
    <w:nsid w:val="3B6D73AE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19">
    <w:nsid w:val="3DE424E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20">
    <w:nsid w:val="47857943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1">
    <w:nsid w:val="48134A49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2">
    <w:nsid w:val="496855F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color w:val="00000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3">
    <w:nsid w:val="4B4A123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24">
    <w:nsid w:val="4B64057A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5">
    <w:nsid w:val="4F1931C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26">
    <w:nsid w:val="571E5E98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27">
    <w:nsid w:val="57B45A95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8">
    <w:nsid w:val="590D0C63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29">
    <w:nsid w:val="618D28D8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0">
    <w:nsid w:val="62151C9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1">
    <w:nsid w:val="6263313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2">
    <w:nsid w:val="654B3341"/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ascii="Wingdings" w:hAnsi="Wingdings"/>
      </w:rPr>
      <w:start w:val="1"/>
      <w:suff w:val="tab"/>
    </w:lvl>
  </w:abstractNum>
  <w:abstractNum w:abstractNumId="33">
    <w:nsid w:val="664A65B7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34">
    <w:nsid w:val="70C75BF5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5">
    <w:nsid w:val="7146481D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6">
    <w:nsid w:val="74EC5ACC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7">
    <w:nsid w:val="75371FA4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38">
    <w:nsid w:val="75FF193F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39">
    <w:nsid w:val="79FC0168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0">
    <w:nsid w:val="7DD35A5F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41">
    <w:nsid w:val="7E640DE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42">
    <w:nsid w:val="33A41727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nsid w:val="3E3C3E6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nsid w:val="4B218E9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nsid w:val="36D0778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nsid w:val="6EFC3826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7">
    <w:nsid w:val="1FD68D8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nsid w:val="3D3C439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nsid w:val="46DF64C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nsid w:val="63A5673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nsid w:val="5A8D24F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nsid w:val="78F2608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nsid w:val="0F6D4C5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nsid w:val="6414D52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nsid w:val="43F893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nsid w:val="0F2696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nsid w:val="3656D6F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nsid w:val="5153BCD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nsid w:val="2A04DF9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0">
    <w:nsid w:val="7E7B110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nsid w:val="6E6DEB7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nsid w:val="41509CA2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3">
    <w:nsid w:val="40BA04DF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33"/>
  </w:num>
  <w:num w:numId="5">
    <w:abstractNumId w:val="12"/>
  </w:num>
  <w:num w:numId="6">
    <w:abstractNumId w:val="31"/>
  </w:num>
  <w:num w:numId="7">
    <w:abstractNumId w:val="30"/>
  </w:num>
  <w:num w:numId="8">
    <w:abstractNumId w:val="13"/>
  </w:num>
  <w:num w:numId="9">
    <w:abstractNumId w:val="25"/>
  </w:num>
  <w:num w:numId="10">
    <w:abstractNumId w:val="17"/>
  </w:num>
  <w:num w:numId="11">
    <w:abstractNumId w:val="0"/>
  </w:num>
  <w:num w:numId="12">
    <w:abstractNumId w:val="32"/>
  </w:num>
  <w:num w:numId="13">
    <w:abstractNumId w:val="10"/>
  </w:num>
  <w:num w:numId="14">
    <w:abstractNumId w:val="29"/>
  </w:num>
  <w:num w:numId="15">
    <w:abstractNumId w:val="9"/>
  </w:num>
  <w:num w:numId="16">
    <w:abstractNumId w:val="4"/>
  </w:num>
  <w:num w:numId="17">
    <w:abstractNumId w:val="24"/>
  </w:num>
  <w:num w:numId="18">
    <w:abstractNumId w:val="26"/>
  </w:num>
  <w:num w:numId="19">
    <w:abstractNumId w:val="1"/>
  </w:num>
  <w:num w:numId="20">
    <w:abstractNumId w:val="15"/>
  </w:num>
  <w:num w:numId="21">
    <w:abstractNumId w:val="36"/>
  </w:num>
  <w:num w:numId="22">
    <w:abstractNumId w:val="41"/>
  </w:num>
  <w:num w:numId="23">
    <w:abstractNumId w:val="18"/>
  </w:num>
  <w:num w:numId="24">
    <w:abstractNumId w:val="23"/>
  </w:num>
  <w:num w:numId="25">
    <w:abstractNumId w:val="14"/>
  </w:num>
  <w:num w:numId="26">
    <w:abstractNumId w:val="37"/>
  </w:num>
  <w:num w:numId="27">
    <w:abstractNumId w:val="7"/>
  </w:num>
  <w:num w:numId="28">
    <w:abstractNumId w:val="19"/>
  </w:num>
  <w:num w:numId="29">
    <w:abstractNumId w:val="6"/>
  </w:num>
  <w:num w:numId="30">
    <w:abstractNumId w:val="16"/>
  </w:num>
  <w:num w:numId="31">
    <w:abstractNumId w:val="28"/>
  </w:num>
  <w:num w:numId="32">
    <w:abstractNumId w:val="39"/>
  </w:num>
  <w:num w:numId="33">
    <w:abstractNumId w:val="40"/>
  </w:num>
  <w:num w:numId="34">
    <w:abstractNumId w:val="22"/>
  </w:num>
  <w:num w:numId="35">
    <w:abstractNumId w:val="11"/>
  </w:num>
  <w:num w:numId="36">
    <w:abstractNumId w:val="21"/>
  </w:num>
  <w:num w:numId="37">
    <w:abstractNumId w:val="27"/>
  </w:num>
  <w:num w:numId="38">
    <w:abstractNumId w:val="20"/>
  </w:num>
  <w:num w:numId="39">
    <w:abstractNumId w:val="38"/>
  </w:num>
  <w:num w:numId="40">
    <w:abstractNumId w:val="35"/>
  </w:num>
  <w:num w:numId="41">
    <w:abstractNumId w:val="8"/>
  </w:num>
  <w:num w:numId="42">
    <w:abstractNumId w:val="34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807"/>
    <w:next w:val="807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807"/>
    <w:next w:val="80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807"/>
    <w:next w:val="807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807"/>
    <w:next w:val="80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807"/>
    <w:next w:val="807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807"/>
    <w:next w:val="80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807"/>
    <w:next w:val="807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807"/>
    <w:next w:val="807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807"/>
    <w:next w:val="807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807"/>
    <w:next w:val="807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807"/>
    <w:next w:val="807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807"/>
    <w:next w:val="807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807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807"/>
    <w:next w:val="807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80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80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807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807"/>
    <w:next w:val="80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80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80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807"/>
    <w:next w:val="807"/>
    <w:uiPriority w:val="39"/>
    <w:unhideWhenUsed/>
    <w:pPr>
      <w:pBdr/>
      <w:spacing w:after="100"/>
      <w:ind/>
    </w:pPr>
  </w:style>
  <w:style w:type="paragraph" w:styleId="190">
    <w:name w:val="toc 2"/>
    <w:basedOn w:val="807"/>
    <w:next w:val="807"/>
    <w:uiPriority w:val="39"/>
    <w:unhideWhenUsed/>
    <w:pPr>
      <w:pBdr/>
      <w:spacing w:after="100"/>
      <w:ind w:left="220"/>
    </w:pPr>
  </w:style>
  <w:style w:type="paragraph" w:styleId="191">
    <w:name w:val="toc 3"/>
    <w:basedOn w:val="807"/>
    <w:next w:val="807"/>
    <w:uiPriority w:val="39"/>
    <w:unhideWhenUsed/>
    <w:pPr>
      <w:pBdr/>
      <w:spacing w:after="100"/>
      <w:ind w:left="440"/>
    </w:pPr>
  </w:style>
  <w:style w:type="paragraph" w:styleId="192">
    <w:name w:val="toc 4"/>
    <w:basedOn w:val="807"/>
    <w:next w:val="807"/>
    <w:uiPriority w:val="39"/>
    <w:unhideWhenUsed/>
    <w:pPr>
      <w:pBdr/>
      <w:spacing w:after="100"/>
      <w:ind w:left="660"/>
    </w:pPr>
  </w:style>
  <w:style w:type="paragraph" w:styleId="193">
    <w:name w:val="toc 5"/>
    <w:basedOn w:val="807"/>
    <w:next w:val="807"/>
    <w:uiPriority w:val="39"/>
    <w:unhideWhenUsed/>
    <w:pPr>
      <w:pBdr/>
      <w:spacing w:after="100"/>
      <w:ind w:left="880"/>
    </w:pPr>
  </w:style>
  <w:style w:type="paragraph" w:styleId="194">
    <w:name w:val="toc 6"/>
    <w:basedOn w:val="807"/>
    <w:next w:val="807"/>
    <w:uiPriority w:val="39"/>
    <w:unhideWhenUsed/>
    <w:pPr>
      <w:pBdr/>
      <w:spacing w:after="100"/>
      <w:ind w:left="1100"/>
    </w:pPr>
  </w:style>
  <w:style w:type="paragraph" w:styleId="195">
    <w:name w:val="toc 7"/>
    <w:basedOn w:val="807"/>
    <w:next w:val="807"/>
    <w:uiPriority w:val="39"/>
    <w:unhideWhenUsed/>
    <w:pPr>
      <w:pBdr/>
      <w:spacing w:after="100"/>
      <w:ind w:left="1320"/>
    </w:pPr>
  </w:style>
  <w:style w:type="paragraph" w:styleId="196">
    <w:name w:val="toc 8"/>
    <w:basedOn w:val="807"/>
    <w:next w:val="807"/>
    <w:uiPriority w:val="39"/>
    <w:unhideWhenUsed/>
    <w:pPr>
      <w:pBdr/>
      <w:spacing w:after="100"/>
      <w:ind w:left="1540"/>
    </w:pPr>
  </w:style>
  <w:style w:type="paragraph" w:styleId="197">
    <w:name w:val="toc 9"/>
    <w:basedOn w:val="807"/>
    <w:next w:val="80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807"/>
    <w:next w:val="807"/>
    <w:uiPriority w:val="99"/>
    <w:unhideWhenUsed/>
    <w:pPr>
      <w:pBdr/>
      <w:spacing w:after="0" w:afterAutospacing="0"/>
      <w:ind/>
    </w:pPr>
  </w:style>
  <w:style w:type="paragraph" w:styleId="807" w:default="1">
    <w:name w:val="Normal"/>
    <w:next w:val="807"/>
    <w:link w:val="807"/>
    <w:qFormat/>
    <w:pPr>
      <w:pBdr/>
      <w:spacing w:after="200" w:line="276" w:lineRule="auto"/>
      <w:ind/>
    </w:pPr>
    <w:rPr>
      <w:rFonts w:ascii="Arial" w:hAnsi="Arial"/>
      <w:sz w:val="24"/>
      <w:szCs w:val="22"/>
      <w:lang w:val="es-VE" w:eastAsia="en-US" w:bidi="ar-SA"/>
    </w:rPr>
  </w:style>
  <w:style w:type="paragraph" w:styleId="808">
    <w:name w:val="Título 1"/>
    <w:basedOn w:val="807"/>
    <w:next w:val="808"/>
    <w:link w:val="822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eastAsia="Times New Roman"/>
      <w:b/>
      <w:bCs/>
      <w:color w:val="365f91"/>
      <w:sz w:val="32"/>
      <w:szCs w:val="48"/>
      <w:lang w:val="en-US" w:eastAsia="en-US"/>
    </w:rPr>
  </w:style>
  <w:style w:type="paragraph" w:styleId="809">
    <w:name w:val="Título 2"/>
    <w:basedOn w:val="807"/>
    <w:next w:val="809"/>
    <w:link w:val="823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eastAsia="Times New Roman"/>
      <w:b/>
      <w:bCs/>
      <w:color w:val="365f91"/>
      <w:szCs w:val="36"/>
      <w:lang w:val="en-US" w:eastAsia="en-US"/>
    </w:rPr>
  </w:style>
  <w:style w:type="paragraph" w:styleId="810">
    <w:name w:val="Título 3"/>
    <w:basedOn w:val="807"/>
    <w:next w:val="807"/>
    <w:link w:val="834"/>
    <w:uiPriority w:val="9"/>
    <w:unhideWhenUsed/>
    <w:qFormat/>
    <w:pPr>
      <w:keepNext w:val="true"/>
      <w:pBdr/>
      <w:spacing w:after="60" w:before="240"/>
      <w:ind/>
      <w:outlineLvl w:val="2"/>
    </w:pPr>
    <w:rPr>
      <w:rFonts w:ascii="Cambria" w:hAnsi="Cambria" w:eastAsia="Times New Roman"/>
      <w:b/>
      <w:bCs/>
      <w:sz w:val="26"/>
      <w:szCs w:val="26"/>
      <w:lang w:val="en-US"/>
    </w:rPr>
  </w:style>
  <w:style w:type="character" w:styleId="811">
    <w:name w:val="Fuente de párrafo predeter."/>
    <w:next w:val="811"/>
    <w:link w:val="807"/>
    <w:uiPriority w:val="1"/>
    <w:unhideWhenUsed/>
    <w:pPr>
      <w:pBdr/>
      <w:spacing/>
      <w:ind/>
    </w:pPr>
  </w:style>
  <w:style w:type="table" w:styleId="812">
    <w:name w:val="Tabla normal"/>
    <w:next w:val="812"/>
    <w:link w:val="807"/>
    <w:uiPriority w:val="99"/>
    <w:semiHidden/>
    <w:unhideWhenUsed/>
    <w:qFormat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3">
    <w:name w:val="Sin lista"/>
    <w:next w:val="813"/>
    <w:link w:val="807"/>
    <w:uiPriority w:val="99"/>
    <w:semiHidden/>
    <w:unhideWhenUsed/>
    <w:pPr>
      <w:pBdr/>
      <w:spacing/>
      <w:ind/>
    </w:pPr>
  </w:style>
  <w:style w:type="paragraph" w:styleId="814">
    <w:name w:val="Normal (Web)"/>
    <w:basedOn w:val="807"/>
    <w:next w:val="814"/>
    <w:link w:val="807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VE"/>
    </w:rPr>
  </w:style>
  <w:style w:type="character" w:styleId="815">
    <w:name w:val="apple-converted-space"/>
    <w:basedOn w:val="811"/>
    <w:next w:val="815"/>
    <w:link w:val="807"/>
    <w:pPr>
      <w:pBdr/>
      <w:spacing/>
      <w:ind/>
    </w:pPr>
  </w:style>
  <w:style w:type="character" w:styleId="816">
    <w:name w:val="Texto en negrita"/>
    <w:next w:val="816"/>
    <w:link w:val="807"/>
    <w:uiPriority w:val="22"/>
    <w:qFormat/>
    <w:pPr>
      <w:pBdr/>
      <w:spacing/>
      <w:ind/>
    </w:pPr>
    <w:rPr>
      <w:b/>
      <w:bCs/>
    </w:rPr>
  </w:style>
  <w:style w:type="paragraph" w:styleId="817">
    <w:name w:val="Párrafo de lista"/>
    <w:basedOn w:val="807"/>
    <w:next w:val="817"/>
    <w:link w:val="807"/>
    <w:uiPriority w:val="34"/>
    <w:qFormat/>
    <w:pPr>
      <w:pBdr/>
      <w:spacing/>
      <w:ind w:left="720"/>
      <w:contextualSpacing w:val="true"/>
    </w:pPr>
  </w:style>
  <w:style w:type="character" w:styleId="818">
    <w:name w:val="Hipervínculo"/>
    <w:next w:val="818"/>
    <w:link w:val="807"/>
    <w:unhideWhenUsed/>
    <w:pPr>
      <w:pBdr/>
      <w:spacing/>
      <w:ind/>
    </w:pPr>
    <w:rPr>
      <w:color w:val="0000ff"/>
      <w:u w:val="single"/>
    </w:rPr>
  </w:style>
  <w:style w:type="table" w:styleId="819">
    <w:name w:val="Tabla con cuadrícula"/>
    <w:basedOn w:val="812"/>
    <w:next w:val="819"/>
    <w:link w:val="807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0">
    <w:name w:val="Texto comentario"/>
    <w:basedOn w:val="807"/>
    <w:next w:val="820"/>
    <w:link w:val="821"/>
    <w:semiHidden/>
    <w:pPr>
      <w:pBdr/>
      <w:spacing w:after="0" w:line="240" w:lineRule="auto"/>
      <w:ind/>
    </w:pPr>
    <w:rPr>
      <w:rFonts w:ascii="Times New Roman" w:hAnsi="Times New Roman" w:eastAsia="Times New Roman"/>
      <w:sz w:val="20"/>
      <w:szCs w:val="20"/>
      <w:lang w:val="en-US" w:eastAsia="en-US"/>
    </w:rPr>
  </w:style>
  <w:style w:type="character" w:styleId="821">
    <w:name w:val="Texto comentario Car"/>
    <w:next w:val="821"/>
    <w:link w:val="820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822">
    <w:name w:val="Título 1 Car"/>
    <w:next w:val="822"/>
    <w:link w:val="808"/>
    <w:uiPriority w:val="9"/>
    <w:pPr>
      <w:pBdr/>
      <w:spacing/>
      <w:ind/>
    </w:pPr>
    <w:rPr>
      <w:rFonts w:ascii="Arial" w:hAnsi="Arial" w:eastAsia="Times New Roman"/>
      <w:b/>
      <w:bCs/>
      <w:color w:val="365f91"/>
      <w:sz w:val="32"/>
      <w:szCs w:val="48"/>
    </w:rPr>
  </w:style>
  <w:style w:type="character" w:styleId="823">
    <w:name w:val="Título 2 Car"/>
    <w:next w:val="823"/>
    <w:link w:val="809"/>
    <w:uiPriority w:val="9"/>
    <w:pPr>
      <w:pBdr/>
      <w:spacing/>
      <w:ind/>
    </w:pPr>
    <w:rPr>
      <w:rFonts w:ascii="Arial" w:hAnsi="Arial" w:eastAsia="Times New Roman"/>
      <w:b/>
      <w:bCs/>
      <w:color w:val="365f91"/>
      <w:sz w:val="24"/>
      <w:szCs w:val="36"/>
    </w:rPr>
  </w:style>
  <w:style w:type="character" w:styleId="824">
    <w:name w:val="vote-count-post"/>
    <w:basedOn w:val="811"/>
    <w:next w:val="824"/>
    <w:link w:val="807"/>
    <w:pPr>
      <w:pBdr/>
      <w:spacing/>
      <w:ind/>
    </w:pPr>
  </w:style>
  <w:style w:type="character" w:styleId="825">
    <w:name w:val="relativetime"/>
    <w:basedOn w:val="811"/>
    <w:next w:val="825"/>
    <w:link w:val="807"/>
    <w:pPr>
      <w:pBdr/>
      <w:spacing/>
      <w:ind/>
    </w:pPr>
  </w:style>
  <w:style w:type="character" w:styleId="826">
    <w:name w:val="reputation-score"/>
    <w:basedOn w:val="811"/>
    <w:next w:val="826"/>
    <w:link w:val="807"/>
    <w:pPr>
      <w:pBdr/>
      <w:spacing/>
      <w:ind/>
    </w:pPr>
  </w:style>
  <w:style w:type="character" w:styleId="827">
    <w:name w:val="badgecount"/>
    <w:basedOn w:val="811"/>
    <w:next w:val="827"/>
    <w:link w:val="807"/>
    <w:pPr>
      <w:pBdr/>
      <w:spacing/>
      <w:ind/>
    </w:pPr>
  </w:style>
  <w:style w:type="character" w:styleId="828">
    <w:name w:val="cool"/>
    <w:basedOn w:val="811"/>
    <w:next w:val="828"/>
    <w:link w:val="807"/>
    <w:pPr>
      <w:pBdr/>
      <w:spacing/>
      <w:ind/>
    </w:pPr>
  </w:style>
  <w:style w:type="character" w:styleId="829">
    <w:name w:val="comment-copy"/>
    <w:basedOn w:val="811"/>
    <w:next w:val="829"/>
    <w:link w:val="807"/>
    <w:pPr>
      <w:pBdr/>
      <w:spacing/>
      <w:ind/>
    </w:pPr>
  </w:style>
  <w:style w:type="character" w:styleId="830">
    <w:name w:val="comment-date"/>
    <w:basedOn w:val="811"/>
    <w:next w:val="830"/>
    <w:link w:val="807"/>
    <w:pPr>
      <w:pBdr/>
      <w:spacing/>
      <w:ind/>
    </w:pPr>
  </w:style>
  <w:style w:type="character" w:styleId="831">
    <w:name w:val="Énfasis"/>
    <w:next w:val="831"/>
    <w:link w:val="807"/>
    <w:uiPriority w:val="20"/>
    <w:qFormat/>
    <w:pPr>
      <w:pBdr/>
      <w:spacing/>
      <w:ind/>
    </w:pPr>
    <w:rPr>
      <w:i/>
      <w:iCs/>
    </w:rPr>
  </w:style>
  <w:style w:type="paragraph" w:styleId="832">
    <w:name w:val="Texto de globo"/>
    <w:basedOn w:val="807"/>
    <w:next w:val="832"/>
    <w:link w:val="833"/>
    <w:uiPriority w:val="99"/>
    <w:semiHidden/>
    <w:unhideWhenUsed/>
    <w:pPr>
      <w:pBdr/>
      <w:spacing w:after="0" w:line="240" w:lineRule="auto"/>
      <w:ind/>
    </w:pPr>
    <w:rPr>
      <w:rFonts w:ascii="Tahoma" w:hAnsi="Tahoma"/>
      <w:sz w:val="16"/>
      <w:szCs w:val="16"/>
      <w:lang w:val="en-US" w:eastAsia="en-US"/>
    </w:rPr>
  </w:style>
  <w:style w:type="character" w:styleId="833">
    <w:name w:val="Texto de globo Car"/>
    <w:next w:val="833"/>
    <w:link w:val="83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4">
    <w:name w:val="Título 3 Car"/>
    <w:next w:val="834"/>
    <w:link w:val="810"/>
    <w:uiPriority w:val="9"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835">
    <w:name w:val="il_ad"/>
    <w:basedOn w:val="811"/>
    <w:next w:val="835"/>
    <w:link w:val="807"/>
    <w:pPr>
      <w:pBdr/>
      <w:spacing/>
      <w:ind/>
    </w:pPr>
  </w:style>
  <w:style w:type="paragraph" w:styleId="836">
    <w:name w:val="Encabezado"/>
    <w:basedOn w:val="807"/>
    <w:next w:val="836"/>
    <w:link w:val="837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rFonts w:ascii="Calibri" w:hAnsi="Calibri"/>
      <w:sz w:val="22"/>
      <w:lang w:val="en-US"/>
    </w:rPr>
  </w:style>
  <w:style w:type="character" w:styleId="837">
    <w:name w:val="Encabezado Car"/>
    <w:next w:val="837"/>
    <w:link w:val="836"/>
    <w:uiPriority w:val="99"/>
    <w:pPr>
      <w:pBdr/>
      <w:spacing/>
      <w:ind/>
    </w:pPr>
    <w:rPr>
      <w:sz w:val="22"/>
      <w:szCs w:val="22"/>
      <w:lang w:eastAsia="en-US"/>
    </w:rPr>
  </w:style>
  <w:style w:type="paragraph" w:styleId="838">
    <w:name w:val="Pie de página"/>
    <w:basedOn w:val="807"/>
    <w:next w:val="838"/>
    <w:link w:val="839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  <w:rPr>
      <w:rFonts w:ascii="Calibri" w:hAnsi="Calibri"/>
      <w:sz w:val="22"/>
      <w:lang w:val="en-US"/>
    </w:rPr>
  </w:style>
  <w:style w:type="character" w:styleId="839">
    <w:name w:val="Pie de página Car"/>
    <w:next w:val="839"/>
    <w:link w:val="838"/>
    <w:uiPriority w:val="99"/>
    <w:pPr>
      <w:pBdr/>
      <w:spacing/>
      <w:ind/>
    </w:pPr>
    <w:rPr>
      <w:sz w:val="22"/>
      <w:szCs w:val="22"/>
      <w:lang w:eastAsia="en-US"/>
    </w:rPr>
  </w:style>
  <w:style w:type="paragraph" w:styleId="840">
    <w:name w:val="Título de TDC"/>
    <w:basedOn w:val="808"/>
    <w:next w:val="807"/>
    <w:link w:val="807"/>
    <w:uiPriority w:val="39"/>
    <w:semiHidden/>
    <w:unhideWhenUsed/>
    <w:qFormat/>
    <w:pPr>
      <w:keepNext w:val="true"/>
      <w:keepLines w:val="true"/>
      <w:pBdr/>
      <w:spacing w:after="0" w:afterAutospacing="0" w:before="480" w:beforeAutospacing="0" w:line="276" w:lineRule="auto"/>
      <w:ind/>
      <w:outlineLvl w:val="9"/>
    </w:pPr>
    <w:rPr>
      <w:rFonts w:ascii="Cambria" w:hAnsi="Cambria" w:eastAsia="Times New Roman" w:cs="Times New Roman"/>
      <w:color w:val="365f91"/>
      <w:sz w:val="28"/>
      <w:szCs w:val="28"/>
    </w:rPr>
  </w:style>
  <w:style w:type="paragraph" w:styleId="841">
    <w:name w:val="TDC 1"/>
    <w:basedOn w:val="807"/>
    <w:next w:val="807"/>
    <w:link w:val="807"/>
    <w:uiPriority w:val="39"/>
    <w:unhideWhenUsed/>
    <w:qFormat/>
    <w:pPr>
      <w:pBdr/>
      <w:tabs>
        <w:tab w:val="right" w:leader="dot" w:pos="8828"/>
      </w:tabs>
      <w:spacing/>
      <w:ind/>
    </w:pPr>
  </w:style>
  <w:style w:type="paragraph" w:styleId="842">
    <w:name w:val="TDC 2"/>
    <w:basedOn w:val="807"/>
    <w:next w:val="807"/>
    <w:link w:val="807"/>
    <w:uiPriority w:val="39"/>
    <w:unhideWhenUsed/>
    <w:qFormat/>
    <w:pPr>
      <w:pBdr/>
      <w:spacing/>
      <w:ind w:left="220"/>
    </w:pPr>
  </w:style>
  <w:style w:type="paragraph" w:styleId="843">
    <w:name w:val="TDC 3"/>
    <w:basedOn w:val="807"/>
    <w:next w:val="807"/>
    <w:link w:val="807"/>
    <w:uiPriority w:val="39"/>
    <w:semiHidden/>
    <w:unhideWhenUsed/>
    <w:qFormat/>
    <w:pPr>
      <w:pBdr/>
      <w:spacing w:after="100"/>
      <w:ind w:left="440"/>
    </w:pPr>
    <w:rPr>
      <w:rFonts w:ascii="Calibri" w:hAnsi="Calibri" w:eastAsia="Times New Roman" w:cs="Times New Roman"/>
      <w:lang w:eastAsia="es-VE"/>
    </w:rPr>
  </w:style>
  <w:style w:type="paragraph" w:styleId="844">
    <w:name w:val="Sin espaciado"/>
    <w:next w:val="844"/>
    <w:link w:val="807"/>
    <w:uiPriority w:val="1"/>
    <w:qFormat/>
    <w:pPr>
      <w:pBdr/>
      <w:spacing/>
      <w:ind/>
    </w:pPr>
    <w:rPr>
      <w:rFonts w:ascii="Arial" w:hAnsi="Arial"/>
      <w:sz w:val="24"/>
      <w:szCs w:val="22"/>
      <w:lang w:val="es-VE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137</cp:revision>
  <dcterms:created xsi:type="dcterms:W3CDTF">2012-10-28T15:38:00Z</dcterms:created>
  <dcterms:modified xsi:type="dcterms:W3CDTF">2025-10-21T12:39:57Z</dcterms:modified>
  <cp:version>983040</cp:version>
</cp:coreProperties>
</file>