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0"/>
        <w:jc w:val="center"/>
      </w:pPr>
      <w:r>
        <w:rPr>
          <w:rFonts w:ascii="Calibri" w:hAnsi="Calibri"/>
          <w:b/>
          <w:sz w:val="40"/>
        </w:rPr>
        <w:t>Resultados del modelo Random Forest para ADHD Rating Scale IV</w:t>
      </w:r>
    </w:p>
    <w:p>
      <w:pPr>
        <w:jc w:val="center"/>
      </w:pPr>
      <w:r>
        <w:rPr>
          <w:rFonts w:ascii="Calibri" w:hAnsi="Calibri"/>
          <w:b w:val="0"/>
          <w:sz w:val="26"/>
        </w:rPr>
        <w:t>Versión para profesores</w:t>
      </w:r>
    </w:p>
    <w:p>
      <w:r>
        <w:br w:type="page"/>
      </w:r>
    </w:p>
    <w:p>
      <w:pPr>
        <w:pStyle w:val="Heading1"/>
        <w:spacing w:before="280" w:after="140"/>
      </w:pPr>
      <w:r>
        <w:rPr>
          <w:rFonts w:ascii="Calibri" w:hAnsi="Calibri"/>
          <w:b/>
          <w:color w:val="000000"/>
          <w:sz w:val="28"/>
        </w:rPr>
        <w:t>Resultados del modelo Random Forest</w:t>
      </w:r>
    </w:p>
    <w:p>
      <w:pPr>
        <w:spacing w:after="160" w:line="276" w:lineRule="auto"/>
      </w:pPr>
      <w:r>
        <w:rPr>
          <w:rFonts w:ascii="Calibri" w:hAnsi="Calibri"/>
          <w:b w:val="0"/>
          <w:sz w:val="22"/>
        </w:rPr>
        <w:t>Esta sección presenta el proceso de entrenamiento y evaluación de un modelo Random Forest aplicado a la ADHD Rating Scale IV, versión para profesores. El objetivo es comprobar el funcionamiento técnico del flujo de entrenamiento, evaluación y consulta de resultados.</w:t>
      </w:r>
    </w:p>
    <w:p>
      <w:pPr>
        <w:spacing w:after="160" w:line="276" w:lineRule="auto"/>
      </w:pPr>
      <w:r>
        <w:rPr>
          <w:rFonts w:ascii="Calibri" w:hAnsi="Calibri"/>
          <w:b w:val="0"/>
          <w:sz w:val="22"/>
        </w:rPr>
        <w:t>La muestra está compuesta por 30 registros. Cada registro incluye las respuestas de los 18 ítems de la escala, codificadas entre 0 y 3, y una etiqueta de tamizaje positivo o negativo. Las respuestas y etiquetas deben estar completas antes de ejecutar el entrenamiento.</w:t>
      </w:r>
    </w:p>
    <w:p>
      <w:pPr>
        <w:spacing w:after="160" w:line="276" w:lineRule="auto"/>
      </w:pPr>
      <w:r>
        <w:rPr>
          <w:rFonts w:ascii="Calibri" w:hAnsi="Calibri"/>
          <w:b w:val="0"/>
          <w:sz w:val="22"/>
        </w:rPr>
        <w:t>Los datos se dividen de forma estratificada en 24 registros para entrenamiento y 6 registros para prueba. El modelo se configura con 300 árboles de decisión, ponderación balanceada de clases y semilla aleatoria fija de 42 para conservar resultados reproducibles.</w:t>
      </w:r>
    </w:p>
    <w:tbl>
      <w:tblPr>
        <w:tblStyle w:val="TableGrid"/>
        <w:tblW w:type="auto" w:w="0"/>
        <w:jc w:val="center"/>
        <w:tblLook w:firstColumn="1" w:firstRow="1" w:lastColumn="0" w:lastRow="0" w:noHBand="0" w:noVBand="1" w:val="04A0"/>
      </w:tblPr>
      <w:tblGrid>
        <w:gridCol w:w="3059"/>
        <w:gridCol w:w="3059"/>
        <w:gridCol w:w="3059"/>
      </w:tblGrid>
      <w:tr>
        <w:tc>
          <w:tcPr>
            <w:tcW w:type="dxa" w:w="3059"/>
            <w:shd w:fill="1F4E78"/>
          </w:tcPr>
          <w:p>
            <w:pPr>
              <w:jc w:val="center"/>
            </w:pPr>
            <w:r>
              <w:rPr>
                <w:rFonts w:ascii="Calibri" w:hAnsi="Calibri"/>
                <w:b/>
                <w:color w:val="FFFFFF"/>
                <w:sz w:val="20"/>
              </w:rPr>
              <w:t>Elemento</w:t>
            </w:r>
          </w:p>
        </w:tc>
        <w:tc>
          <w:tcPr>
            <w:tcW w:type="dxa" w:w="3059"/>
            <w:shd w:fill="1F4E78"/>
          </w:tcPr>
          <w:p>
            <w:pPr>
              <w:jc w:val="center"/>
            </w:pPr>
            <w:r>
              <w:rPr>
                <w:rFonts w:ascii="Calibri" w:hAnsi="Calibri"/>
                <w:b/>
                <w:color w:val="FFFFFF"/>
                <w:sz w:val="20"/>
              </w:rPr>
              <w:t>Configuración</w:t>
            </w:r>
          </w:p>
        </w:tc>
        <w:tc>
          <w:tcPr>
            <w:tcW w:type="dxa" w:w="3059"/>
            <w:shd w:fill="1F4E78"/>
          </w:tcPr>
          <w:p>
            <w:pPr>
              <w:jc w:val="center"/>
            </w:pPr>
            <w:r>
              <w:rPr>
                <w:rFonts w:ascii="Calibri" w:hAnsi="Calibri"/>
                <w:b/>
                <w:color w:val="FFFFFF"/>
                <w:sz w:val="20"/>
              </w:rPr>
              <w:t>Descripción</w:t>
            </w:r>
          </w:p>
        </w:tc>
      </w:tr>
      <w:tr>
        <w:tc>
          <w:tcPr>
            <w:tcW w:type="dxa" w:w="3059"/>
          </w:tcPr>
          <w:p>
            <w:pPr>
              <w:jc w:val="left"/>
            </w:pPr>
            <w:r>
              <w:rPr>
                <w:rFonts w:ascii="Calibri" w:hAnsi="Calibri"/>
                <w:b w:val="0"/>
                <w:sz w:val="20"/>
              </w:rPr>
              <w:t>Cantidad total</w:t>
            </w:r>
          </w:p>
        </w:tc>
        <w:tc>
          <w:tcPr>
            <w:tcW w:type="dxa" w:w="3059"/>
          </w:tcPr>
          <w:p>
            <w:pPr>
              <w:jc w:val="center"/>
            </w:pPr>
            <w:r>
              <w:rPr>
                <w:rFonts w:ascii="Calibri" w:hAnsi="Calibri"/>
                <w:b w:val="0"/>
                <w:sz w:val="20"/>
              </w:rPr>
              <w:t>30 registros</w:t>
            </w:r>
          </w:p>
        </w:tc>
        <w:tc>
          <w:tcPr>
            <w:tcW w:type="dxa" w:w="3059"/>
          </w:tcPr>
          <w:p>
            <w:pPr>
              <w:jc w:val="left"/>
            </w:pPr>
            <w:r>
              <w:rPr>
                <w:rFonts w:ascii="Calibri" w:hAnsi="Calibri"/>
                <w:b w:val="0"/>
                <w:sz w:val="20"/>
              </w:rPr>
              <w:t>Muestra disponible para el proceso.</w:t>
            </w:r>
          </w:p>
        </w:tc>
      </w:tr>
      <w:tr>
        <w:tc>
          <w:tcPr>
            <w:tcW w:type="dxa" w:w="3059"/>
            <w:shd w:fill="F3F7FB"/>
          </w:tcPr>
          <w:p>
            <w:pPr>
              <w:jc w:val="left"/>
            </w:pPr>
            <w:r>
              <w:rPr>
                <w:rFonts w:ascii="Calibri" w:hAnsi="Calibri"/>
                <w:b w:val="0"/>
                <w:sz w:val="20"/>
              </w:rPr>
              <w:t>Entrenamiento</w:t>
            </w:r>
          </w:p>
        </w:tc>
        <w:tc>
          <w:tcPr>
            <w:tcW w:type="dxa" w:w="3059"/>
            <w:shd w:fill="F3F7FB"/>
          </w:tcPr>
          <w:p>
            <w:pPr>
              <w:jc w:val="center"/>
            </w:pPr>
            <w:r>
              <w:rPr>
                <w:rFonts w:ascii="Calibri" w:hAnsi="Calibri"/>
                <w:b w:val="0"/>
                <w:sz w:val="20"/>
              </w:rPr>
              <w:t>24 registros</w:t>
            </w:r>
          </w:p>
        </w:tc>
        <w:tc>
          <w:tcPr>
            <w:tcW w:type="dxa" w:w="3059"/>
            <w:shd w:fill="F3F7FB"/>
          </w:tcPr>
          <w:p>
            <w:pPr>
              <w:jc w:val="left"/>
            </w:pPr>
            <w:r>
              <w:rPr>
                <w:rFonts w:ascii="Calibri" w:hAnsi="Calibri"/>
                <w:b w:val="0"/>
                <w:sz w:val="20"/>
              </w:rPr>
              <w:t>80 por ciento de la muestra.</w:t>
            </w:r>
          </w:p>
        </w:tc>
      </w:tr>
      <w:tr>
        <w:tc>
          <w:tcPr>
            <w:tcW w:type="dxa" w:w="3059"/>
          </w:tcPr>
          <w:p>
            <w:pPr>
              <w:jc w:val="left"/>
            </w:pPr>
            <w:r>
              <w:rPr>
                <w:rFonts w:ascii="Calibri" w:hAnsi="Calibri"/>
                <w:b w:val="0"/>
                <w:sz w:val="20"/>
              </w:rPr>
              <w:t>Prueba</w:t>
            </w:r>
          </w:p>
        </w:tc>
        <w:tc>
          <w:tcPr>
            <w:tcW w:type="dxa" w:w="3059"/>
          </w:tcPr>
          <w:p>
            <w:pPr>
              <w:jc w:val="center"/>
            </w:pPr>
            <w:r>
              <w:rPr>
                <w:rFonts w:ascii="Calibri" w:hAnsi="Calibri"/>
                <w:b w:val="0"/>
                <w:sz w:val="20"/>
              </w:rPr>
              <w:t>6 registros</w:t>
            </w:r>
          </w:p>
        </w:tc>
        <w:tc>
          <w:tcPr>
            <w:tcW w:type="dxa" w:w="3059"/>
          </w:tcPr>
          <w:p>
            <w:pPr>
              <w:jc w:val="left"/>
            </w:pPr>
            <w:r>
              <w:rPr>
                <w:rFonts w:ascii="Calibri" w:hAnsi="Calibri"/>
                <w:b w:val="0"/>
                <w:sz w:val="20"/>
              </w:rPr>
              <w:t>20 por ciento de la muestra.</w:t>
            </w:r>
          </w:p>
        </w:tc>
      </w:tr>
      <w:tr>
        <w:tc>
          <w:tcPr>
            <w:tcW w:type="dxa" w:w="3059"/>
            <w:shd w:fill="F3F7FB"/>
          </w:tcPr>
          <w:p>
            <w:pPr>
              <w:jc w:val="left"/>
            </w:pPr>
            <w:r>
              <w:rPr>
                <w:rFonts w:ascii="Calibri" w:hAnsi="Calibri"/>
                <w:b w:val="0"/>
                <w:sz w:val="20"/>
              </w:rPr>
              <w:t>Modelo</w:t>
            </w:r>
          </w:p>
        </w:tc>
        <w:tc>
          <w:tcPr>
            <w:tcW w:type="dxa" w:w="3059"/>
            <w:shd w:fill="F3F7FB"/>
          </w:tcPr>
          <w:p>
            <w:pPr>
              <w:jc w:val="center"/>
            </w:pPr>
            <w:r>
              <w:rPr>
                <w:rFonts w:ascii="Calibri" w:hAnsi="Calibri"/>
                <w:b w:val="0"/>
                <w:sz w:val="20"/>
              </w:rPr>
              <w:t>Random Forest</w:t>
            </w:r>
          </w:p>
        </w:tc>
        <w:tc>
          <w:tcPr>
            <w:tcW w:type="dxa" w:w="3059"/>
            <w:shd w:fill="F3F7FB"/>
          </w:tcPr>
          <w:p>
            <w:pPr>
              <w:jc w:val="left"/>
            </w:pPr>
            <w:r>
              <w:rPr>
                <w:rFonts w:ascii="Calibri" w:hAnsi="Calibri"/>
                <w:b w:val="0"/>
                <w:sz w:val="20"/>
              </w:rPr>
              <w:t>300 árboles y semilla aleatoria 42.</w:t>
            </w:r>
          </w:p>
        </w:tc>
      </w:tr>
      <w:tr>
        <w:tc>
          <w:tcPr>
            <w:tcW w:type="dxa" w:w="3059"/>
          </w:tcPr>
          <w:p>
            <w:pPr>
              <w:jc w:val="left"/>
            </w:pPr>
            <w:r>
              <w:rPr>
                <w:rFonts w:ascii="Calibri" w:hAnsi="Calibri"/>
                <w:b w:val="0"/>
                <w:sz w:val="20"/>
              </w:rPr>
              <w:t>Resultados</w:t>
            </w:r>
          </w:p>
        </w:tc>
        <w:tc>
          <w:tcPr>
            <w:tcW w:type="dxa" w:w="3059"/>
          </w:tcPr>
          <w:p>
            <w:pPr>
              <w:jc w:val="center"/>
            </w:pPr>
            <w:r>
              <w:rPr>
                <w:rFonts w:ascii="Calibri" w:hAnsi="Calibri"/>
                <w:b w:val="0"/>
                <w:sz w:val="20"/>
              </w:rPr>
              <w:t>En consola</w:t>
            </w:r>
          </w:p>
        </w:tc>
        <w:tc>
          <w:tcPr>
            <w:tcW w:type="dxa" w:w="3059"/>
          </w:tcPr>
          <w:p>
            <w:pPr>
              <w:jc w:val="left"/>
            </w:pPr>
            <w:r>
              <w:rPr>
                <w:rFonts w:ascii="Calibri" w:hAnsi="Calibri"/>
                <w:b w:val="0"/>
                <w:sz w:val="20"/>
              </w:rPr>
              <w:t>Métricas, matriz e importancia de ítems.</w:t>
            </w:r>
          </w:p>
        </w:tc>
      </w:tr>
    </w:tbl>
    <w:p>
      <w:pPr>
        <w:pStyle w:val="Heading1"/>
        <w:spacing w:before="280" w:after="140"/>
      </w:pPr>
      <w:r>
        <w:rPr>
          <w:rFonts w:ascii="Calibri" w:hAnsi="Calibri"/>
          <w:b/>
          <w:color w:val="000000"/>
          <w:sz w:val="28"/>
        </w:rPr>
        <w:t>Resultados en consola</w:t>
      </w:r>
    </w:p>
    <w:p>
      <w:pPr>
        <w:spacing w:after="160" w:line="276" w:lineRule="auto"/>
      </w:pPr>
      <w:r>
        <w:rPr>
          <w:rFonts w:ascii="Calibri" w:hAnsi="Calibri"/>
          <w:b w:val="0"/>
          <w:sz w:val="22"/>
        </w:rPr>
        <w:t>Al ejecutar el archivo de entrenamiento, toda la información se muestra directamente en la consola. La salida incluye las métricas de evaluación, la matriz de confusión, los puntos de las curvas ROC y precisión recall, y un gráfico textual de importancia para los 18 ítems. No se abren ventanas ni se generan imágenes o archivos de resultados adicionales.</w:t>
      </w:r>
    </w:p>
    <w:p>
      <w:pPr>
        <w:spacing w:after="160" w:line="276" w:lineRule="auto"/>
      </w:pPr>
      <w:r>
        <w:rPr>
          <w:rFonts w:ascii="Calibri" w:hAnsi="Calibri"/>
          <w:b w:val="0"/>
          <w:sz w:val="22"/>
        </w:rPr>
        <w:t>Las métricas finales se calculan únicamente cuando los 30 registros contienen respuestas completas y etiquetas de tamizaje válidas. Por ello, los valores de accuracy, precisión, sensibilidad, F1 score, ROC AUC y PR AUC deben tomarse de la ejecución realizada con el archivo de datos final.</w:t>
      </w:r>
    </w:p>
    <w:p>
      <w:pPr>
        <w:pStyle w:val="Heading1"/>
        <w:spacing w:before="280" w:after="140"/>
      </w:pPr>
      <w:r>
        <w:rPr>
          <w:rFonts w:ascii="Calibri" w:hAnsi="Calibri"/>
          <w:b/>
          <w:color w:val="000000"/>
          <w:sz w:val="28"/>
        </w:rPr>
        <w:t>Limitaciones</w:t>
      </w:r>
    </w:p>
    <w:p>
      <w:pPr>
        <w:spacing w:after="160" w:line="276" w:lineRule="auto"/>
      </w:pPr>
      <w:r>
        <w:rPr>
          <w:rFonts w:ascii="Calibri" w:hAnsi="Calibri"/>
          <w:b w:val="0"/>
          <w:sz w:val="22"/>
        </w:rPr>
        <w:t>El tamaño reducido de la muestra limita la estabilidad de las métricas y la capacidad de generalización del modelo. Este resultado representa un apoyo técnico para el tamizaje y no constituye un diagnóstico clínico. La interpretación debe complementarse con una evaluación profesional y con datos reales validados.</w:t>
      </w:r>
    </w:p>
    <w:sectPr w:rsidR="00FC693F" w:rsidRPr="0006063C" w:rsidSect="00034616">
      <w:pgSz w:w="12240" w:h="15840"/>
      <w:pgMar w:top="1417" w:right="1531" w:bottom="141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