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sz w:val="23"/>
          <w:szCs w:val="23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3"/>
          <w:szCs w:val="23"/>
          <w:highlight w:val="white"/>
          <w:rtl w:val="0"/>
        </w:rPr>
        <w:t xml:space="preserve">As we navigate through 2025, artificial intelligence continues to reshape the investment landscape, presenting unprecedented opportunities for investors across the globe.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9hqk3m249lsl" w:id="0"/>
      <w:bookmarkEnd w:id="0"/>
      <w:r w:rsidDel="00000000" w:rsidR="00000000" w:rsidRPr="00000000">
        <w:rPr>
          <w:rtl w:val="0"/>
        </w:rPr>
        <w:t xml:space="preserve">The Evolution of AI Investments</w:t>
      </w:r>
    </w:p>
    <w:p w:rsidR="00000000" w:rsidDel="00000000" w:rsidP="00000000" w:rsidRDefault="00000000" w:rsidRPr="00000000" w14:paraId="00000003">
      <w:pPr>
        <w:rPr>
          <w:rFonts w:ascii="Poppins" w:cs="Poppins" w:eastAsia="Poppins" w:hAnsi="Poppins"/>
          <w:sz w:val="23"/>
          <w:szCs w:val="23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3"/>
          <w:szCs w:val="23"/>
          <w:highlight w:val="white"/>
          <w:rtl w:val="0"/>
        </w:rPr>
        <w:t xml:space="preserve">The AI industry has witnessed exponential growth over the past decade, with global investments reaching $500 billion in 2025. This surge is driven by breakthrough advancements in machine learning, natural language processing, and autonomous systems.</w:t>
      </w:r>
    </w:p>
    <w:p w:rsidR="00000000" w:rsidDel="00000000" w:rsidP="00000000" w:rsidRDefault="00000000" w:rsidRPr="00000000" w14:paraId="00000004">
      <w:pPr>
        <w:rPr>
          <w:rFonts w:ascii="Poppins" w:cs="Poppins" w:eastAsia="Poppins" w:hAnsi="Poppins"/>
          <w:sz w:val="23"/>
          <w:szCs w:val="23"/>
          <w:highlight w:val="white"/>
        </w:rPr>
      </w:pPr>
      <w:r w:rsidDel="00000000" w:rsidR="00000000" w:rsidRPr="00000000">
        <w:rPr>
          <w:rFonts w:ascii="Poppins" w:cs="Poppins" w:eastAsia="Poppins" w:hAnsi="Poppins"/>
          <w:i w:val="1"/>
          <w:sz w:val="23"/>
          <w:szCs w:val="23"/>
          <w:highlight w:val="white"/>
          <w:rtl w:val="0"/>
        </w:rPr>
        <w:t xml:space="preserve">AI is not just changing how we invest; it's transforming what we invest in. The opportunities are boundless for those who understand the technology's potential.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color w:val="000000"/>
        </w:rPr>
      </w:pPr>
      <w:bookmarkStart w:colFirst="0" w:colLast="0" w:name="_spqei3150n8a" w:id="1"/>
      <w:bookmarkEnd w:id="1"/>
      <w:r w:rsidDel="00000000" w:rsidR="00000000" w:rsidRPr="00000000">
        <w:rPr>
          <w:color w:val="000000"/>
          <w:rtl w:val="0"/>
        </w:rPr>
        <w:t xml:space="preserve">Key Investment Sectors</w:t>
      </w:r>
    </w:p>
    <w:p w:rsidR="00000000" w:rsidDel="00000000" w:rsidP="00000000" w:rsidRDefault="00000000" w:rsidRPr="00000000" w14:paraId="00000006">
      <w:pPr>
        <w:rPr>
          <w:rFonts w:ascii="Poppins" w:cs="Poppins" w:eastAsia="Poppins" w:hAnsi="Poppins"/>
          <w:sz w:val="23"/>
          <w:szCs w:val="23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3"/>
          <w:szCs w:val="23"/>
          <w:highlight w:val="white"/>
          <w:rtl w:val="0"/>
        </w:rPr>
        <w:t xml:space="preserve">Several sectors are leading the AI revolution, each presenting unique investment opportunities: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3"/>
          <w:szCs w:val="23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3"/>
          <w:szCs w:val="23"/>
          <w:highlight w:val="white"/>
          <w:rtl w:val="0"/>
        </w:rPr>
        <w:t xml:space="preserve">Healthcare: AI-powered diagnostics and drug discovery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3"/>
          <w:szCs w:val="23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3"/>
          <w:szCs w:val="23"/>
          <w:highlight w:val="white"/>
          <w:rtl w:val="0"/>
        </w:rPr>
        <w:t xml:space="preserve">Financial Services: Algorithmic trading and risk assessment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3"/>
          <w:szCs w:val="23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3"/>
          <w:szCs w:val="23"/>
          <w:highlight w:val="white"/>
          <w:rtl w:val="0"/>
        </w:rPr>
        <w:t xml:space="preserve">Manufacturing: Smart factories and predictive maintenance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3"/>
          <w:szCs w:val="23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3"/>
          <w:szCs w:val="23"/>
          <w:highlight w:val="white"/>
          <w:rtl w:val="0"/>
        </w:rPr>
        <w:t xml:space="preserve">Transportation: Autonomous vehicles and logistics optimization</w:t>
      </w:r>
    </w:p>
    <w:p w:rsidR="00000000" w:rsidDel="00000000" w:rsidP="00000000" w:rsidRDefault="00000000" w:rsidRPr="00000000" w14:paraId="0000000B">
      <w:pPr>
        <w:jc w:val="center"/>
        <w:rPr>
          <w:rFonts w:ascii="Poppins" w:cs="Poppins" w:eastAsia="Poppins" w:hAnsi="Poppins"/>
          <w:sz w:val="23"/>
          <w:szCs w:val="23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3"/>
          <w:szCs w:val="23"/>
          <w:highlight w:val="white"/>
        </w:rPr>
        <w:drawing>
          <wp:inline distB="114300" distT="114300" distL="114300" distR="114300">
            <wp:extent cx="1508288" cy="466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0322" r="17511" t="29330"/>
                    <a:stretch>
                      <a:fillRect/>
                    </a:stretch>
                  </pic:blipFill>
                  <pic:spPr>
                    <a:xfrm>
                      <a:off x="0" y="0"/>
                      <a:ext cx="1508288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color w:val="000000"/>
        </w:rPr>
      </w:pPr>
      <w:bookmarkStart w:colFirst="0" w:colLast="0" w:name="_8dm1qcf4meh2" w:id="2"/>
      <w:bookmarkEnd w:id="2"/>
      <w:r w:rsidDel="00000000" w:rsidR="00000000" w:rsidRPr="00000000">
        <w:rPr>
          <w:color w:val="000000"/>
          <w:rtl w:val="0"/>
        </w:rPr>
        <w:t xml:space="preserve">Investment Strategies</w:t>
      </w:r>
    </w:p>
    <w:p w:rsidR="00000000" w:rsidDel="00000000" w:rsidP="00000000" w:rsidRDefault="00000000" w:rsidRPr="00000000" w14:paraId="0000000D">
      <w:pPr>
        <w:rPr>
          <w:rFonts w:ascii="Poppins" w:cs="Poppins" w:eastAsia="Poppins" w:hAnsi="Poppins"/>
          <w:sz w:val="23"/>
          <w:szCs w:val="23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3"/>
          <w:szCs w:val="23"/>
          <w:highlight w:val="white"/>
          <w:rtl w:val="0"/>
        </w:rPr>
        <w:t xml:space="preserve">When considering AI investments, it's crucial to evaluate both direct and indirect exposure opportunities: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3"/>
          <w:szCs w:val="23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3"/>
          <w:szCs w:val="23"/>
          <w:highlight w:val="white"/>
          <w:rtl w:val="0"/>
        </w:rPr>
        <w:t xml:space="preserve">Direct investments in AI-focused companies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3"/>
          <w:szCs w:val="23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3"/>
          <w:szCs w:val="23"/>
          <w:highlight w:val="white"/>
          <w:rtl w:val="0"/>
        </w:rPr>
        <w:t xml:space="preserve">ETFs specializing in technology and AI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3"/>
          <w:szCs w:val="23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3"/>
          <w:szCs w:val="23"/>
          <w:highlight w:val="white"/>
          <w:rtl w:val="0"/>
        </w:rPr>
        <w:t xml:space="preserve">Traditional companies implementing AI solutions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3"/>
          <w:szCs w:val="23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3"/>
          <w:szCs w:val="23"/>
          <w:highlight w:val="white"/>
          <w:rtl w:val="0"/>
        </w:rPr>
        <w:t xml:space="preserve">Infrastructure supporting AI development</w:t>
      </w:r>
    </w:p>
    <w:p w:rsidR="00000000" w:rsidDel="00000000" w:rsidP="00000000" w:rsidRDefault="00000000" w:rsidRPr="00000000" w14:paraId="00000012">
      <w:pPr>
        <w:rPr>
          <w:rFonts w:ascii="Poppins" w:cs="Poppins" w:eastAsia="Poppins" w:hAnsi="Poppins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