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pPr>
      <w:bookmarkStart w:colFirst="0" w:colLast="0" w:name="_u8uinodxk5av" w:id="0"/>
      <w:bookmarkEnd w:id="0"/>
      <w:r w:rsidDel="00000000" w:rsidR="00000000" w:rsidRPr="00000000">
        <w:rPr>
          <w:rtl w:val="0"/>
        </w:rPr>
        <w:t xml:space="preserve">Introduction</w:t>
      </w:r>
    </w:p>
    <w:p w:rsidR="00000000" w:rsidDel="00000000" w:rsidP="00000000" w:rsidRDefault="00000000" w:rsidRPr="00000000" w14:paraId="00000002">
      <w:pPr>
        <w:numPr>
          <w:ilvl w:val="0"/>
          <w:numId w:val="1"/>
        </w:numPr>
        <w:spacing w:after="0" w:afterAutospacing="0" w:before="240" w:lineRule="auto"/>
        <w:ind w:left="720" w:hanging="360"/>
        <w:rPr>
          <w:u w:val="none"/>
        </w:rPr>
      </w:pPr>
      <w:r w:rsidDel="00000000" w:rsidR="00000000" w:rsidRPr="00000000">
        <w:rPr>
          <w:b w:val="1"/>
          <w:rtl w:val="0"/>
        </w:rPr>
        <w:t xml:space="preserve">Title:</w:t>
      </w:r>
      <w:r w:rsidDel="00000000" w:rsidR="00000000" w:rsidRPr="00000000">
        <w:rPr>
          <w:rtl w:val="0"/>
        </w:rPr>
        <w:t xml:space="preserve"> Investing in AI: Key Trends Shaping the Future of Intelligent Capital in 2025</w:t>
      </w:r>
    </w:p>
    <w:p w:rsidR="00000000" w:rsidDel="00000000" w:rsidP="00000000" w:rsidRDefault="00000000" w:rsidRPr="00000000" w14:paraId="00000003">
      <w:pPr>
        <w:numPr>
          <w:ilvl w:val="0"/>
          <w:numId w:val="1"/>
        </w:numPr>
        <w:spacing w:after="0" w:afterAutospacing="0" w:before="0" w:beforeAutospacing="0" w:lineRule="auto"/>
        <w:ind w:left="720" w:hanging="360"/>
        <w:rPr>
          <w:u w:val="none"/>
        </w:rPr>
      </w:pPr>
      <w:r w:rsidDel="00000000" w:rsidR="00000000" w:rsidRPr="00000000">
        <w:rPr>
          <w:b w:val="1"/>
          <w:rtl w:val="0"/>
        </w:rPr>
        <w:t xml:space="preserve">Slug:</w:t>
      </w:r>
      <w:r w:rsidDel="00000000" w:rsidR="00000000" w:rsidRPr="00000000">
        <w:rPr>
          <w:rtl w:val="0"/>
        </w:rPr>
        <w:t xml:space="preserve"> investing-in-ai-key-trends-2025</w:t>
      </w:r>
    </w:p>
    <w:p w:rsidR="00000000" w:rsidDel="00000000" w:rsidP="00000000" w:rsidRDefault="00000000" w:rsidRPr="00000000" w14:paraId="00000004">
      <w:pPr>
        <w:numPr>
          <w:ilvl w:val="0"/>
          <w:numId w:val="1"/>
        </w:numPr>
        <w:spacing w:after="0" w:afterAutospacing="0" w:before="0" w:beforeAutospacing="0" w:lineRule="auto"/>
        <w:ind w:left="720" w:hanging="360"/>
        <w:rPr>
          <w:u w:val="none"/>
        </w:rPr>
      </w:pPr>
      <w:r w:rsidDel="00000000" w:rsidR="00000000" w:rsidRPr="00000000">
        <w:rPr>
          <w:b w:val="1"/>
          <w:rtl w:val="0"/>
        </w:rPr>
        <w:t xml:space="preserve">Category:</w:t>
      </w:r>
      <w:r w:rsidDel="00000000" w:rsidR="00000000" w:rsidRPr="00000000">
        <w:rPr>
          <w:rtl w:val="0"/>
        </w:rPr>
        <w:t xml:space="preserve"> Technology Trends</w:t>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b w:val="1"/>
          <w:rtl w:val="0"/>
        </w:rPr>
        <w:t xml:space="preserve">Tags:</w:t>
      </w:r>
      <w:r w:rsidDel="00000000" w:rsidR="00000000" w:rsidRPr="00000000">
        <w:rPr>
          <w:rtl w:val="0"/>
        </w:rPr>
        <w:t xml:space="preserve"> Artificial Intelligence, Startup Funding, Venture Capital, Market Trends, Innovation</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b w:val="1"/>
          <w:rtl w:val="0"/>
        </w:rPr>
        <w:t xml:space="preserve">Read Time:</w:t>
      </w:r>
      <w:r w:rsidDel="00000000" w:rsidR="00000000" w:rsidRPr="00000000">
        <w:rPr>
          <w:rtl w:val="0"/>
        </w:rPr>
        <w:t xml:space="preserve"> ~10 minutes (2000 words)</w:t>
      </w:r>
    </w:p>
    <w:p w:rsidR="00000000" w:rsidDel="00000000" w:rsidP="00000000" w:rsidRDefault="00000000" w:rsidRPr="00000000" w14:paraId="00000007">
      <w:pPr>
        <w:numPr>
          <w:ilvl w:val="0"/>
          <w:numId w:val="1"/>
        </w:numPr>
        <w:spacing w:after="240" w:before="0" w:beforeAutospacing="0" w:lineRule="auto"/>
        <w:ind w:left="720" w:hanging="360"/>
        <w:rPr>
          <w:u w:val="none"/>
        </w:rPr>
      </w:pPr>
      <w:r w:rsidDel="00000000" w:rsidR="00000000" w:rsidRPr="00000000">
        <w:rPr>
          <w:b w:val="1"/>
          <w:rtl w:val="0"/>
        </w:rPr>
        <w:t xml:space="preserve">Excerpt:</w:t>
      </w:r>
      <w:r w:rsidDel="00000000" w:rsidR="00000000" w:rsidRPr="00000000">
        <w:rPr>
          <w:rtl w:val="0"/>
        </w:rPr>
        <w:t xml:space="preserve"> Discover how artificial intelligence is transforming the investment landscape in 2025, driving innovation, funding, and intelligent capital deployment.</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pPr>
      <w:bookmarkStart w:colFirst="0" w:colLast="0" w:name="_n59d6skzvng7" w:id="1"/>
      <w:bookmarkEnd w:id="1"/>
      <w:r w:rsidDel="00000000" w:rsidR="00000000" w:rsidRPr="00000000">
        <w:rPr>
          <w:rtl w:val="0"/>
        </w:rPr>
        <w:t xml:space="preserve">Introduction</w:t>
      </w:r>
    </w:p>
    <w:p w:rsidR="00000000" w:rsidDel="00000000" w:rsidP="00000000" w:rsidRDefault="00000000" w:rsidRPr="00000000" w14:paraId="0000000A">
      <w:pPr>
        <w:spacing w:after="240" w:before="240" w:lineRule="auto"/>
        <w:rPr>
          <w:i w:val="1"/>
          <w:color w:val="ff0000"/>
        </w:rPr>
      </w:pPr>
      <w:r w:rsidDel="00000000" w:rsidR="00000000" w:rsidRPr="00000000">
        <w:rPr>
          <w:i w:val="1"/>
          <w:color w:val="ff0000"/>
          <w:rtl w:val="0"/>
        </w:rPr>
        <w:t xml:space="preserve">Artificial intelligence (AI) has rapidly evolved from a niche academic field to a foundational technology reshaping nearly every industry. As we step into 2025, investors, entrepreneurs, and financial professionals must understand the seismic shifts AI is causing across sectors—from healthcare and finance to manufacturing and logistics. The promise of AI is not just technological but deeply financial, opening new avenues for capital deployment, value creation, and risk management.</w:t>
      </w:r>
    </w:p>
    <w:p w:rsidR="00000000" w:rsidDel="00000000" w:rsidP="00000000" w:rsidRDefault="00000000" w:rsidRPr="00000000" w14:paraId="0000000B">
      <w:pPr>
        <w:spacing w:after="240" w:before="240" w:lineRule="auto"/>
        <w:rPr/>
      </w:pPr>
      <w:r w:rsidDel="00000000" w:rsidR="00000000" w:rsidRPr="00000000">
        <w:rPr>
          <w:rtl w:val="0"/>
        </w:rPr>
        <w:t xml:space="preserve">In this blog post, we explore the key investment trends in AI for 2025, the sectors poised for exponential growth, and the strategic imperatives for stakeholders navigating this high-stakes landscape. Whether you're a venture capitalist scouting the next AI unicorn, a startup founder seeking funding, or a financial advisor guiding clients through digital transformation, this guide provides deep, data-driven insights.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after="80" w:lineRule="auto"/>
        <w:rPr/>
      </w:pPr>
      <w:bookmarkStart w:colFirst="0" w:colLast="0" w:name="_9o1qu06nq7bo" w:id="2"/>
      <w:bookmarkEnd w:id="2"/>
      <w:r w:rsidDel="00000000" w:rsidR="00000000" w:rsidRPr="00000000">
        <w:rPr>
          <w:rtl w:val="0"/>
        </w:rPr>
        <w:t xml:space="preserve">1. AI Investment Momentum in 2025: Market Overview</w:t>
      </w:r>
    </w:p>
    <w:p w:rsidR="00000000" w:rsidDel="00000000" w:rsidP="00000000" w:rsidRDefault="00000000" w:rsidRPr="00000000" w14:paraId="0000000E">
      <w:pPr>
        <w:spacing w:after="240" w:before="240" w:lineRule="auto"/>
        <w:rPr/>
      </w:pPr>
      <w:r w:rsidDel="00000000" w:rsidR="00000000" w:rsidRPr="00000000">
        <w:rPr>
          <w:rtl w:val="0"/>
        </w:rPr>
        <w:t xml:space="preserve">According to PwC, the global AI market is projected to exceed $500 billion in 2025, growing at a CAGR of 35% since 2020. Venture capital funding in AI startups surpassed $120 billion globally in 2024, driven by breakthroughs in generative AI, natural language processing, and machine vision.</w:t>
      </w:r>
    </w:p>
    <w:p w:rsidR="00000000" w:rsidDel="00000000" w:rsidP="00000000" w:rsidRDefault="00000000" w:rsidRPr="00000000" w14:paraId="0000000F">
      <w:pPr>
        <w:spacing w:after="240" w:before="240" w:lineRule="auto"/>
        <w:rPr/>
      </w:pPr>
      <w:r w:rsidDel="00000000" w:rsidR="00000000" w:rsidRPr="00000000">
        <w:rPr>
          <w:rtl w:val="0"/>
        </w:rPr>
        <w:t xml:space="preserve">Key stats:</w:t>
      </w:r>
    </w:p>
    <w:p w:rsidR="00000000" w:rsidDel="00000000" w:rsidP="00000000" w:rsidRDefault="00000000" w:rsidRPr="00000000" w14:paraId="00000010">
      <w:pPr>
        <w:numPr>
          <w:ilvl w:val="0"/>
          <w:numId w:val="2"/>
        </w:numPr>
        <w:spacing w:after="0" w:afterAutospacing="0" w:before="240" w:lineRule="auto"/>
        <w:ind w:left="720" w:hanging="360"/>
        <w:rPr>
          <w:u w:val="none"/>
        </w:rPr>
      </w:pPr>
      <w:r w:rsidDel="00000000" w:rsidR="00000000" w:rsidRPr="00000000">
        <w:rPr>
          <w:rtl w:val="0"/>
        </w:rPr>
        <w:t xml:space="preserve">Over 60% of VC deals in 2024 had an AI component.</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rPr>
          <w:u w:val="none"/>
        </w:rPr>
      </w:pPr>
      <w:r w:rsidDel="00000000" w:rsidR="00000000" w:rsidRPr="00000000">
        <w:rPr>
          <w:rtl w:val="0"/>
        </w:rPr>
        <w:t xml:space="preserve">Generative AI companies alone attracted $42 billion in funding.</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r w:rsidDel="00000000" w:rsidR="00000000" w:rsidRPr="00000000">
        <w:rPr>
          <w:rtl w:val="0"/>
        </w:rPr>
        <w:t xml:space="preserve">Cd</w:t>
      </w:r>
    </w:p>
    <w:p w:rsidR="00000000" w:rsidDel="00000000" w:rsidP="00000000" w:rsidRDefault="00000000" w:rsidRPr="00000000" w14:paraId="00000013">
      <w:pPr>
        <w:numPr>
          <w:ilvl w:val="0"/>
          <w:numId w:val="2"/>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Rule="auto"/>
        <w:ind w:left="720" w:hanging="360"/>
        <w:rPr>
          <w:u w:val="none"/>
        </w:rPr>
      </w:pPr>
      <w:r w:rsidDel="00000000" w:rsidR="00000000" w:rsidRPr="00000000">
        <w:rPr>
          <w:rtl w:val="0"/>
        </w:rPr>
        <w:t xml:space="preserve">Cbdhsv</w:t>
      </w:r>
    </w:p>
    <w:p w:rsidR="00000000" w:rsidDel="00000000" w:rsidP="00000000" w:rsidRDefault="00000000" w:rsidRPr="00000000" w14:paraId="00000015">
      <w:pPr>
        <w:numPr>
          <w:ilvl w:val="0"/>
          <w:numId w:val="2"/>
        </w:numPr>
        <w:spacing w:after="240" w:before="0" w:beforeAutospacing="0" w:lineRule="auto"/>
        <w:ind w:left="720" w:hanging="360"/>
        <w:rPr>
          <w:u w:val="none"/>
        </w:rPr>
      </w:pPr>
      <w:r w:rsidDel="00000000" w:rsidR="00000000" w:rsidRPr="00000000">
        <w:rPr>
          <w:rtl w:val="0"/>
        </w:rPr>
        <w:t xml:space="preserve">Cdks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numPr>
          <w:ilvl w:val="0"/>
          <w:numId w:val="4"/>
        </w:numPr>
        <w:spacing w:after="0" w:afterAutospacing="0" w:before="240" w:lineRule="auto"/>
        <w:ind w:left="720" w:hanging="360"/>
        <w:rPr>
          <w:u w:val="none"/>
        </w:rPr>
      </w:pPr>
      <w:r w:rsidDel="00000000" w:rsidR="00000000" w:rsidRPr="00000000">
        <w:rPr>
          <w:rtl w:val="0"/>
        </w:rPr>
        <w:t xml:space="preserve">Ucdgshjb</w:t>
      </w:r>
    </w:p>
    <w:p w:rsidR="00000000" w:rsidDel="00000000" w:rsidP="00000000" w:rsidRDefault="00000000" w:rsidRPr="00000000" w14:paraId="00000018">
      <w:pPr>
        <w:numPr>
          <w:ilvl w:val="0"/>
          <w:numId w:val="4"/>
        </w:numPr>
        <w:spacing w:after="0" w:afterAutospacing="0" w:before="0" w:beforeAutospacing="0" w:lineRule="auto"/>
        <w:ind w:left="720" w:hanging="360"/>
        <w:rPr>
          <w:u w:val="none"/>
        </w:rPr>
      </w:pPr>
      <w:r w:rsidDel="00000000" w:rsidR="00000000" w:rsidRPr="00000000">
        <w:rPr>
          <w:rtl w:val="0"/>
        </w:rPr>
        <w:t xml:space="preserve">Chdbcb nsa</w:t>
      </w:r>
    </w:p>
    <w:p w:rsidR="00000000" w:rsidDel="00000000" w:rsidP="00000000" w:rsidRDefault="00000000" w:rsidRPr="00000000" w14:paraId="00000019">
      <w:pPr>
        <w:numPr>
          <w:ilvl w:val="0"/>
          <w:numId w:val="4"/>
        </w:numPr>
        <w:spacing w:after="0" w:afterAutospacing="0" w:before="0" w:beforeAutospacing="0" w:lineRule="auto"/>
        <w:ind w:left="720" w:hanging="360"/>
        <w:rPr>
          <w:u w:val="none"/>
        </w:rPr>
      </w:pPr>
      <w:r w:rsidDel="00000000" w:rsidR="00000000" w:rsidRPr="00000000">
        <w:rPr>
          <w:rtl w:val="0"/>
        </w:rPr>
        <w:t xml:space="preserve">Nj dsd zncma</w:t>
      </w:r>
    </w:p>
    <w:p w:rsidR="00000000" w:rsidDel="00000000" w:rsidP="00000000" w:rsidRDefault="00000000" w:rsidRPr="00000000" w14:paraId="0000001A">
      <w:pPr>
        <w:numPr>
          <w:ilvl w:val="0"/>
          <w:numId w:val="4"/>
        </w:numPr>
        <w:spacing w:after="0" w:afterAutospacing="0" w:before="0" w:beforeAutospacing="0" w:lineRule="auto"/>
        <w:ind w:left="720" w:hanging="360"/>
        <w:rPr>
          <w:u w:val="none"/>
        </w:rPr>
      </w:pPr>
      <w:r w:rsidDel="00000000" w:rsidR="00000000" w:rsidRPr="00000000">
        <w:rPr>
          <w:rtl w:val="0"/>
        </w:rPr>
        <w:t xml:space="preserve">Dvshzcb</w:t>
      </w:r>
    </w:p>
    <w:p w:rsidR="00000000" w:rsidDel="00000000" w:rsidP="00000000" w:rsidRDefault="00000000" w:rsidRPr="00000000" w14:paraId="0000001B">
      <w:pPr>
        <w:numPr>
          <w:ilvl w:val="0"/>
          <w:numId w:val="4"/>
        </w:numP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North America and Asia remain dominant hubs, but Europe is closing the gap with targeted investments.</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This investment momentum is powered by both technological maturity and massive enterprise adoption. AI is no longer experimental—it’s operational.</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tc072mdxt2qs" w:id="3"/>
      <w:bookmarkEnd w:id="3"/>
      <w:r w:rsidDel="00000000" w:rsidR="00000000" w:rsidRPr="00000000">
        <w:rPr>
          <w:b w:val="1"/>
          <w:sz w:val="34"/>
          <w:szCs w:val="34"/>
          <w:rtl w:val="0"/>
        </w:rPr>
        <w:t xml:space="preserve">2. Hot Sectors: Where AI is Driving Investment Value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q97cj6mvg3de" w:id="4"/>
      <w:bookmarkEnd w:id="4"/>
      <w:r w:rsidDel="00000000" w:rsidR="00000000" w:rsidRPr="00000000">
        <w:rPr>
          <w:b w:val="1"/>
          <w:color w:val="000000"/>
          <w:sz w:val="26"/>
          <w:szCs w:val="26"/>
          <w:rtl w:val="0"/>
        </w:rPr>
        <w:t xml:space="preserve">a. Healthcare</w:t>
      </w:r>
    </w:p>
    <w:p w:rsidR="00000000" w:rsidDel="00000000" w:rsidP="00000000" w:rsidRDefault="00000000" w:rsidRPr="00000000" w14:paraId="00000021">
      <w:pPr>
        <w:spacing w:after="240" w:before="240" w:lineRule="auto"/>
        <w:rPr/>
      </w:pPr>
      <w:r w:rsidDel="00000000" w:rsidR="00000000" w:rsidRPr="00000000">
        <w:rPr>
          <w:rtl w:val="0"/>
        </w:rPr>
        <w:t xml:space="preserve">AI is transforming diagnostics, drug discovery, and patient engagement. Startups like Tempus, PathAI, and Owkin are using AI to personalize care and improve clinical outcomes. Investment in AI-healthcare startups grew 2.5x YoY in 2024.</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pxskwf890nka" w:id="5"/>
      <w:bookmarkEnd w:id="5"/>
      <w:r w:rsidDel="00000000" w:rsidR="00000000" w:rsidRPr="00000000">
        <w:rPr>
          <w:b w:val="1"/>
          <w:color w:val="000000"/>
          <w:sz w:val="26"/>
          <w:szCs w:val="26"/>
          <w:rtl w:val="0"/>
        </w:rPr>
        <w:t xml:space="preserve">b. Fintech</w:t>
      </w:r>
    </w:p>
    <w:p w:rsidR="00000000" w:rsidDel="00000000" w:rsidP="00000000" w:rsidRDefault="00000000" w:rsidRPr="00000000" w14:paraId="00000023">
      <w:pPr>
        <w:spacing w:after="240" w:before="240" w:lineRule="auto"/>
        <w:rPr/>
      </w:pPr>
      <w:r w:rsidDel="00000000" w:rsidR="00000000" w:rsidRPr="00000000">
        <w:rPr>
          <w:rtl w:val="0"/>
        </w:rPr>
        <w:t xml:space="preserve">From fraud detection to robo-advisors, AI is enhancing decision-making in finance. Companies like Upstart and Zest AI are leveraging machine learning for credit scoring, while trading platforms use AI for real-time sentiment analysis.</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2428875" cy="1981200"/>
            <wp:effectExtent b="0" l="0" r="0" t="0"/>
            <wp:docPr id="1" name="image1.png"/>
            <a:graphic>
              <a:graphicData uri="http://schemas.openxmlformats.org/drawingml/2006/picture">
                <pic:pic>
                  <pic:nvPicPr>
                    <pic:cNvPr id="0" name="image1.png"/>
                    <pic:cNvPicPr preferRelativeResize="0"/>
                  </pic:nvPicPr>
                  <pic:blipFill>
                    <a:blip r:embed="rId6"/>
                    <a:srcRect b="0" l="0" r="16393" t="0"/>
                    <a:stretch>
                      <a:fillRect/>
                    </a:stretch>
                  </pic:blipFill>
                  <pic:spPr>
                    <a:xfrm>
                      <a:off x="0" y="0"/>
                      <a:ext cx="2428875" cy="19812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28875" cy="1981200"/>
            <wp:effectExtent b="0" l="0" r="0" t="0"/>
            <wp:docPr id="2" name="image1.png"/>
            <a:graphic>
              <a:graphicData uri="http://schemas.openxmlformats.org/drawingml/2006/picture">
                <pic:pic>
                  <pic:nvPicPr>
                    <pic:cNvPr id="0" name="image1.png"/>
                    <pic:cNvPicPr preferRelativeResize="0"/>
                  </pic:nvPicPr>
                  <pic:blipFill>
                    <a:blip r:embed="rId6"/>
                    <a:srcRect b="0" l="0" r="16393" t="0"/>
                    <a:stretch>
                      <a:fillRect/>
                    </a:stretch>
                  </pic:blipFill>
                  <pic:spPr>
                    <a:xfrm>
                      <a:off x="0" y="0"/>
                      <a:ext cx="24288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t61rhdm97eb" w:id="6"/>
      <w:bookmarkEnd w:id="6"/>
      <w:r w:rsidDel="00000000" w:rsidR="00000000" w:rsidRPr="00000000">
        <w:rPr>
          <w:b w:val="1"/>
          <w:color w:val="000000"/>
          <w:sz w:val="26"/>
          <w:szCs w:val="26"/>
          <w:rtl w:val="0"/>
        </w:rPr>
        <w:t xml:space="preserve">c. Enterprise Automation</w:t>
      </w:r>
    </w:p>
    <w:p w:rsidR="00000000" w:rsidDel="00000000" w:rsidP="00000000" w:rsidRDefault="00000000" w:rsidRPr="00000000" w14:paraId="00000026">
      <w:pPr>
        <w:spacing w:after="240" w:before="240" w:lineRule="auto"/>
        <w:rPr/>
      </w:pPr>
      <w:r w:rsidDel="00000000" w:rsidR="00000000" w:rsidRPr="00000000">
        <w:rPr>
          <w:rtl w:val="0"/>
        </w:rPr>
        <w:t xml:space="preserve">AI-driven process automation is unlocking billions in efficiency gains. Firms like UiPath and Automation Anywhere are leading the way, with enterprises adopting AI for everything from HR onboarding to invoice processing.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q3d766uzhd" w:id="7"/>
      <w:bookmarkEnd w:id="7"/>
      <w:r w:rsidDel="00000000" w:rsidR="00000000" w:rsidRPr="00000000">
        <w:rPr>
          <w:b w:val="1"/>
          <w:color w:val="000000"/>
          <w:sz w:val="26"/>
          <w:szCs w:val="26"/>
          <w:rtl w:val="0"/>
        </w:rPr>
        <w:t xml:space="preserve">d. Cybersecurity</w:t>
      </w:r>
    </w:p>
    <w:p w:rsidR="00000000" w:rsidDel="00000000" w:rsidP="00000000" w:rsidRDefault="00000000" w:rsidRPr="00000000" w14:paraId="00000028">
      <w:pPr>
        <w:spacing w:after="240" w:before="240" w:lineRule="auto"/>
        <w:rPr/>
      </w:pPr>
      <w:r w:rsidDel="00000000" w:rsidR="00000000" w:rsidRPr="00000000">
        <w:rPr>
          <w:rtl w:val="0"/>
        </w:rPr>
        <w:t xml:space="preserve">As threats evolve, AI is essential for real-time threat detection. Startups using AI for predictive security analytics raised over $7 billion in 2024 alone.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