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As we navigate through 2025, artificial intelligence continues to reshape the investment landscape, presenting unprecedented opportunities for investors across the globe.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hqk3m249lsl" w:id="0"/>
      <w:bookmarkEnd w:id="0"/>
      <w:r w:rsidDel="00000000" w:rsidR="00000000" w:rsidRPr="00000000">
        <w:rPr>
          <w:rtl w:val="0"/>
        </w:rPr>
        <w:t xml:space="preserve">The Evolution of AI Investments</w:t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The AI industry has witnessed exponential growth over the past decade, with global investments reaching $500 billion in 2025. This surge is driven by breakthrough advancements in machine learning, natural language processing, and autonomous systems.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23"/>
          <w:szCs w:val="23"/>
          <w:highlight w:val="white"/>
          <w:rtl w:val="0"/>
        </w:rPr>
        <w:t xml:space="preserve">AI is not just changing how we invest; it's transforming what we invest in. The opportunities are boundless for those who understand the technology's potential.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color w:val="000000"/>
        </w:rPr>
      </w:pPr>
      <w:bookmarkStart w:colFirst="0" w:colLast="0" w:name="_spqei3150n8a" w:id="1"/>
      <w:bookmarkEnd w:id="1"/>
      <w:r w:rsidDel="00000000" w:rsidR="00000000" w:rsidRPr="00000000">
        <w:rPr>
          <w:color w:val="000000"/>
          <w:rtl w:val="0"/>
        </w:rPr>
        <w:t xml:space="preserve">Key Investment Sectors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Several sectors are leading the AI revolution, each presenting unique investment opportunities: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Healthcare: AI-powered diagnostics and drug discovery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Financial Services: Algorithmic trading and risk assessment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Manufacturing: Smart factories and predictive maintenance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Transportation: Autonomous vehicles and logistics optimization</w:t>
      </w:r>
    </w:p>
    <w:p w:rsidR="00000000" w:rsidDel="00000000" w:rsidP="00000000" w:rsidRDefault="00000000" w:rsidRPr="00000000" w14:paraId="0000000B">
      <w:pPr>
        <w:pStyle w:val="Heading3"/>
        <w:rPr>
          <w:color w:val="000000"/>
        </w:rPr>
      </w:pPr>
      <w:bookmarkStart w:colFirst="0" w:colLast="0" w:name="_8dm1qcf4meh2" w:id="2"/>
      <w:bookmarkEnd w:id="2"/>
      <w:r w:rsidDel="00000000" w:rsidR="00000000" w:rsidRPr="00000000">
        <w:rPr>
          <w:color w:val="000000"/>
          <w:rtl w:val="0"/>
        </w:rPr>
        <w:t xml:space="preserve">Investment Strategies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When considering AI investments, it's crucial to evaluate both direct and indirect exposure opportunities: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Direct investments in AI-focused companies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ETFs specializing in technology and AI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Traditional companies implementing AI solutions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Infrastructure supporting AI development</w:t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