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650" w:rsidRDefault="00507650" w:rsidP="00507650">
      <w:pPr>
        <w:shd w:val="clear" w:color="auto" w:fill="FFFFFF"/>
        <w:spacing w:after="0" w:line="240" w:lineRule="auto"/>
        <w:jc w:val="center"/>
        <w:outlineLvl w:val="0"/>
        <w:rPr>
          <w:rFonts w:ascii="Arial Narrow" w:eastAsia="Times New Roman" w:hAnsi="Arial Narrow" w:cs="Times New Roman"/>
          <w:b/>
          <w:bCs/>
          <w:caps/>
          <w:color w:val="16163D"/>
          <w:spacing w:val="15"/>
          <w:kern w:val="36"/>
          <w:sz w:val="32"/>
          <w:szCs w:val="32"/>
        </w:rPr>
      </w:pPr>
      <w:r>
        <w:rPr>
          <w:rFonts w:ascii="Arial Narrow" w:eastAsia="Times New Roman" w:hAnsi="Arial Narrow" w:cs="Times New Roman"/>
          <w:b/>
          <w:bCs/>
          <w:caps/>
          <w:color w:val="16163D"/>
          <w:spacing w:val="15"/>
          <w:kern w:val="36"/>
          <w:sz w:val="32"/>
          <w:szCs w:val="32"/>
        </w:rPr>
        <w:fldChar w:fldCharType="begin"/>
      </w:r>
      <w:r>
        <w:rPr>
          <w:rFonts w:ascii="Arial Narrow" w:eastAsia="Times New Roman" w:hAnsi="Arial Narrow" w:cs="Times New Roman"/>
          <w:b/>
          <w:bCs/>
          <w:caps/>
          <w:color w:val="16163D"/>
          <w:spacing w:val="15"/>
          <w:kern w:val="36"/>
          <w:sz w:val="32"/>
          <w:szCs w:val="32"/>
        </w:rPr>
        <w:instrText xml:space="preserve"> HYPERLINK "http://fuller.edu/Blogs/Global-Reflections/Posts/Different-Pools,-Different-Fish--The-Mistake-of--One-Size-Fits-All--Solutions-to-the-Challenge-of-Effective-Outreach-Among-Muslims/" </w:instrText>
      </w:r>
      <w:r>
        <w:rPr>
          <w:rFonts w:ascii="Arial Narrow" w:eastAsia="Times New Roman" w:hAnsi="Arial Narrow" w:cs="Times New Roman"/>
          <w:b/>
          <w:bCs/>
          <w:caps/>
          <w:color w:val="16163D"/>
          <w:spacing w:val="15"/>
          <w:kern w:val="36"/>
          <w:sz w:val="32"/>
          <w:szCs w:val="32"/>
        </w:rPr>
      </w:r>
      <w:r>
        <w:rPr>
          <w:rFonts w:ascii="Arial Narrow" w:eastAsia="Times New Roman" w:hAnsi="Arial Narrow" w:cs="Times New Roman"/>
          <w:b/>
          <w:bCs/>
          <w:caps/>
          <w:color w:val="16163D"/>
          <w:spacing w:val="15"/>
          <w:kern w:val="36"/>
          <w:sz w:val="32"/>
          <w:szCs w:val="32"/>
        </w:rPr>
        <w:fldChar w:fldCharType="separate"/>
      </w:r>
      <w:r w:rsidRPr="00507650">
        <w:rPr>
          <w:rStyle w:val="Hyperlink"/>
          <w:rFonts w:ascii="Arial Narrow" w:eastAsia="Times New Roman" w:hAnsi="Arial Narrow" w:cs="Times New Roman"/>
          <w:b/>
          <w:bCs/>
          <w:caps/>
          <w:spacing w:val="15"/>
          <w:kern w:val="36"/>
          <w:sz w:val="32"/>
          <w:szCs w:val="32"/>
        </w:rPr>
        <w:t>DIFFERENT POOLS, DIFFERENT FISH</w:t>
      </w:r>
      <w:r>
        <w:rPr>
          <w:rFonts w:ascii="Arial Narrow" w:eastAsia="Times New Roman" w:hAnsi="Arial Narrow" w:cs="Times New Roman"/>
          <w:b/>
          <w:bCs/>
          <w:caps/>
          <w:color w:val="16163D"/>
          <w:spacing w:val="15"/>
          <w:kern w:val="36"/>
          <w:sz w:val="32"/>
          <w:szCs w:val="32"/>
        </w:rPr>
        <w:fldChar w:fldCharType="end"/>
      </w:r>
      <w:r w:rsidRPr="00507650">
        <w:rPr>
          <w:rFonts w:ascii="Arial Narrow" w:eastAsia="Times New Roman" w:hAnsi="Arial Narrow" w:cs="Times New Roman"/>
          <w:b/>
          <w:bCs/>
          <w:caps/>
          <w:color w:val="16163D"/>
          <w:spacing w:val="15"/>
          <w:kern w:val="36"/>
          <w:sz w:val="32"/>
          <w:szCs w:val="32"/>
        </w:rPr>
        <w:t>:</w:t>
      </w:r>
    </w:p>
    <w:p w:rsidR="00507650" w:rsidRPr="00507650" w:rsidRDefault="00507650" w:rsidP="00507650">
      <w:pPr>
        <w:shd w:val="clear" w:color="auto" w:fill="FFFFFF"/>
        <w:spacing w:after="0" w:line="240" w:lineRule="auto"/>
        <w:jc w:val="center"/>
        <w:outlineLvl w:val="0"/>
        <w:rPr>
          <w:rFonts w:ascii="Arial Narrow" w:eastAsia="Times New Roman" w:hAnsi="Arial Narrow" w:cs="Times New Roman"/>
          <w:b/>
          <w:bCs/>
          <w:caps/>
          <w:color w:val="16163D"/>
          <w:spacing w:val="15"/>
          <w:kern w:val="36"/>
          <w:sz w:val="32"/>
          <w:szCs w:val="32"/>
        </w:rPr>
      </w:pPr>
      <w:r w:rsidRPr="00507650">
        <w:rPr>
          <w:rFonts w:ascii="Arial Narrow" w:eastAsia="Times New Roman" w:hAnsi="Arial Narrow" w:cs="Times New Roman"/>
          <w:b/>
          <w:bCs/>
          <w:caps/>
          <w:color w:val="16163D"/>
          <w:spacing w:val="15"/>
          <w:kern w:val="36"/>
          <w:sz w:val="32"/>
          <w:szCs w:val="32"/>
        </w:rPr>
        <w:t>THE MISTAKE OF “ONE SIZE FITS ALL” SOLUTIONS TO THE CHALLENGE OF EFFECTIVE OUTREACH AMONG MUSLIMS</w:t>
      </w:r>
    </w:p>
    <w:p w:rsidR="00507650" w:rsidRPr="00507650" w:rsidRDefault="00507650" w:rsidP="00507650">
      <w:pPr>
        <w:shd w:val="clear" w:color="auto" w:fill="FFFFFF"/>
        <w:spacing w:after="0" w:line="240" w:lineRule="auto"/>
        <w:jc w:val="center"/>
        <w:rPr>
          <w:rFonts w:ascii="Helvetica" w:eastAsia="Times New Roman" w:hAnsi="Helvetica" w:cs="Helvetica"/>
          <w:color w:val="16163D"/>
          <w:sz w:val="24"/>
          <w:szCs w:val="24"/>
        </w:rPr>
      </w:pPr>
      <w:proofErr w:type="gramStart"/>
      <w:r w:rsidRPr="00507650">
        <w:rPr>
          <w:rFonts w:ascii="Helvetica" w:eastAsia="Times New Roman" w:hAnsi="Helvetica" w:cs="Helvetica"/>
          <w:color w:val="16163D"/>
          <w:sz w:val="24"/>
          <w:szCs w:val="24"/>
        </w:rPr>
        <w:t>by</w:t>
      </w:r>
      <w:proofErr w:type="gramEnd"/>
      <w:r w:rsidRPr="00507650">
        <w:rPr>
          <w:rFonts w:ascii="Helvetica" w:eastAsia="Times New Roman" w:hAnsi="Helvetica" w:cs="Helvetica"/>
          <w:color w:val="16163D"/>
          <w:sz w:val="24"/>
          <w:szCs w:val="24"/>
        </w:rPr>
        <w:t xml:space="preserve"> L. D. Waterman</w:t>
      </w:r>
    </w:p>
    <w:p w:rsidR="00507650" w:rsidRPr="00B07112" w:rsidRDefault="00507650" w:rsidP="00507650">
      <w:pPr>
        <w:spacing w:after="0" w:line="240" w:lineRule="auto"/>
        <w:jc w:val="center"/>
        <w:rPr>
          <w:rFonts w:ascii="Helvetica" w:eastAsia="Times New Roman" w:hAnsi="Helvetica" w:cs="Helvetica"/>
          <w:caps/>
          <w:sz w:val="24"/>
          <w:szCs w:val="24"/>
          <w:shd w:val="clear" w:color="auto" w:fill="FFFFFF"/>
        </w:rPr>
      </w:pPr>
      <w:r w:rsidRPr="00B07112">
        <w:rPr>
          <w:rFonts w:ascii="Helvetica" w:eastAsia="Times New Roman" w:hAnsi="Helvetica" w:cs="Helvetica"/>
          <w:caps/>
          <w:sz w:val="24"/>
          <w:szCs w:val="24"/>
          <w:shd w:val="clear" w:color="auto" w:fill="FFFFFF"/>
        </w:rPr>
        <w:t>1/18/</w:t>
      </w:r>
      <w:r w:rsidR="00B07112">
        <w:rPr>
          <w:rFonts w:ascii="Helvetica" w:eastAsia="Times New Roman" w:hAnsi="Helvetica" w:cs="Helvetica"/>
          <w:caps/>
          <w:sz w:val="24"/>
          <w:szCs w:val="24"/>
          <w:shd w:val="clear" w:color="auto" w:fill="FFFFFF"/>
        </w:rPr>
        <w:t>20</w:t>
      </w:r>
      <w:bookmarkStart w:id="0" w:name="_GoBack"/>
      <w:bookmarkEnd w:id="0"/>
      <w:r w:rsidRPr="00B07112">
        <w:rPr>
          <w:rFonts w:ascii="Helvetica" w:eastAsia="Times New Roman" w:hAnsi="Helvetica" w:cs="Helvetica"/>
          <w:caps/>
          <w:sz w:val="24"/>
          <w:szCs w:val="24"/>
          <w:shd w:val="clear" w:color="auto" w:fill="FFFFFF"/>
        </w:rPr>
        <w:t>17</w:t>
      </w:r>
    </w:p>
    <w:p w:rsidR="00507650" w:rsidRPr="00507650" w:rsidRDefault="00507650" w:rsidP="00507650">
      <w:pPr>
        <w:spacing w:after="0" w:line="240" w:lineRule="auto"/>
        <w:rPr>
          <w:rFonts w:ascii="Times New Roman" w:eastAsia="Times New Roman" w:hAnsi="Times New Roman" w:cs="Times New Roman"/>
          <w:sz w:val="24"/>
          <w:szCs w:val="24"/>
        </w:rPr>
      </w:pPr>
    </w:p>
    <w:p w:rsidR="00507650" w:rsidRPr="00507650" w:rsidRDefault="00507650" w:rsidP="00507650">
      <w:pPr>
        <w:shd w:val="clear" w:color="auto" w:fill="FFFFFF"/>
        <w:spacing w:after="360" w:line="240" w:lineRule="auto"/>
        <w:rPr>
          <w:rFonts w:ascii="Helvetica" w:eastAsia="Times New Roman" w:hAnsi="Helvetica" w:cs="Helvetica"/>
          <w:color w:val="676767"/>
          <w:sz w:val="24"/>
          <w:szCs w:val="24"/>
        </w:rPr>
      </w:pPr>
      <w:r w:rsidRPr="00507650">
        <w:rPr>
          <w:rFonts w:ascii="Helvetica" w:eastAsia="Times New Roman" w:hAnsi="Helvetica" w:cs="Helvetica"/>
          <w:color w:val="676767"/>
          <w:sz w:val="24"/>
          <w:szCs w:val="24"/>
        </w:rPr>
        <w:t>“Different fields have different grasshoppers; different pools have different fish.” The wisdom of this Indonesian proverb has often been missed in discussions about Islam and how best to present a useful gospel witness to Muslims. Even many people wholeheartedly committed to reaching Muslims have made the mistake of treating Islam as a monolithic system and proposing “one size fits all” solutions to the challenge of effective outreach among Muslims.</w:t>
      </w:r>
    </w:p>
    <w:p w:rsidR="00507650" w:rsidRDefault="00507650" w:rsidP="00507650">
      <w:pPr>
        <w:shd w:val="clear" w:color="auto" w:fill="FFFFFF"/>
        <w:spacing w:after="0" w:line="240" w:lineRule="auto"/>
        <w:jc w:val="both"/>
        <w:rPr>
          <w:rFonts w:ascii="Helvetica" w:eastAsia="Times New Roman" w:hAnsi="Helvetica" w:cs="Helvetica"/>
          <w:color w:val="676767"/>
          <w:sz w:val="24"/>
          <w:szCs w:val="24"/>
        </w:rPr>
      </w:pPr>
      <w:r w:rsidRPr="00507650">
        <w:rPr>
          <w:rFonts w:ascii="Helvetica" w:eastAsia="Times New Roman" w:hAnsi="Helvetica" w:cs="Helvetica"/>
          <w:noProof/>
          <w:color w:val="676767"/>
          <w:sz w:val="24"/>
          <w:szCs w:val="24"/>
        </w:rPr>
        <mc:AlternateContent>
          <mc:Choice Requires="wps">
            <w:drawing>
              <wp:inline distT="0" distB="0" distL="0" distR="0" wp14:anchorId="7DA8BECF" wp14:editId="4DAD173D">
                <wp:extent cx="2896870" cy="2398395"/>
                <wp:effectExtent l="0" t="0" r="0" b="19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6870" cy="2398395"/>
                        </a:xfrm>
                        <a:prstGeom prst="rect">
                          <a:avLst/>
                        </a:prstGeom>
                        <a:solidFill>
                          <a:srgbClr val="FFFFFF"/>
                        </a:solidFill>
                        <a:ln w="9525">
                          <a:noFill/>
                          <a:miter lim="800000"/>
                          <a:headEnd/>
                          <a:tailEnd/>
                        </a:ln>
                      </wps:spPr>
                      <wps:txbx>
                        <w:txbxContent>
                          <w:p w:rsidR="00507650" w:rsidRPr="00507650" w:rsidRDefault="00507650" w:rsidP="00507650">
                            <w:pPr>
                              <w:shd w:val="clear" w:color="auto" w:fill="FFFFFF"/>
                              <w:spacing w:after="360" w:line="240" w:lineRule="auto"/>
                              <w:rPr>
                                <w:rFonts w:ascii="Helvetica" w:eastAsia="Times New Roman" w:hAnsi="Helvetica" w:cs="Helvetica"/>
                                <w:color w:val="676767"/>
                                <w:sz w:val="24"/>
                                <w:szCs w:val="24"/>
                              </w:rPr>
                            </w:pPr>
                            <w:r w:rsidRPr="00507650">
                              <w:rPr>
                                <w:rFonts w:ascii="Helvetica" w:eastAsia="Times New Roman" w:hAnsi="Helvetica" w:cs="Helvetica"/>
                                <w:color w:val="676767"/>
                                <w:sz w:val="24"/>
                                <w:szCs w:val="24"/>
                              </w:rPr>
                              <w:t>In the </w:t>
                            </w:r>
                            <w:hyperlink r:id="rId4" w:tgtFrame="_blank" w:history="1">
                              <w:r w:rsidRPr="00507650">
                                <w:rPr>
                                  <w:rFonts w:ascii="Helvetica" w:eastAsia="Times New Roman" w:hAnsi="Helvetica" w:cs="Helvetica"/>
                                  <w:b/>
                                  <w:bCs/>
                                  <w:color w:val="4472C4" w:themeColor="accent5"/>
                                  <w:sz w:val="24"/>
                                  <w:szCs w:val="24"/>
                                </w:rPr>
                                <w:t>Bridging the Divide</w:t>
                              </w:r>
                            </w:hyperlink>
                            <w:r w:rsidRPr="00507650">
                              <w:rPr>
                                <w:rFonts w:ascii="Helvetica" w:eastAsia="Times New Roman" w:hAnsi="Helvetica" w:cs="Helvetica"/>
                                <w:color w:val="676767"/>
                                <w:sz w:val="24"/>
                                <w:szCs w:val="24"/>
                              </w:rPr>
                              <w:t> network, through numerous case studies from scholar-practitioners with a wide range of perspectives and experiences, we have learned of the incredible diversity of contexts within “the Muslim world.” We have noted not only differences of social and political contexts, but also of diverse spiritual alignments and experiences among Muslims. Within these very different contexts, God is working in a variety of creative ways to shine the light of the gospel.</w:t>
                            </w:r>
                          </w:p>
                          <w:p w:rsidR="00507650" w:rsidRDefault="00507650" w:rsidP="00507650"/>
                        </w:txbxContent>
                      </wps:txbx>
                      <wps:bodyPr rot="0" vert="horz" wrap="square" lIns="91440" tIns="45720" rIns="91440" bIns="45720" anchor="t" anchorCtr="0">
                        <a:noAutofit/>
                      </wps:bodyPr>
                    </wps:wsp>
                  </a:graphicData>
                </a:graphic>
              </wp:inline>
            </w:drawing>
          </mc:Choice>
          <mc:Fallback>
            <w:pict>
              <v:shapetype w14:anchorId="7DA8BECF" id="_x0000_t202" coordsize="21600,21600" o:spt="202" path="m,l,21600r21600,l21600,xe">
                <v:stroke joinstyle="miter"/>
                <v:path gradientshapeok="t" o:connecttype="rect"/>
              </v:shapetype>
              <v:shape id="Text Box 2" o:spid="_x0000_s1026" type="#_x0000_t202" style="width:228.1pt;height:18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" stroked="f">
                <v:textbox>
                  <w:txbxContent>
                    <w:p w:rsidR="00507650" w:rsidRPr="00507650" w:rsidRDefault="00507650" w:rsidP="00507650">
                      <w:pPr>
                        <w:shd w:val="clear" w:color="auto" w:fill="FFFFFF"/>
                        <w:spacing w:after="360" w:line="240" w:lineRule="auto"/>
                        <w:rPr>
                          <w:rFonts w:ascii="Helvetica" w:eastAsia="Times New Roman" w:hAnsi="Helvetica" w:cs="Helvetica"/>
                          <w:color w:val="676767"/>
                          <w:sz w:val="24"/>
                          <w:szCs w:val="24"/>
                        </w:rPr>
                      </w:pPr>
                      <w:r w:rsidRPr="00507650">
                        <w:rPr>
                          <w:rFonts w:ascii="Helvetica" w:eastAsia="Times New Roman" w:hAnsi="Helvetica" w:cs="Helvetica"/>
                          <w:color w:val="676767"/>
                          <w:sz w:val="24"/>
                          <w:szCs w:val="24"/>
                        </w:rPr>
                        <w:t>In the </w:t>
                      </w:r>
                      <w:hyperlink r:id="rId5" w:tgtFrame="_blank" w:history="1">
                        <w:r w:rsidRPr="00507650">
                          <w:rPr>
                            <w:rFonts w:ascii="Helvetica" w:eastAsia="Times New Roman" w:hAnsi="Helvetica" w:cs="Helvetica"/>
                            <w:b/>
                            <w:bCs/>
                            <w:color w:val="4472C4" w:themeColor="accent5"/>
                            <w:sz w:val="24"/>
                            <w:szCs w:val="24"/>
                          </w:rPr>
                          <w:t>Bridging the Divide</w:t>
                        </w:r>
                      </w:hyperlink>
                      <w:r w:rsidRPr="00507650">
                        <w:rPr>
                          <w:rFonts w:ascii="Helvetica" w:eastAsia="Times New Roman" w:hAnsi="Helvetica" w:cs="Helvetica"/>
                          <w:color w:val="676767"/>
                          <w:sz w:val="24"/>
                          <w:szCs w:val="24"/>
                        </w:rPr>
                        <w:t> network, through numerous case studies from scholar-practitioners with a wide range of perspectives and experiences, we have learned of the incredible diversity of contexts within “the Muslim world.” We have noted not only differences of social and political contexts, but also of diverse spiritual alignments and experiences among Muslims. Within these very different contexts, God is working in a variety of creative ways to shine the light of the gospel.</w:t>
                      </w:r>
                    </w:p>
                    <w:p w:rsidR="00507650" w:rsidRDefault="00507650" w:rsidP="00507650"/>
                  </w:txbxContent>
                </v:textbox>
                <w10:anchorlock/>
              </v:shape>
            </w:pict>
          </mc:Fallback>
        </mc:AlternateContent>
      </w:r>
      <w:r w:rsidRPr="00507650">
        <w:rPr>
          <w:rFonts w:ascii="Helvetica" w:eastAsia="Times New Roman" w:hAnsi="Helvetica" w:cs="Helvetica"/>
          <w:noProof/>
          <w:color w:val="676767"/>
          <w:sz w:val="24"/>
          <w:szCs w:val="24"/>
        </w:rPr>
        <w:drawing>
          <wp:inline distT="0" distB="0" distL="0" distR="0">
            <wp:extent cx="2826801" cy="2353992"/>
            <wp:effectExtent l="0" t="0" r="0" b="8255"/>
            <wp:docPr id="2" name="Picture 2" descr="https://lh6.googleusercontent.com/7zRknjuHaD-5mjoUd3sfPe1ARV6uEwR9Paamxt74OD3a8YoqI7k9n46E4Yh8kTrQq8MzZ7v3SGSoGXVr0Fy4htqVCVjBe9lQN6E6ld3H5I5KtzFPY7TWXGbMHKMXVSD6k19Ym5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7zRknjuHaD-5mjoUd3sfPe1ARV6uEwR9Paamxt74OD3a8YoqI7k9n46E4Yh8kTrQq8MzZ7v3SGSoGXVr0Fy4htqVCVjBe9lQN6E6ld3H5I5KtzFPY7TWXGbMHKMXVSD6k19Ym5U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38395" cy="2363647"/>
                    </a:xfrm>
                    <a:prstGeom prst="rect">
                      <a:avLst/>
                    </a:prstGeom>
                    <a:noFill/>
                    <a:ln>
                      <a:noFill/>
                    </a:ln>
                  </pic:spPr>
                </pic:pic>
              </a:graphicData>
            </a:graphic>
          </wp:inline>
        </w:drawing>
      </w:r>
    </w:p>
    <w:p w:rsidR="00507650" w:rsidRPr="00507650" w:rsidRDefault="00507650" w:rsidP="00507650">
      <w:pPr>
        <w:shd w:val="clear" w:color="auto" w:fill="FFFFFF"/>
        <w:spacing w:after="0" w:line="240" w:lineRule="auto"/>
        <w:jc w:val="both"/>
        <w:rPr>
          <w:rFonts w:ascii="Helvetica" w:eastAsia="Times New Roman" w:hAnsi="Helvetica" w:cs="Helvetica"/>
          <w:color w:val="676767"/>
          <w:sz w:val="24"/>
          <w:szCs w:val="24"/>
        </w:rPr>
      </w:pPr>
    </w:p>
    <w:p w:rsidR="00507650" w:rsidRPr="00507650" w:rsidRDefault="00507650" w:rsidP="00507650">
      <w:pPr>
        <w:shd w:val="clear" w:color="auto" w:fill="FFFFFF"/>
        <w:spacing w:after="360" w:line="240" w:lineRule="auto"/>
        <w:rPr>
          <w:rFonts w:ascii="Helvetica" w:eastAsia="Times New Roman" w:hAnsi="Helvetica" w:cs="Helvetica"/>
          <w:color w:val="676767"/>
          <w:sz w:val="24"/>
          <w:szCs w:val="24"/>
        </w:rPr>
      </w:pPr>
      <w:r w:rsidRPr="00507650">
        <w:rPr>
          <w:rFonts w:ascii="Helvetica" w:eastAsia="Times New Roman" w:hAnsi="Helvetica" w:cs="Helvetica"/>
          <w:color w:val="676767"/>
          <w:sz w:val="24"/>
          <w:szCs w:val="24"/>
        </w:rPr>
        <w:t>One recurring problem has been outsiders entering a ministry location with presuppositions about which contextual approach is best and what a contextual Christ-following fellowship should look like. Contextual presuppositions by cultural outsiders have spawned myriad and heated debates about the “best,” “most effective,” and/or most “biblical” approach to contextualization within Islamic contexts.</w:t>
      </w:r>
    </w:p>
    <w:p w:rsidR="00507650" w:rsidRPr="00507650" w:rsidRDefault="00507650" w:rsidP="00507650">
      <w:pPr>
        <w:shd w:val="clear" w:color="auto" w:fill="FFFFFF"/>
        <w:spacing w:after="360" w:line="240" w:lineRule="auto"/>
        <w:rPr>
          <w:rFonts w:ascii="Helvetica" w:eastAsia="Times New Roman" w:hAnsi="Helvetica" w:cs="Helvetica"/>
          <w:color w:val="676767"/>
          <w:sz w:val="24"/>
          <w:szCs w:val="24"/>
        </w:rPr>
      </w:pPr>
      <w:r w:rsidRPr="00507650">
        <w:rPr>
          <w:rFonts w:ascii="Helvetica" w:eastAsia="Times New Roman" w:hAnsi="Helvetica" w:cs="Helvetica"/>
          <w:color w:val="676767"/>
          <w:sz w:val="24"/>
          <w:szCs w:val="24"/>
        </w:rPr>
        <w:t>Too often those affected most negatively by these debates are the local people in Muslim-majority contexts. Christian minorities have sometimes felt ignored, sidelined, or damaged by the creative application of new contextual theories in their homeland. I once heard an Asian Christian express resentment that local people were being used as “guinea pigs” for contextual experiments, in a foreigner’s research to get a PhD.</w:t>
      </w:r>
    </w:p>
    <w:p w:rsidR="00507650" w:rsidRDefault="00507650" w:rsidP="00507650">
      <w:pPr>
        <w:shd w:val="clear" w:color="auto" w:fill="FFFFFF"/>
        <w:spacing w:after="360" w:line="240" w:lineRule="auto"/>
        <w:rPr>
          <w:rFonts w:ascii="Helvetica" w:eastAsia="Times New Roman" w:hAnsi="Helvetica" w:cs="Helvetica"/>
          <w:color w:val="676767"/>
          <w:sz w:val="24"/>
          <w:szCs w:val="24"/>
        </w:rPr>
      </w:pPr>
      <w:r w:rsidRPr="00507650">
        <w:rPr>
          <w:rFonts w:ascii="Helvetica" w:eastAsia="Times New Roman" w:hAnsi="Helvetica" w:cs="Helvetica"/>
          <w:color w:val="676767"/>
          <w:sz w:val="24"/>
          <w:szCs w:val="24"/>
        </w:rPr>
        <w:t xml:space="preserve">Not only local Christians but also Muslims who come to follow Christ can be disadvantaged by well-meaning contextual preferences of those who bring the gospel. Gospel-bearers may bring with them a clear vision of how the fruit of their labor will look. While this can help in some ways, it has proven problematic in others. New believers </w:t>
      </w:r>
      <w:r w:rsidRPr="00507650">
        <w:rPr>
          <w:rFonts w:ascii="Helvetica" w:eastAsia="Times New Roman" w:hAnsi="Helvetica" w:cs="Helvetica"/>
          <w:color w:val="676767"/>
          <w:sz w:val="24"/>
          <w:szCs w:val="24"/>
        </w:rPr>
        <w:lastRenderedPageBreak/>
        <w:t>can easily feel pressured by the subtle (or not-so-subtle) contextual preferences of those who have brought them the gospel.</w:t>
      </w:r>
    </w:p>
    <w:p w:rsidR="00507650" w:rsidRPr="00507650" w:rsidRDefault="00507650" w:rsidP="00507650">
      <w:pPr>
        <w:shd w:val="clear" w:color="auto" w:fill="FFFFFF"/>
        <w:spacing w:after="360" w:line="240" w:lineRule="auto"/>
        <w:rPr>
          <w:rFonts w:ascii="Helvetica" w:eastAsia="Times New Roman" w:hAnsi="Helvetica" w:cs="Helvetica"/>
          <w:color w:val="676767"/>
          <w:sz w:val="24"/>
          <w:szCs w:val="24"/>
        </w:rPr>
      </w:pPr>
      <w:r w:rsidRPr="00507650">
        <w:rPr>
          <w:rFonts w:ascii="Helvetica" w:eastAsia="Times New Roman" w:hAnsi="Helvetica" w:cs="Helvetica"/>
          <w:noProof/>
          <w:color w:val="676767"/>
          <w:sz w:val="24"/>
          <w:szCs w:val="24"/>
        </w:rPr>
        <w:drawing>
          <wp:inline distT="0" distB="0" distL="0" distR="0" wp14:anchorId="7EA3163F" wp14:editId="519964F9">
            <wp:extent cx="3338456" cy="2784100"/>
            <wp:effectExtent l="0" t="0" r="0" b="0"/>
            <wp:docPr id="1" name="Picture 1" descr="https://lh4.googleusercontent.com/ot3ZxITqjRbUpcH8Yvozu7D7iPCMuo6xhETMhOqC2L8Yy1ns4fzavzyFSJq25VKAu5Ss7CrVRRMzyb_YKdbMCHFQ7vz2JV6-U5NJrIAHuaO7r35Hvlzin516973tH6H4B7EwC4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ot3ZxITqjRbUpcH8Yvozu7D7iPCMuo6xhETMhOqC2L8Yy1ns4fzavzyFSJq25VKAu5Ss7CrVRRMzyb_YKdbMCHFQ7vz2JV6-U5NJrIAHuaO7r35Hvlzin516973tH6H4B7EwC4L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49205" cy="2793064"/>
                    </a:xfrm>
                    <a:prstGeom prst="rect">
                      <a:avLst/>
                    </a:prstGeom>
                    <a:noFill/>
                    <a:ln>
                      <a:noFill/>
                    </a:ln>
                  </pic:spPr>
                </pic:pic>
              </a:graphicData>
            </a:graphic>
          </wp:inline>
        </w:drawing>
      </w:r>
      <w:r>
        <w:rPr>
          <w:rFonts w:ascii="Helvetica" w:eastAsia="Times New Roman" w:hAnsi="Helvetica" w:cs="Helvetica"/>
          <w:color w:val="676767"/>
          <w:sz w:val="24"/>
          <w:szCs w:val="24"/>
        </w:rPr>
        <w:t xml:space="preserve">  </w:t>
      </w:r>
      <w:r w:rsidRPr="00507650">
        <w:rPr>
          <w:rFonts w:ascii="Helvetica" w:eastAsia="Times New Roman" w:hAnsi="Helvetica" w:cs="Helvetica"/>
          <w:noProof/>
          <w:color w:val="676767"/>
          <w:sz w:val="24"/>
          <w:szCs w:val="24"/>
        </w:rPr>
        <mc:AlternateContent>
          <mc:Choice Requires="wps">
            <w:drawing>
              <wp:inline distT="0" distB="0" distL="0" distR="0">
                <wp:extent cx="2360930" cy="1404620"/>
                <wp:effectExtent l="0" t="0" r="1270" b="762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507650" w:rsidRDefault="00507650">
                            <w:r w:rsidRPr="00507650">
                              <w:rPr>
                                <w:rFonts w:ascii="Helvetica" w:eastAsia="Times New Roman" w:hAnsi="Helvetica" w:cs="Helvetica"/>
                                <w:color w:val="676767"/>
                                <w:sz w:val="24"/>
                                <w:szCs w:val="24"/>
                              </w:rPr>
                              <w:t>To avoid this conundrum, David Watson proposes that outsiders not do contextualization. He recommends that disciple-makers “</w:t>
                            </w:r>
                            <w:proofErr w:type="spellStart"/>
                            <w:r w:rsidRPr="00507650">
                              <w:rPr>
                                <w:rFonts w:ascii="Helvetica" w:eastAsia="Times New Roman" w:hAnsi="Helvetica" w:cs="Helvetica"/>
                                <w:color w:val="676767"/>
                                <w:sz w:val="24"/>
                                <w:szCs w:val="24"/>
                              </w:rPr>
                              <w:t>deculturalize</w:t>
                            </w:r>
                            <w:proofErr w:type="spellEnd"/>
                            <w:r w:rsidRPr="00507650">
                              <w:rPr>
                                <w:rFonts w:ascii="Helvetica" w:eastAsia="Times New Roman" w:hAnsi="Helvetica" w:cs="Helvetica"/>
                                <w:color w:val="676767"/>
                                <w:sz w:val="24"/>
                                <w:szCs w:val="24"/>
                              </w:rPr>
                              <w:t>, not contextualize, the gospel” (the title of Chapter 2 of his book Contagious Disciple-Making). He elaborates: “The best way to do this is to use only Scripture for curricula, and allow local people to answer questions about Scripture, not listen to our answers” (p. 14–15).</w:t>
                            </w:r>
                          </w:p>
                        </w:txbxContent>
                      </wps:txbx>
                      <wps:bodyPr rot="0" vert="horz" wrap="square" lIns="91440" tIns="45720" rIns="91440" bIns="45720" anchor="t" anchorCtr="0">
                        <a:spAutoFit/>
                      </wps:bodyPr>
                    </wps:wsp>
                  </a:graphicData>
                </a:graphic>
              </wp:inline>
            </w:drawing>
          </mc:Choice>
          <mc:Fallback>
            <w:pict>
              <v:shape 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" stroked="f">
                <v:textbox style="mso-fit-shape-to-text:t">
                  <w:txbxContent>
                    <w:p w:rsidR="00507650" w:rsidRDefault="00507650">
                      <w:r w:rsidRPr="00507650">
                        <w:rPr>
                          <w:rFonts w:ascii="Helvetica" w:eastAsia="Times New Roman" w:hAnsi="Helvetica" w:cs="Helvetica"/>
                          <w:color w:val="676767"/>
                          <w:sz w:val="24"/>
                          <w:szCs w:val="24"/>
                        </w:rPr>
                        <w:t>To avoid this conundrum, David Watson proposes that outsiders not do contextualization. He recommends that disciple-makers “</w:t>
                      </w:r>
                      <w:proofErr w:type="spellStart"/>
                      <w:r w:rsidRPr="00507650">
                        <w:rPr>
                          <w:rFonts w:ascii="Helvetica" w:eastAsia="Times New Roman" w:hAnsi="Helvetica" w:cs="Helvetica"/>
                          <w:color w:val="676767"/>
                          <w:sz w:val="24"/>
                          <w:szCs w:val="24"/>
                        </w:rPr>
                        <w:t>deculturalize</w:t>
                      </w:r>
                      <w:proofErr w:type="spellEnd"/>
                      <w:r w:rsidRPr="00507650">
                        <w:rPr>
                          <w:rFonts w:ascii="Helvetica" w:eastAsia="Times New Roman" w:hAnsi="Helvetica" w:cs="Helvetica"/>
                          <w:color w:val="676767"/>
                          <w:sz w:val="24"/>
                          <w:szCs w:val="24"/>
                        </w:rPr>
                        <w:t>, not contextualize, the gospel” (the title of Chapter 2 of his book Contagious Disciple-Making). He elaborates: “The best way to do this is to use only Scripture for curricula, and allow local people to answer questions about Scripture, not listen to our answers” (p. 14–15).</w:t>
                      </w:r>
                    </w:p>
                  </w:txbxContent>
                </v:textbox>
                <w10:anchorlock/>
              </v:shape>
            </w:pict>
          </mc:Fallback>
        </mc:AlternateContent>
      </w:r>
    </w:p>
    <w:p w:rsidR="00507650" w:rsidRPr="00507650" w:rsidRDefault="00507650" w:rsidP="00507650">
      <w:pPr>
        <w:shd w:val="clear" w:color="auto" w:fill="FFFFFF"/>
        <w:spacing w:after="360" w:line="240" w:lineRule="auto"/>
        <w:rPr>
          <w:rFonts w:ascii="Helvetica" w:eastAsia="Times New Roman" w:hAnsi="Helvetica" w:cs="Helvetica"/>
          <w:color w:val="676767"/>
          <w:sz w:val="24"/>
          <w:szCs w:val="24"/>
        </w:rPr>
      </w:pPr>
      <w:r w:rsidRPr="00507650">
        <w:rPr>
          <w:rFonts w:ascii="Helvetica" w:eastAsia="Times New Roman" w:hAnsi="Helvetica" w:cs="Helvetica"/>
          <w:color w:val="676767"/>
          <w:sz w:val="24"/>
          <w:szCs w:val="24"/>
        </w:rPr>
        <w:t xml:space="preserve">Contextualization, then, should be done by those coming to faith within a culture, as </w:t>
      </w:r>
      <w:proofErr w:type="gramStart"/>
      <w:r w:rsidRPr="00507650">
        <w:rPr>
          <w:rFonts w:ascii="Helvetica" w:eastAsia="Times New Roman" w:hAnsi="Helvetica" w:cs="Helvetica"/>
          <w:color w:val="676767"/>
          <w:sz w:val="24"/>
          <w:szCs w:val="24"/>
        </w:rPr>
        <w:t>they</w:t>
      </w:r>
      <w:proofErr w:type="gramEnd"/>
      <w:r w:rsidRPr="00507650">
        <w:rPr>
          <w:rFonts w:ascii="Helvetica" w:eastAsia="Times New Roman" w:hAnsi="Helvetica" w:cs="Helvetica"/>
          <w:color w:val="676767"/>
          <w:sz w:val="24"/>
          <w:szCs w:val="24"/>
        </w:rPr>
        <w:t xml:space="preserve"> ask themselves and one another: “What must we change in our lives and culture in order to be obedient to all the commands of Christ?” (ibid, p. 17) Outsiders can suggest relevant passages for study and provide outside mentoring for the group facilitator. But the onus of application is on the cultural insiders.</w:t>
      </w:r>
    </w:p>
    <w:p w:rsidR="00507650" w:rsidRPr="00507650" w:rsidRDefault="00507650" w:rsidP="00507650">
      <w:pPr>
        <w:shd w:val="clear" w:color="auto" w:fill="FFFFFF"/>
        <w:spacing w:after="360" w:line="240" w:lineRule="auto"/>
        <w:rPr>
          <w:rFonts w:ascii="Helvetica" w:eastAsia="Times New Roman" w:hAnsi="Helvetica" w:cs="Helvetica"/>
          <w:color w:val="676767"/>
          <w:sz w:val="24"/>
          <w:szCs w:val="24"/>
        </w:rPr>
      </w:pPr>
      <w:r w:rsidRPr="00507650">
        <w:rPr>
          <w:rFonts w:ascii="Helvetica" w:eastAsia="Times New Roman" w:hAnsi="Helvetica" w:cs="Helvetica"/>
          <w:color w:val="676767"/>
          <w:sz w:val="24"/>
          <w:szCs w:val="24"/>
        </w:rPr>
        <w:t>A good response to wide diversity among Muslims is this “discovery” (</w:t>
      </w:r>
      <w:hyperlink r:id="rId8" w:tgtFrame="_blank" w:history="1">
        <w:r w:rsidRPr="00507650">
          <w:rPr>
            <w:rFonts w:ascii="Helvetica" w:eastAsia="Times New Roman" w:hAnsi="Helvetica" w:cs="Helvetica"/>
            <w:b/>
            <w:bCs/>
            <w:color w:val="4472C4" w:themeColor="accent5"/>
            <w:sz w:val="24"/>
            <w:szCs w:val="24"/>
          </w:rPr>
          <w:t>Disciple-Making Movement</w:t>
        </w:r>
      </w:hyperlink>
      <w:r w:rsidRPr="00507650">
        <w:rPr>
          <w:rFonts w:ascii="Helvetica" w:eastAsia="Times New Roman" w:hAnsi="Helvetica" w:cs="Helvetica"/>
          <w:color w:val="676767"/>
          <w:sz w:val="24"/>
          <w:szCs w:val="24"/>
        </w:rPr>
        <w:t>) approach, in which those coming to faith within any local context discover and obey relevant applications of God’s Word for themselves and their group.</w:t>
      </w:r>
    </w:p>
    <w:p w:rsidR="00507650" w:rsidRPr="00507650" w:rsidRDefault="00507650" w:rsidP="00507650">
      <w:pPr>
        <w:shd w:val="clear" w:color="auto" w:fill="FFFFFF"/>
        <w:spacing w:after="360" w:line="240" w:lineRule="auto"/>
        <w:rPr>
          <w:rFonts w:ascii="Helvetica" w:eastAsia="Times New Roman" w:hAnsi="Helvetica" w:cs="Helvetica"/>
          <w:color w:val="676767"/>
          <w:sz w:val="24"/>
          <w:szCs w:val="24"/>
        </w:rPr>
      </w:pPr>
      <w:r w:rsidRPr="00507650">
        <w:rPr>
          <w:rFonts w:ascii="Helvetica" w:eastAsia="Times New Roman" w:hAnsi="Helvetica" w:cs="Helvetica"/>
          <w:color w:val="676767"/>
          <w:sz w:val="24"/>
          <w:szCs w:val="24"/>
        </w:rPr>
        <w:t>Different pools have different fish. “Come, follow me,” Jesus said, “and I will send you out to fish for people” (Matthew 4:19).</w:t>
      </w:r>
    </w:p>
    <w:p w:rsidR="00507650" w:rsidRPr="00507650" w:rsidRDefault="00507650" w:rsidP="00507650">
      <w:pPr>
        <w:shd w:val="clear" w:color="auto" w:fill="FFFFFF"/>
        <w:spacing w:after="360" w:line="240" w:lineRule="auto"/>
        <w:rPr>
          <w:rFonts w:ascii="Helvetica" w:eastAsia="Times New Roman" w:hAnsi="Helvetica" w:cs="Helvetica"/>
          <w:color w:val="676767"/>
          <w:sz w:val="24"/>
          <w:szCs w:val="24"/>
        </w:rPr>
      </w:pPr>
      <w:r w:rsidRPr="00507650">
        <w:rPr>
          <w:rFonts w:ascii="Helvetica" w:eastAsia="Times New Roman" w:hAnsi="Helvetica" w:cs="Helvetica"/>
          <w:color w:val="676767"/>
          <w:sz w:val="24"/>
          <w:szCs w:val="24"/>
        </w:rPr>
        <w:t>------</w:t>
      </w:r>
    </w:p>
    <w:p w:rsidR="00507650" w:rsidRPr="00507650" w:rsidRDefault="00507650" w:rsidP="00507650">
      <w:pPr>
        <w:shd w:val="clear" w:color="auto" w:fill="FFFFFF"/>
        <w:spacing w:after="360" w:line="240" w:lineRule="auto"/>
        <w:rPr>
          <w:rFonts w:ascii="Helvetica" w:eastAsia="Times New Roman" w:hAnsi="Helvetica" w:cs="Helvetica"/>
          <w:color w:val="676767"/>
          <w:sz w:val="24"/>
          <w:szCs w:val="24"/>
        </w:rPr>
      </w:pPr>
      <w:r w:rsidRPr="00507650">
        <w:rPr>
          <w:rFonts w:ascii="Helvetica" w:eastAsia="Times New Roman" w:hAnsi="Helvetica" w:cs="Helvetica"/>
          <w:color w:val="676767"/>
          <w:sz w:val="24"/>
          <w:szCs w:val="24"/>
        </w:rPr>
        <w:t>L. D. Waterman (pseudonym) is an encourager of church planting movements among unreached groups, serving with </w:t>
      </w:r>
      <w:hyperlink r:id="rId9" w:tgtFrame="_blank" w:history="1">
        <w:r w:rsidRPr="00507650">
          <w:rPr>
            <w:rFonts w:ascii="Helvetica" w:eastAsia="Times New Roman" w:hAnsi="Helvetica" w:cs="Helvetica"/>
            <w:b/>
            <w:bCs/>
            <w:color w:val="4472C4" w:themeColor="accent5"/>
            <w:sz w:val="24"/>
            <w:szCs w:val="24"/>
          </w:rPr>
          <w:t>Beyond</w:t>
        </w:r>
      </w:hyperlink>
      <w:r w:rsidRPr="00507650">
        <w:rPr>
          <w:rFonts w:ascii="Helvetica" w:eastAsia="Times New Roman" w:hAnsi="Helvetica" w:cs="Helvetica"/>
          <w:color w:val="676767"/>
          <w:sz w:val="24"/>
          <w:szCs w:val="24"/>
        </w:rPr>
        <w:t>. After ten years of pastoral ministry in the US he moved to Southeast Asia, where he has served since 1993. He has been a part of </w:t>
      </w:r>
      <w:hyperlink r:id="rId10" w:tgtFrame="_blank" w:history="1">
        <w:proofErr w:type="gramStart"/>
        <w:r w:rsidRPr="00507650">
          <w:rPr>
            <w:rFonts w:ascii="Helvetica" w:eastAsia="Times New Roman" w:hAnsi="Helvetica" w:cs="Helvetica"/>
            <w:b/>
            <w:bCs/>
            <w:color w:val="4472C4" w:themeColor="accent5"/>
            <w:sz w:val="24"/>
            <w:szCs w:val="24"/>
          </w:rPr>
          <w:t>Bridging</w:t>
        </w:r>
        <w:proofErr w:type="gramEnd"/>
        <w:r w:rsidRPr="00507650">
          <w:rPr>
            <w:rFonts w:ascii="Helvetica" w:eastAsia="Times New Roman" w:hAnsi="Helvetica" w:cs="Helvetica"/>
            <w:b/>
            <w:bCs/>
            <w:color w:val="4472C4" w:themeColor="accent5"/>
            <w:sz w:val="24"/>
            <w:szCs w:val="24"/>
          </w:rPr>
          <w:t xml:space="preserve"> the Divide’s</w:t>
        </w:r>
      </w:hyperlink>
      <w:r w:rsidRPr="00507650">
        <w:rPr>
          <w:rFonts w:ascii="Helvetica" w:eastAsia="Times New Roman" w:hAnsi="Helvetica" w:cs="Helvetica"/>
          <w:color w:val="676767"/>
          <w:sz w:val="24"/>
          <w:szCs w:val="24"/>
        </w:rPr>
        <w:t> Facilitation Team since the network was launched in 2011.</w:t>
      </w:r>
    </w:p>
    <w:p w:rsidR="00087543" w:rsidRDefault="00087543"/>
    <w:sectPr w:rsidR="00087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650"/>
    <w:rsid w:val="00087543"/>
    <w:rsid w:val="00507650"/>
    <w:rsid w:val="00B07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BE612F-C7C4-48C2-8470-083CD72FF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76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650"/>
    <w:rPr>
      <w:rFonts w:ascii="Times New Roman" w:eastAsia="Times New Roman" w:hAnsi="Times New Roman" w:cs="Times New Roman"/>
      <w:b/>
      <w:bCs/>
      <w:kern w:val="36"/>
      <w:sz w:val="48"/>
      <w:szCs w:val="48"/>
    </w:rPr>
  </w:style>
  <w:style w:type="paragraph" w:customStyle="1" w:styleId="callout">
    <w:name w:val="callout"/>
    <w:basedOn w:val="Normal"/>
    <w:rsid w:val="005076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line">
    <w:name w:val="dateline"/>
    <w:basedOn w:val="DefaultParagraphFont"/>
    <w:rsid w:val="00507650"/>
  </w:style>
  <w:style w:type="character" w:customStyle="1" w:styleId="apple-converted-space">
    <w:name w:val="apple-converted-space"/>
    <w:basedOn w:val="DefaultParagraphFont"/>
    <w:rsid w:val="00507650"/>
  </w:style>
  <w:style w:type="character" w:styleId="Hyperlink">
    <w:name w:val="Hyperlink"/>
    <w:basedOn w:val="DefaultParagraphFont"/>
    <w:uiPriority w:val="99"/>
    <w:unhideWhenUsed/>
    <w:rsid w:val="00507650"/>
    <w:rPr>
      <w:color w:val="0000FF"/>
      <w:u w:val="single"/>
    </w:rPr>
  </w:style>
  <w:style w:type="paragraph" w:styleId="NormalWeb">
    <w:name w:val="Normal (Web)"/>
    <w:basedOn w:val="Normal"/>
    <w:uiPriority w:val="99"/>
    <w:semiHidden/>
    <w:unhideWhenUsed/>
    <w:rsid w:val="005076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588480">
      <w:bodyDiv w:val="1"/>
      <w:marLeft w:val="0"/>
      <w:marRight w:val="0"/>
      <w:marTop w:val="0"/>
      <w:marBottom w:val="0"/>
      <w:divBdr>
        <w:top w:val="none" w:sz="0" w:space="0" w:color="auto"/>
        <w:left w:val="none" w:sz="0" w:space="0" w:color="auto"/>
        <w:bottom w:val="none" w:sz="0" w:space="0" w:color="auto"/>
        <w:right w:val="none" w:sz="0" w:space="0" w:color="auto"/>
      </w:divBdr>
      <w:divsChild>
        <w:div w:id="1506554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ssionfrontiers.org/issue/article/t4t-or-dmm-dbs-only-god-can-start-a-church-planting-movement-part-1-of-2"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btdnetwork.org/" TargetMode="External"/><Relationship Id="rId10" Type="http://schemas.openxmlformats.org/officeDocument/2006/relationships/hyperlink" Target="http://btdnetwork.org/" TargetMode="External"/><Relationship Id="rId4" Type="http://schemas.openxmlformats.org/officeDocument/2006/relationships/hyperlink" Target="http://btdnetwork.org/" TargetMode="External"/><Relationship Id="rId9" Type="http://schemas.openxmlformats.org/officeDocument/2006/relationships/hyperlink" Target="http://beyon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2</cp:revision>
  <dcterms:created xsi:type="dcterms:W3CDTF">2017-04-10T04:38:00Z</dcterms:created>
  <dcterms:modified xsi:type="dcterms:W3CDTF">2017-04-10T04:47:00Z</dcterms:modified>
</cp:coreProperties>
</file>