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left"/>
      </w:pPr>
      <w:r>
        <w:rPr>
          <w:b/>
          <w:color w:val="8C2E2E"/>
          <w:sz w:val="22"/>
        </w:rPr>
        <w:t>RED TEAM · ADVERSARY-PERSPEKTIVE</w:t>
      </w:r>
    </w:p>
    <w:p>
      <w:pPr>
        <w:spacing w:after="80"/>
      </w:pPr>
      <w:r>
        <w:rPr>
          <w:b/>
          <w:color w:val="1F3A5F"/>
          <w:sz w:val="52"/>
        </w:rPr>
        <w:t>Angreifer-Perspektive: Lesart der IONOS-Kampagne</w:t>
      </w:r>
    </w:p>
    <w:p>
      <w:pPr>
        <w:spacing w:after="600"/>
      </w:pPr>
      <w:r>
        <w:rPr>
          <w:color w:val="555555"/>
          <w:sz w:val="26"/>
        </w:rPr>
        <w:t>Rekonstruktion der Angreifer-Entscheidungen aus den forensischen Spuren — Denkweise, Vorteil, hinterlassene Spur, Gegenmaßnahme.</w:t>
      </w:r>
    </w:p>
    <w:p>
      <w:pPr>
        <w:spacing w:after="40"/>
      </w:pPr>
      <w:r>
        <w:rPr>
          <w:b/>
          <w:sz w:val="20"/>
        </w:rPr>
        <w:t xml:space="preserve">Fall: </w:t>
      </w:r>
      <w:r>
        <w:rPr>
          <w:sz w:val="20"/>
        </w:rPr>
        <w:t>IONOS-Homoglyph-Phishing-Kampagne, zwei Mails (21.09. und 01.10.2026)</w:t>
      </w:r>
    </w:p>
    <w:p>
      <w:pPr>
        <w:spacing w:after="40"/>
      </w:pPr>
      <w:r>
        <w:rPr>
          <w:b/>
          <w:sz w:val="20"/>
        </w:rPr>
        <w:t xml:space="preserve">Empfänger: </w:t>
      </w:r>
      <w:r>
        <w:rPr>
          <w:sz w:val="20"/>
        </w:rPr>
        <w:t>Geschäftspostfach (geschwärzt), beide Mails erkannt, kein Klick</w:t>
      </w:r>
    </w:p>
    <w:p>
      <w:pPr>
        <w:spacing w:after="40"/>
      </w:pPr>
      <w:r>
        <w:rPr>
          <w:b/>
          <w:sz w:val="20"/>
        </w:rPr>
        <w:t xml:space="preserve">Analyst: </w:t>
      </w:r>
      <w:r>
        <w:rPr>
          <w:sz w:val="20"/>
        </w:rPr>
        <w:t>Pato81</w:t>
      </w:r>
    </w:p>
    <w:p>
      <w:pPr>
        <w:spacing w:after="40"/>
      </w:pPr>
      <w:r>
        <w:rPr>
          <w:b/>
          <w:sz w:val="20"/>
        </w:rPr>
        <w:t xml:space="preserve">Datum: </w:t>
      </w:r>
      <w:r>
        <w:rPr>
          <w:sz w:val="20"/>
        </w:rPr>
        <w:t>19.10.2026</w:t>
      </w:r>
    </w:p>
    <w:p>
      <w:pPr>
        <w:spacing w:after="40"/>
      </w:pPr>
      <w:r>
        <w:rPr>
          <w:b/>
          <w:sz w:val="20"/>
        </w:rPr>
        <w:t xml:space="preserve">Klassifikation: </w:t>
      </w:r>
      <w:r>
        <w:rPr>
          <w:sz w:val="20"/>
        </w:rPr>
        <w:t>TLP:CLEAR — für Portfolio, Arbeitgeber und Kunden</w:t>
      </w:r>
    </w:p>
    <w:p>
      <w:r>
        <w:br w:type="page"/>
      </w:r>
    </w:p>
    <w:p>
      <w:pPr>
        <w:pStyle w:val="Heading1"/>
      </w:pPr>
      <w:r>
        <w:t>0  Zweck &amp; Abgrenzung</w:t>
      </w:r>
    </w:p>
    <w:p>
      <w:pPr>
        <w:spacing w:before="80" w:after="160"/>
        <w:pBdr>
          <w:top w:val="single" w:sz="4" w:space="6" w:color="CCCCCC"/>
          <w:left w:val="single" w:sz="4" w:space="6" w:color="CCCCCC"/>
          <w:bottom w:val="single" w:sz="4" w:space="6" w:color="CCCCCC"/>
          <w:right w:val="single" w:sz="4" w:space="6" w:color="CCCCCC"/>
        </w:pBdr>
        <w:shd w:val="clear" w:color="auto" w:fill="F7F7F7"/>
      </w:pPr>
      <w:r>
        <w:rPr>
          <w:b/>
          <w:color w:val="8C2E2E"/>
        </w:rPr>
        <w:t xml:space="preserve">Hinweis: </w:t>
      </w:r>
      <w:r>
        <w:t>Dieses Dokument ist eine analytische Rekonstruktion aus Verteidigersicht. Es erklärt, welche Entscheidungen der Angreifer getroffen hat und warum — anhand der Spuren, die in den beiden Mails nachweisbar sind. Es enthält keine Bauanleitung, keinen Code und keine Schritte zum Versenden von Phishing. Ziel ist das, was einen guten Pentester ausmacht: die Denkweise des Gegners verstehen, um besser zu verteidigen und zu erkennen.</w:t>
      </w:r>
    </w:p>
    <w:p>
      <w:pPr>
        <w:spacing w:after="120"/>
      </w:pPr>
      <w:r>
        <w:rPr>
          <w:b w:val="0"/>
        </w:rPr>
        <w:t>Warum diese Sicht wertvoll ist: Blue und Red Team lesen dieselben Artefakte unterschiedlich. Der Verteidiger fragt „Wie erkenne ich das?", der Angreifer fragt „Was bringt mir das?". Wer beide Fragen zu jedem Artefakt beantworten kann, baut bessere Detections — weil er versteht, welche Spur unvermeidlich ist und welche der Angreifer bewusst in Kauf nimmt.</w:t>
      </w:r>
    </w:p>
    <w:p>
      <w:pPr>
        <w:pStyle w:val="Heading1"/>
      </w:pPr>
      <w:r>
        <w:t>1  Ziel und Ablauf des Angriffs</w:t>
      </w:r>
    </w:p>
    <w:p>
      <w:pPr>
        <w:spacing w:after="120"/>
      </w:pPr>
      <w:r>
        <w:rPr>
          <w:b w:val="0"/>
        </w:rPr>
        <w:t>Beide Mails verfolgen dasselbe Ziel: das Opfer auf eine kontrollierte Seite zu bringen, die wie IONOS aussieht, und dort Zugangsdaten abzugreifen (Credential Harvesting). Der Ablauf in der Sprache der Cyber Kill Chain:</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F3A5F"/>
          </w:tcPr>
          <w:p>
            <w:pPr>
              <w:spacing w:after="40"/>
            </w:pPr>
            <w:r>
              <w:rPr>
                <w:b/>
                <w:color w:val="FFFFFF"/>
                <w:sz w:val="19"/>
              </w:rPr>
              <w:t>Phase</w:t>
            </w:r>
          </w:p>
        </w:tc>
        <w:tc>
          <w:tcPr>
            <w:tcW w:type="dxa" w:w="4176"/>
            <w:shd w:val="clear" w:color="auto" w:fill="1F3A5F"/>
          </w:tcPr>
          <w:p>
            <w:pPr>
              <w:spacing w:after="40"/>
            </w:pPr>
            <w:r>
              <w:rPr>
                <w:b/>
                <w:color w:val="FFFFFF"/>
                <w:sz w:val="19"/>
              </w:rPr>
              <w:t>Was der Angreifer tut</w:t>
            </w:r>
          </w:p>
        </w:tc>
        <w:tc>
          <w:tcPr>
            <w:tcW w:type="dxa" w:w="2592"/>
            <w:shd w:val="clear" w:color="auto" w:fill="1F3A5F"/>
          </w:tcPr>
          <w:p>
            <w:pPr>
              <w:spacing w:after="40"/>
            </w:pPr>
            <w:r>
              <w:rPr>
                <w:b/>
                <w:color w:val="FFFFFF"/>
                <w:sz w:val="19"/>
              </w:rPr>
              <w:t>Spur im Fall</w:t>
            </w:r>
          </w:p>
        </w:tc>
      </w:tr>
      <w:tr>
        <w:tc>
          <w:tcPr>
            <w:tcW w:type="dxa" w:w="1872"/>
          </w:tcPr>
          <w:p>
            <w:pPr>
              <w:spacing w:after="40"/>
            </w:pPr>
            <w:r>
              <w:rPr>
                <w:b/>
                <w:sz w:val="19"/>
              </w:rPr>
              <w:t>Reconnaissance</w:t>
            </w:r>
          </w:p>
        </w:tc>
        <w:tc>
          <w:tcPr>
            <w:tcW w:type="dxa" w:w="4176"/>
          </w:tcPr>
          <w:p>
            <w:pPr>
              <w:spacing w:after="40"/>
            </w:pPr>
            <w:r>
              <w:rPr>
                <w:sz w:val="19"/>
              </w:rPr>
              <w:t>Gültige Geschäftsadresse als Ziel; Kenntnis, dass IONOS-Kunde</w:t>
            </w:r>
          </w:p>
        </w:tc>
        <w:tc>
          <w:tcPr>
            <w:tcW w:type="dxa" w:w="2592"/>
          </w:tcPr>
          <w:p>
            <w:pPr>
              <w:spacing w:after="40"/>
            </w:pPr>
            <w:r>
              <w:rPr>
                <w:sz w:val="19"/>
              </w:rPr>
              <w:t>Ziel ist ein echtes IONOS-Postfach</w:t>
            </w:r>
          </w:p>
        </w:tc>
      </w:tr>
      <w:tr>
        <w:tc>
          <w:tcPr>
            <w:tcW w:type="dxa" w:w="1872"/>
          </w:tcPr>
          <w:p>
            <w:pPr>
              <w:spacing w:after="40"/>
            </w:pPr>
            <w:r>
              <w:rPr>
                <w:b/>
                <w:sz w:val="19"/>
              </w:rPr>
              <w:t>Weaponization</w:t>
            </w:r>
          </w:p>
        </w:tc>
        <w:tc>
          <w:tcPr>
            <w:tcW w:type="dxa" w:w="4176"/>
          </w:tcPr>
          <w:p>
            <w:pPr>
              <w:spacing w:after="40"/>
            </w:pPr>
            <w:r>
              <w:rPr>
                <w:sz w:val="19"/>
              </w:rPr>
              <w:t>Mail-Kit mit Homoglyphen, Hidden-Salting, Template-Klon</w:t>
            </w:r>
          </w:p>
        </w:tc>
        <w:tc>
          <w:tcPr>
            <w:tcW w:type="dxa" w:w="2592"/>
          </w:tcPr>
          <w:p>
            <w:pPr>
              <w:spacing w:after="40"/>
            </w:pPr>
            <w:r>
              <w:rPr>
                <w:sz w:val="19"/>
              </w:rPr>
              <w:t>identischer Style-String, Message-ID-Muster</w:t>
            </w:r>
          </w:p>
        </w:tc>
      </w:tr>
      <w:tr>
        <w:tc>
          <w:tcPr>
            <w:tcW w:type="dxa" w:w="1872"/>
          </w:tcPr>
          <w:p>
            <w:pPr>
              <w:spacing w:after="40"/>
            </w:pPr>
            <w:r>
              <w:rPr>
                <w:b/>
                <w:sz w:val="19"/>
              </w:rPr>
              <w:t>Infrastructure</w:t>
            </w:r>
          </w:p>
        </w:tc>
        <w:tc>
          <w:tcPr>
            <w:tcW w:type="dxa" w:w="4176"/>
          </w:tcPr>
          <w:p>
            <w:pPr>
              <w:spacing w:after="40"/>
            </w:pPr>
            <w:r>
              <w:rPr>
                <w:sz w:val="19"/>
              </w:rPr>
              <w:t>VPS mieten / Server hacken / Leasing-IP als Steuerpunkt</w:t>
            </w:r>
          </w:p>
        </w:tc>
        <w:tc>
          <w:tcPr>
            <w:tcW w:type="dxa" w:w="2592"/>
          </w:tcPr>
          <w:p>
            <w:pPr>
              <w:spacing w:after="40"/>
            </w:pPr>
            <w:r>
              <w:rPr>
                <w:sz w:val="19"/>
              </w:rPr>
              <w:t>3 IPs, 3 Betreiber, 4 Länder</w:t>
            </w:r>
          </w:p>
        </w:tc>
      </w:tr>
      <w:tr>
        <w:tc>
          <w:tcPr>
            <w:tcW w:type="dxa" w:w="1872"/>
          </w:tcPr>
          <w:p>
            <w:pPr>
              <w:spacing w:after="40"/>
            </w:pPr>
            <w:r>
              <w:rPr>
                <w:b/>
                <w:sz w:val="19"/>
              </w:rPr>
              <w:t>Delivery</w:t>
            </w:r>
          </w:p>
        </w:tc>
        <w:tc>
          <w:tcPr>
            <w:tcW w:type="dxa" w:w="4176"/>
          </w:tcPr>
          <w:p>
            <w:pPr>
              <w:spacing w:after="40"/>
            </w:pPr>
            <w:r>
              <w:rPr>
                <w:sz w:val="19"/>
              </w:rPr>
              <w:t>Versand über wechselnde Infrastruktur</w:t>
            </w:r>
          </w:p>
        </w:tc>
        <w:tc>
          <w:tcPr>
            <w:tcW w:type="dxa" w:w="2592"/>
          </w:tcPr>
          <w:p>
            <w:pPr>
              <w:spacing w:after="40"/>
            </w:pPr>
            <w:r>
              <w:rPr>
                <w:sz w:val="19"/>
              </w:rPr>
              <w:t>IONOS-VPS bzw. gehackter Exim-Host</w:t>
            </w:r>
          </w:p>
        </w:tc>
      </w:tr>
      <w:tr>
        <w:tc>
          <w:tcPr>
            <w:tcW w:type="dxa" w:w="1872"/>
          </w:tcPr>
          <w:p>
            <w:pPr>
              <w:spacing w:after="40"/>
            </w:pPr>
            <w:r>
              <w:rPr>
                <w:b/>
                <w:sz w:val="19"/>
              </w:rPr>
              <w:t>Exploitation (geplant)</w:t>
            </w:r>
          </w:p>
        </w:tc>
        <w:tc>
          <w:tcPr>
            <w:tcW w:type="dxa" w:w="4176"/>
          </w:tcPr>
          <w:p>
            <w:pPr>
              <w:spacing w:after="40"/>
            </w:pPr>
            <w:r>
              <w:rPr>
                <w:sz w:val="19"/>
              </w:rPr>
              <w:t>Opfer klickt, landet auf Credential-Seite</w:t>
            </w:r>
          </w:p>
        </w:tc>
        <w:tc>
          <w:tcPr>
            <w:tcW w:type="dxa" w:w="2592"/>
          </w:tcPr>
          <w:p>
            <w:pPr>
              <w:spacing w:after="40"/>
            </w:pPr>
            <w:r>
              <w:rPr>
                <w:sz w:val="19"/>
              </w:rPr>
              <w:t>Links auf S3 bzw. hinter Google-Redirect</w:t>
            </w:r>
          </w:p>
        </w:tc>
      </w:tr>
      <w:tr>
        <w:tc>
          <w:tcPr>
            <w:tcW w:type="dxa" w:w="1872"/>
          </w:tcPr>
          <w:p>
            <w:pPr>
              <w:spacing w:after="40"/>
            </w:pPr>
            <w:r>
              <w:rPr>
                <w:b/>
                <w:sz w:val="19"/>
              </w:rPr>
              <w:t>Objective</w:t>
            </w:r>
          </w:p>
        </w:tc>
        <w:tc>
          <w:tcPr>
            <w:tcW w:type="dxa" w:w="4176"/>
          </w:tcPr>
          <w:p>
            <w:pPr>
              <w:spacing w:after="40"/>
            </w:pPr>
            <w:r>
              <w:rPr>
                <w:sz w:val="19"/>
              </w:rPr>
              <w:t>Zugangsdaten abgreifen, Tracking wer geöffnet hat</w:t>
            </w:r>
          </w:p>
        </w:tc>
        <w:tc>
          <w:tcPr>
            <w:tcW w:type="dxa" w:w="2592"/>
          </w:tcPr>
          <w:p>
            <w:pPr>
              <w:spacing w:after="40"/>
            </w:pPr>
            <w:r>
              <w:rPr>
                <w:sz w:val="19"/>
              </w:rPr>
              <w:t>Base64-Opferadresse im em-Parameter (Mail 1)</w:t>
            </w:r>
          </w:p>
        </w:tc>
      </w:tr>
    </w:tbl>
    <w:p>
      <w:pPr>
        <w:spacing w:after="40"/>
      </w:pPr>
    </w:p>
    <w:p>
      <w:pPr>
        <w:pStyle w:val="Heading1"/>
      </w:pPr>
      <w:r>
        <w:t>2  Entscheidungslog</w:t>
      </w:r>
    </w:p>
    <w:p>
      <w:pPr>
        <w:spacing w:after="120"/>
      </w:pPr>
      <w:r>
        <w:rPr>
          <w:b w:val="0"/>
        </w:rPr>
        <w:t>Jede Entscheidung des Angreifers nach dem Schema: Entscheidung — Vorteil für ihn — hinterlassene Spur — Erkennung durch uns.</w:t>
      </w:r>
    </w:p>
    <w:p>
      <w:pPr>
        <w:pStyle w:val="Heading2"/>
      </w:pPr>
      <w:r>
        <w:t>2.1  Marke IONOS als Köder</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Imitation eines großen Hosters, der im DACH-Raum viele KMU als Kunden hat.</w:t>
            </w:r>
          </w:p>
        </w:tc>
      </w:tr>
      <w:tr>
        <w:tc>
          <w:tcPr>
            <w:tcW w:type="dxa" w:w="2736"/>
            <w:shd w:val="clear" w:color="auto" w:fill="F2F2F2"/>
          </w:tcPr>
          <w:p>
            <w:r>
              <w:rPr>
                <w:b/>
                <w:color w:val="8C2E2E"/>
                <w:sz w:val="19"/>
              </w:rPr>
              <w:t>Vorteil für den Angreifer</w:t>
            </w:r>
          </w:p>
        </w:tc>
        <w:tc>
          <w:tcPr>
            <w:tcW w:type="dxa" w:w="5904"/>
          </w:tcPr>
          <w:p>
            <w:r>
              <w:rPr>
                <w:sz w:val="19"/>
              </w:rPr>
              <w:t>Hohe Trefferquote: viele Empfänger sind tatsächlich Kunden, die eine IONOS-Mail erwarten könnten. Autorität + Routine senken die Wachsamkeit.</w:t>
            </w:r>
          </w:p>
        </w:tc>
      </w:tr>
      <w:tr>
        <w:tc>
          <w:tcPr>
            <w:tcW w:type="dxa" w:w="2736"/>
            <w:shd w:val="clear" w:color="auto" w:fill="F2F2F2"/>
          </w:tcPr>
          <w:p>
            <w:r>
              <w:rPr>
                <w:b/>
                <w:sz w:val="19"/>
              </w:rPr>
              <w:t>Hinterlassene Spur</w:t>
            </w:r>
          </w:p>
        </w:tc>
        <w:tc>
          <w:tcPr>
            <w:tcW w:type="dxa" w:w="5904"/>
          </w:tcPr>
          <w:p>
            <w:r>
              <w:rPr>
                <w:sz w:val="19"/>
              </w:rPr>
              <w:t>Logo, Template, Absendername, Tarifname „MyWebsite Now Plus" — alles IONOS-spezifisch.</w:t>
            </w:r>
          </w:p>
        </w:tc>
      </w:tr>
      <w:tr>
        <w:tc>
          <w:tcPr>
            <w:tcW w:type="dxa" w:w="2736"/>
            <w:shd w:val="clear" w:color="auto" w:fill="F2F2F2"/>
          </w:tcPr>
          <w:p>
            <w:r>
              <w:rPr>
                <w:b/>
                <w:color w:val="2E5E8C"/>
                <w:sz w:val="19"/>
              </w:rPr>
              <w:t>Erkennung / Gegenmaßnahme</w:t>
            </w:r>
          </w:p>
        </w:tc>
        <w:tc>
          <w:tcPr>
            <w:tcW w:type="dxa" w:w="5904"/>
          </w:tcPr>
          <w:p>
            <w:r>
              <w:rPr>
                <w:sz w:val="19"/>
              </w:rPr>
              <w:t>Marken-Impersonation-Erkennung (H2): Anzeigename nennt Marke, Domain gehört nicht der Marke. Brand-Monitoring.</w:t>
            </w:r>
          </w:p>
        </w:tc>
      </w:tr>
    </w:tbl>
    <w:p>
      <w:pPr>
        <w:spacing w:after="40"/>
      </w:pPr>
    </w:p>
    <w:p>
      <w:pPr>
        <w:pStyle w:val="Heading2"/>
      </w:pPr>
      <w:r>
        <w:t>2.2  Lookalike-Domain statt Spoofing</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Eigene Domain iοnos.čom / iοnos.ćom registrieren statt ionos.com zu fälschen.</w:t>
            </w:r>
          </w:p>
        </w:tc>
      </w:tr>
      <w:tr>
        <w:tc>
          <w:tcPr>
            <w:tcW w:type="dxa" w:w="2736"/>
            <w:shd w:val="clear" w:color="auto" w:fill="F2F2F2"/>
          </w:tcPr>
          <w:p>
            <w:r>
              <w:rPr>
                <w:b/>
                <w:color w:val="8C2E2E"/>
                <w:sz w:val="19"/>
              </w:rPr>
              <w:t>Vorteil für den Angreifer</w:t>
            </w:r>
          </w:p>
        </w:tc>
        <w:tc>
          <w:tcPr>
            <w:tcW w:type="dxa" w:w="5904"/>
          </w:tcPr>
          <w:p>
            <w:r>
              <w:rPr>
                <w:sz w:val="19"/>
              </w:rPr>
              <w:t>ionos.com ist mit DMARC p=reject geschützt — Spoofing würde abgewiesen. Eine eigene Domain besteht SPF/DKIM für sich selbst und umgeht DMARC vollständig.</w:t>
            </w:r>
          </w:p>
        </w:tc>
      </w:tr>
      <w:tr>
        <w:tc>
          <w:tcPr>
            <w:tcW w:type="dxa" w:w="2736"/>
            <w:shd w:val="clear" w:color="auto" w:fill="F2F2F2"/>
          </w:tcPr>
          <w:p>
            <w:r>
              <w:rPr>
                <w:b/>
                <w:sz w:val="19"/>
              </w:rPr>
              <w:t>Hinterlassene Spur</w:t>
            </w:r>
          </w:p>
        </w:tc>
        <w:tc>
          <w:tcPr>
            <w:tcW w:type="dxa" w:w="5904"/>
          </w:tcPr>
          <w:p>
            <w:r>
              <w:rPr>
                <w:sz w:val="19"/>
              </w:rPr>
              <w:t>Punycode xn--inos-0nd im Envelope und From; griechisches Omikron (U+039F) im Namen.</w:t>
            </w:r>
          </w:p>
        </w:tc>
      </w:tr>
      <w:tr>
        <w:tc>
          <w:tcPr>
            <w:tcW w:type="dxa" w:w="2736"/>
            <w:shd w:val="clear" w:color="auto" w:fill="F2F2F2"/>
          </w:tcPr>
          <w:p>
            <w:r>
              <w:rPr>
                <w:b/>
                <w:color w:val="2E5E8C"/>
                <w:sz w:val="19"/>
              </w:rPr>
              <w:t>Erkennung / Gegenmaßnahme</w:t>
            </w:r>
          </w:p>
        </w:tc>
        <w:tc>
          <w:tcPr>
            <w:tcW w:type="dxa" w:w="5904"/>
          </w:tcPr>
          <w:p>
            <w:r>
              <w:rPr>
                <w:sz w:val="19"/>
              </w:rPr>
              <w:t>H1: From-Domain enthält xn--. YARA $from_puny. Mixed-Script-Prüfung des Hostnamens.</w:t>
            </w:r>
          </w:p>
        </w:tc>
      </w:tr>
    </w:tbl>
    <w:p>
      <w:pPr>
        <w:spacing w:after="40"/>
      </w:pPr>
    </w:p>
    <w:p>
      <w:pPr>
        <w:pStyle w:val="Heading2"/>
      </w:pPr>
      <w:r>
        <w:t>2.3  Homoglyphen im Anzeigenamen und Text</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Lateinische Buchstaben durch optisch gleiche kyrillische/griechische ersetzen (lΟNΟS, geehrtе).</w:t>
            </w:r>
          </w:p>
        </w:tc>
      </w:tr>
      <w:tr>
        <w:tc>
          <w:tcPr>
            <w:tcW w:type="dxa" w:w="2736"/>
            <w:shd w:val="clear" w:color="auto" w:fill="F2F2F2"/>
          </w:tcPr>
          <w:p>
            <w:r>
              <w:rPr>
                <w:b/>
                <w:color w:val="8C2E2E"/>
                <w:sz w:val="19"/>
              </w:rPr>
              <w:t>Vorteil für den Angreifer</w:t>
            </w:r>
          </w:p>
        </w:tc>
        <w:tc>
          <w:tcPr>
            <w:tcW w:type="dxa" w:w="5904"/>
          </w:tcPr>
          <w:p>
            <w:r>
              <w:rPr>
                <w:sz w:val="19"/>
              </w:rPr>
              <w:t>Für das menschliche Auge identisch, aber andere Byte-Werte — umgeht naive String-Blocklisten auf „IONOS" und stört Textfilter.</w:t>
            </w:r>
          </w:p>
        </w:tc>
      </w:tr>
      <w:tr>
        <w:tc>
          <w:tcPr>
            <w:tcW w:type="dxa" w:w="2736"/>
            <w:shd w:val="clear" w:color="auto" w:fill="F2F2F2"/>
          </w:tcPr>
          <w:p>
            <w:r>
              <w:rPr>
                <w:b/>
                <w:sz w:val="19"/>
              </w:rPr>
              <w:t>Hinterlassene Spur</w:t>
            </w:r>
          </w:p>
        </w:tc>
        <w:tc>
          <w:tcPr>
            <w:tcW w:type="dxa" w:w="5904"/>
          </w:tcPr>
          <w:p>
            <w:r>
              <w:rPr>
                <w:sz w:val="19"/>
              </w:rPr>
              <w:t>U+039F, U+0435, U+0441 etc. mitten in lateinischen Wörtern; QP-kodiert =CE=9F.</w:t>
            </w:r>
          </w:p>
        </w:tc>
      </w:tr>
      <w:tr>
        <w:tc>
          <w:tcPr>
            <w:tcW w:type="dxa" w:w="2736"/>
            <w:shd w:val="clear" w:color="auto" w:fill="F2F2F2"/>
          </w:tcPr>
          <w:p>
            <w:r>
              <w:rPr>
                <w:b/>
                <w:color w:val="2E5E8C"/>
                <w:sz w:val="19"/>
              </w:rPr>
              <w:t>Erkennung / Gegenmaßnahme</w:t>
            </w:r>
          </w:p>
        </w:tc>
        <w:tc>
          <w:tcPr>
            <w:tcW w:type="dxa" w:w="5904"/>
          </w:tcPr>
          <w:p>
            <w:r>
              <w:rPr>
                <w:sz w:val="19"/>
              </w:rPr>
              <w:t>H3 (Schriftsystem-Mischung in einem Wort) — sehr geringe Fehlalarmrate. YARA $omikron.</w:t>
            </w:r>
          </w:p>
        </w:tc>
      </w:tr>
    </w:tbl>
    <w:p>
      <w:pPr>
        <w:spacing w:after="40"/>
      </w:pPr>
    </w:p>
    <w:p>
      <w:pPr>
        <w:pStyle w:val="Heading2"/>
      </w:pPr>
      <w:r>
        <w:t>2.4  Zero-Width-Zeichen im Betreff</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Unsichtbare Unicode-Zeichen (U+200B/C/D, U+2060, U+FEFF) in Betreff und Namen einstreuen.</w:t>
            </w:r>
          </w:p>
        </w:tc>
      </w:tr>
      <w:tr>
        <w:tc>
          <w:tcPr>
            <w:tcW w:type="dxa" w:w="2736"/>
            <w:shd w:val="clear" w:color="auto" w:fill="F2F2F2"/>
          </w:tcPr>
          <w:p>
            <w:r>
              <w:rPr>
                <w:b/>
                <w:color w:val="8C2E2E"/>
                <w:sz w:val="19"/>
              </w:rPr>
              <w:t>Vorteil für den Angreifer</w:t>
            </w:r>
          </w:p>
        </w:tc>
        <w:tc>
          <w:tcPr>
            <w:tcW w:type="dxa" w:w="5904"/>
          </w:tcPr>
          <w:p>
            <w:r>
              <w:rPr>
                <w:sz w:val="19"/>
              </w:rPr>
              <w:t>Jede Mail wird byteweise einzigartig, ohne dass ein Mensch etwas sieht — Betreff-Hashes und exakte Signaturen laufen ins Leere (Hash-Busting).</w:t>
            </w:r>
          </w:p>
        </w:tc>
      </w:tr>
      <w:tr>
        <w:tc>
          <w:tcPr>
            <w:tcW w:type="dxa" w:w="2736"/>
            <w:shd w:val="clear" w:color="auto" w:fill="F2F2F2"/>
          </w:tcPr>
          <w:p>
            <w:r>
              <w:rPr>
                <w:b/>
                <w:sz w:val="19"/>
              </w:rPr>
              <w:t>Hinterlassene Spur</w:t>
            </w:r>
          </w:p>
        </w:tc>
        <w:tc>
          <w:tcPr>
            <w:tcW w:type="dxa" w:w="5904"/>
          </w:tcPr>
          <w:p>
            <w:r>
              <w:rPr>
                <w:sz w:val="19"/>
              </w:rPr>
              <w:t>6 (Mail 1) bzw. 8 (Mail 2) Zero-Width-Zeichen; QP =E2=80=8B usw.</w:t>
            </w:r>
          </w:p>
        </w:tc>
      </w:tr>
      <w:tr>
        <w:tc>
          <w:tcPr>
            <w:tcW w:type="dxa" w:w="2736"/>
            <w:shd w:val="clear" w:color="auto" w:fill="F2F2F2"/>
          </w:tcPr>
          <w:p>
            <w:r>
              <w:rPr>
                <w:b/>
                <w:color w:val="2E5E8C"/>
                <w:sz w:val="19"/>
              </w:rPr>
              <w:t>Erkennung / Gegenmaßnahme</w:t>
            </w:r>
          </w:p>
        </w:tc>
        <w:tc>
          <w:tcPr>
            <w:tcW w:type="dxa" w:w="5904"/>
          </w:tcPr>
          <w:p>
            <w:r>
              <w:rPr>
                <w:sz w:val="19"/>
              </w:rPr>
              <w:t>H4: Zero-Width im Betreff ist für legitime Mail praktisch nie nötig. YARA $zw_*.</w:t>
            </w:r>
          </w:p>
        </w:tc>
      </w:tr>
    </w:tbl>
    <w:p>
      <w:pPr>
        <w:spacing w:after="40"/>
      </w:pPr>
    </w:p>
    <w:p>
      <w:pPr>
        <w:pStyle w:val="Heading2"/>
      </w:pPr>
      <w:r>
        <w:t>2.5  Nur HTML, kein Text-Teil</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Die Mail als reines text/html senden, ohne text/plain-Alternative.</w:t>
            </w:r>
          </w:p>
        </w:tc>
      </w:tr>
      <w:tr>
        <w:tc>
          <w:tcPr>
            <w:tcW w:type="dxa" w:w="2736"/>
            <w:shd w:val="clear" w:color="auto" w:fill="F2F2F2"/>
          </w:tcPr>
          <w:p>
            <w:r>
              <w:rPr>
                <w:b/>
                <w:color w:val="8C2E2E"/>
                <w:sz w:val="19"/>
              </w:rPr>
              <w:t>Vorteil für den Angreifer</w:t>
            </w:r>
          </w:p>
        </w:tc>
        <w:tc>
          <w:tcPr>
            <w:tcW w:type="dxa" w:w="5904"/>
          </w:tcPr>
          <w:p>
            <w:r>
              <w:rPr>
                <w:sz w:val="19"/>
              </w:rPr>
              <w:t>Zwingt jeden dazu, das HTML zu rendern; einfache Textfilter und text-only-Clients sehen den präparierten Inhalt gar nicht sauber.</w:t>
            </w:r>
          </w:p>
        </w:tc>
      </w:tr>
      <w:tr>
        <w:tc>
          <w:tcPr>
            <w:tcW w:type="dxa" w:w="2736"/>
            <w:shd w:val="clear" w:color="auto" w:fill="F2F2F2"/>
          </w:tcPr>
          <w:p>
            <w:r>
              <w:rPr>
                <w:b/>
                <w:sz w:val="19"/>
              </w:rPr>
              <w:t>Hinterlassene Spur</w:t>
            </w:r>
          </w:p>
        </w:tc>
        <w:tc>
          <w:tcPr>
            <w:tcW w:type="dxa" w:w="5904"/>
          </w:tcPr>
          <w:p>
            <w:r>
              <w:rPr>
                <w:sz w:val="19"/>
              </w:rPr>
              <w:t>MIME-Struktur ohne text/plain-Part.</w:t>
            </w:r>
          </w:p>
        </w:tc>
      </w:tr>
      <w:tr>
        <w:tc>
          <w:tcPr>
            <w:tcW w:type="dxa" w:w="2736"/>
            <w:shd w:val="clear" w:color="auto" w:fill="F2F2F2"/>
          </w:tcPr>
          <w:p>
            <w:r>
              <w:rPr>
                <w:b/>
                <w:color w:val="2E5E8C"/>
                <w:sz w:val="19"/>
              </w:rPr>
              <w:t>Erkennung / Gegenmaßnahme</w:t>
            </w:r>
          </w:p>
        </w:tc>
        <w:tc>
          <w:tcPr>
            <w:tcW w:type="dxa" w:w="5904"/>
          </w:tcPr>
          <w:p>
            <w:r>
              <w:rPr>
                <w:sz w:val="19"/>
              </w:rPr>
              <w:t>H6: fehlender Text-Teil als schwaches Signal, in Kombination wertvoll.</w:t>
            </w:r>
          </w:p>
        </w:tc>
      </w:tr>
    </w:tbl>
    <w:p>
      <w:pPr>
        <w:spacing w:after="40"/>
      </w:pPr>
    </w:p>
    <w:p>
      <w:pPr>
        <w:pStyle w:val="Heading2"/>
      </w:pPr>
      <w:r>
        <w:t>2.6  Hidden Text Salting + Bayesian Poisoning</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Hunderte unsichtbare &lt;span&gt; (font-size:0, color:transparent) mit harmlosen Füllwörtern, die den sichtbaren Text in 2-Buchstaben-Fragmente zerlegen.</w:t>
            </w:r>
          </w:p>
        </w:tc>
      </w:tr>
      <w:tr>
        <w:tc>
          <w:tcPr>
            <w:tcW w:type="dxa" w:w="2736"/>
            <w:shd w:val="clear" w:color="auto" w:fill="F2F2F2"/>
          </w:tcPr>
          <w:p>
            <w:r>
              <w:rPr>
                <w:b/>
                <w:color w:val="8C2E2E"/>
                <w:sz w:val="19"/>
              </w:rPr>
              <w:t>Vorteil für den Angreifer</w:t>
            </w:r>
          </w:p>
        </w:tc>
        <w:tc>
          <w:tcPr>
            <w:tcW w:type="dxa" w:w="5904"/>
          </w:tcPr>
          <w:p>
            <w:r>
              <w:rPr>
                <w:sz w:val="19"/>
              </w:rPr>
              <w:t>Statistische Spamfilter lesen „Ku-download-nd" und viele neutrale Buzzwords → Mail wirkt wie ein harmloser Newsletter. Der Mensch sieht „Kunden".</w:t>
            </w:r>
          </w:p>
        </w:tc>
      </w:tr>
      <w:tr>
        <w:tc>
          <w:tcPr>
            <w:tcW w:type="dxa" w:w="2736"/>
            <w:shd w:val="clear" w:color="auto" w:fill="F2F2F2"/>
          </w:tcPr>
          <w:p>
            <w:r>
              <w:rPr>
                <w:b/>
                <w:sz w:val="19"/>
              </w:rPr>
              <w:t>Hinterlassene Spur</w:t>
            </w:r>
          </w:p>
        </w:tc>
        <w:tc>
          <w:tcPr>
            <w:tcW w:type="dxa" w:w="5904"/>
          </w:tcPr>
          <w:p>
            <w:r>
              <w:rPr>
                <w:sz w:val="19"/>
              </w:rPr>
              <w:t>4 (Mail 1) bzw. 439 (Mail 2) versteckte Spans mit zeichengenau gleichem Style-String; mso-hide:all.</w:t>
            </w:r>
          </w:p>
        </w:tc>
      </w:tr>
      <w:tr>
        <w:tc>
          <w:tcPr>
            <w:tcW w:type="dxa" w:w="2736"/>
            <w:shd w:val="clear" w:color="auto" w:fill="F2F2F2"/>
          </w:tcPr>
          <w:p>
            <w:r>
              <w:rPr>
                <w:b/>
                <w:color w:val="2E5E8C"/>
                <w:sz w:val="19"/>
              </w:rPr>
              <w:t>Erkennung / Gegenmaßnahme</w:t>
            </w:r>
          </w:p>
        </w:tc>
        <w:tc>
          <w:tcPr>
            <w:tcW w:type="dxa" w:w="5904"/>
          </w:tcPr>
          <w:p>
            <w:r>
              <w:rPr>
                <w:sz w:val="19"/>
              </w:rPr>
              <w:t>H5 + YARA ($hide_a/$hide_b + $mso_hide). Text erst nach Entfernen versteckter Elemente bewerten.</w:t>
            </w:r>
          </w:p>
        </w:tc>
      </w:tr>
    </w:tbl>
    <w:p>
      <w:pPr>
        <w:spacing w:after="40"/>
      </w:pPr>
    </w:p>
    <w:p>
      <w:pPr>
        <w:pStyle w:val="Heading2"/>
      </w:pPr>
      <w:r>
        <w:t>2.7  Mail 1: Hosting auf AWS S3</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Die Köderseite in einen S3-Bucket legen (Living off Trusted Sites).</w:t>
            </w:r>
          </w:p>
        </w:tc>
      </w:tr>
      <w:tr>
        <w:tc>
          <w:tcPr>
            <w:tcW w:type="dxa" w:w="2736"/>
            <w:shd w:val="clear" w:color="auto" w:fill="F2F2F2"/>
          </w:tcPr>
          <w:p>
            <w:r>
              <w:rPr>
                <w:b/>
                <w:color w:val="8C2E2E"/>
                <w:sz w:val="19"/>
              </w:rPr>
              <w:t>Vorteil für den Angreifer</w:t>
            </w:r>
          </w:p>
        </w:tc>
        <w:tc>
          <w:tcPr>
            <w:tcW w:type="dxa" w:w="5904"/>
          </w:tcPr>
          <w:p>
            <w:r>
              <w:rPr>
                <w:sz w:val="19"/>
              </w:rPr>
              <w:t>amazonaws.com ist vertrauenswürdig und selten geblockt; schnell, billig, wegwerfbar.</w:t>
            </w:r>
          </w:p>
        </w:tc>
      </w:tr>
      <w:tr>
        <w:tc>
          <w:tcPr>
            <w:tcW w:type="dxa" w:w="2736"/>
            <w:shd w:val="clear" w:color="auto" w:fill="F2F2F2"/>
          </w:tcPr>
          <w:p>
            <w:r>
              <w:rPr>
                <w:b/>
                <w:sz w:val="19"/>
              </w:rPr>
              <w:t>Hinterlassene Spur</w:t>
            </w:r>
          </w:p>
        </w:tc>
        <w:tc>
          <w:tcPr>
            <w:tcW w:type="dxa" w:w="5904"/>
          </w:tcPr>
          <w:p>
            <w:r>
              <w:rPr>
                <w:sz w:val="19"/>
              </w:rPr>
              <w:t>Link auf …s3.ap-northeast-2.amazonaws.com; Region Seoul.</w:t>
            </w:r>
          </w:p>
        </w:tc>
      </w:tr>
      <w:tr>
        <w:tc>
          <w:tcPr>
            <w:tcW w:type="dxa" w:w="2736"/>
            <w:shd w:val="clear" w:color="auto" w:fill="F2F2F2"/>
          </w:tcPr>
          <w:p>
            <w:r>
              <w:rPr>
                <w:b/>
                <w:color w:val="2E5E8C"/>
                <w:sz w:val="19"/>
              </w:rPr>
              <w:t>Erkennung / Gegenmaßnahme</w:t>
            </w:r>
          </w:p>
        </w:tc>
        <w:tc>
          <w:tcPr>
            <w:tcW w:type="dxa" w:w="5904"/>
          </w:tcPr>
          <w:p>
            <w:r>
              <w:rPr>
                <w:sz w:val="19"/>
              </w:rPr>
              <w:t>H8: Link auf Hosting-/Redirect-Dienste in markenfremdem Kontext. urlscan.io (privat) für die Seite.</w:t>
            </w:r>
          </w:p>
        </w:tc>
      </w:tr>
    </w:tbl>
    <w:p>
      <w:pPr>
        <w:spacing w:after="40"/>
      </w:pPr>
    </w:p>
    <w:p>
      <w:pPr>
        <w:pStyle w:val="Heading2"/>
      </w:pPr>
      <w:r>
        <w:t>2.8  Mail 2: Versand über gehackten Server</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Statt eigener Infrastruktur einen fremden, legitimen Webserver kapern und dessen Mailer nutzen.</w:t>
            </w:r>
          </w:p>
        </w:tc>
      </w:tr>
      <w:tr>
        <w:tc>
          <w:tcPr>
            <w:tcW w:type="dxa" w:w="2736"/>
            <w:shd w:val="clear" w:color="auto" w:fill="F2F2F2"/>
          </w:tcPr>
          <w:p>
            <w:r>
              <w:rPr>
                <w:b/>
                <w:color w:val="8C2E2E"/>
                <w:sz w:val="19"/>
              </w:rPr>
              <w:t>Vorteil für den Angreifer</w:t>
            </w:r>
          </w:p>
        </w:tc>
        <w:tc>
          <w:tcPr>
            <w:tcW w:type="dxa" w:w="5904"/>
          </w:tcPr>
          <w:p>
            <w:r>
              <w:rPr>
                <w:sz w:val="19"/>
              </w:rPr>
              <w:t>Kostenlos spf=pass, weil die Mail vom echten Server der Domain kommt. Abuse-Last und Rückverfolgung landen beim Opfer, nicht beim Angreifer.</w:t>
            </w:r>
          </w:p>
        </w:tc>
      </w:tr>
      <w:tr>
        <w:tc>
          <w:tcPr>
            <w:tcW w:type="dxa" w:w="2736"/>
            <w:shd w:val="clear" w:color="auto" w:fill="F2F2F2"/>
          </w:tcPr>
          <w:p>
            <w:r>
              <w:rPr>
                <w:b/>
                <w:sz w:val="19"/>
              </w:rPr>
              <w:t>Hinterlassene Spur</w:t>
            </w:r>
          </w:p>
        </w:tc>
        <w:tc>
          <w:tcPr>
            <w:tcW w:type="dxa" w:w="5904"/>
          </w:tcPr>
          <w:p>
            <w:r>
              <w:rPr>
                <w:sz w:val="19"/>
              </w:rPr>
              <w:t>cPanel-Header X-PHP-Script, X-Source-Dir /public_html/…; Exim; PHP 7.2 (EOL).</w:t>
            </w:r>
          </w:p>
        </w:tc>
      </w:tr>
      <w:tr>
        <w:tc>
          <w:tcPr>
            <w:tcW w:type="dxa" w:w="2736"/>
            <w:shd w:val="clear" w:color="auto" w:fill="F2F2F2"/>
          </w:tcPr>
          <w:p>
            <w:r>
              <w:rPr>
                <w:b/>
                <w:color w:val="2E5E8C"/>
                <w:sz w:val="19"/>
              </w:rPr>
              <w:t>Erkennung / Gegenmaßnahme</w:t>
            </w:r>
          </w:p>
        </w:tc>
        <w:tc>
          <w:tcPr>
            <w:tcW w:type="dxa" w:w="5904"/>
          </w:tcPr>
          <w:p>
            <w:r>
              <w:rPr>
                <w:sz w:val="19"/>
              </w:rPr>
              <w:t>H10: X-PHP-Script vorhanden. spf=pass niemals als Legitimitätsbeweis werten — Alignment prüfen.</w:t>
            </w:r>
          </w:p>
        </w:tc>
      </w:tr>
    </w:tbl>
    <w:p>
      <w:pPr>
        <w:spacing w:after="40"/>
      </w:pPr>
    </w:p>
    <w:p>
      <w:pPr>
        <w:pStyle w:val="Heading2"/>
      </w:pPr>
      <w:r>
        <w:t>2.9  Angreifer-IP in Leasing-Netz</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Den Mailer von einer IP in einem IP-Leasing-Netz aus aufrufen (GB-Inhaber, AL-Block, LT-Sponsor), ohne PTR.</w:t>
            </w:r>
          </w:p>
        </w:tc>
      </w:tr>
      <w:tr>
        <w:tc>
          <w:tcPr>
            <w:tcW w:type="dxa" w:w="2736"/>
            <w:shd w:val="clear" w:color="auto" w:fill="F2F2F2"/>
          </w:tcPr>
          <w:p>
            <w:r>
              <w:rPr>
                <w:b/>
                <w:color w:val="8C2E2E"/>
                <w:sz w:val="19"/>
              </w:rPr>
              <w:t>Vorteil für den Angreifer</w:t>
            </w:r>
          </w:p>
        </w:tc>
        <w:tc>
          <w:tcPr>
            <w:tcW w:type="dxa" w:w="5904"/>
          </w:tcPr>
          <w:p>
            <w:r>
              <w:rPr>
                <w:sz w:val="19"/>
              </w:rPr>
              <w:t>Mehrere Jurisdiktionen bremsen Auskunftsersuchen; junges Netz hat kaum Reputationshistorie; kein PTR erschwert Zuordnung.</w:t>
            </w:r>
          </w:p>
        </w:tc>
      </w:tr>
      <w:tr>
        <w:tc>
          <w:tcPr>
            <w:tcW w:type="dxa" w:w="2736"/>
            <w:shd w:val="clear" w:color="auto" w:fill="F2F2F2"/>
          </w:tcPr>
          <w:p>
            <w:r>
              <w:rPr>
                <w:b/>
                <w:sz w:val="19"/>
              </w:rPr>
              <w:t>Hinterlassene Spur</w:t>
            </w:r>
          </w:p>
        </w:tc>
        <w:tc>
          <w:tcPr>
            <w:tcW w:type="dxa" w:w="5904"/>
          </w:tcPr>
          <w:p>
            <w:r>
              <w:rPr>
                <w:sz w:val="19"/>
              </w:rPr>
              <w:t>45.89.60.94 im X-PHP-Script-Header; whois zeigt Leasing-Netz voller VPS/Proxy-Kunden.</w:t>
            </w:r>
          </w:p>
        </w:tc>
      </w:tr>
      <w:tr>
        <w:tc>
          <w:tcPr>
            <w:tcW w:type="dxa" w:w="2736"/>
            <w:shd w:val="clear" w:color="auto" w:fill="F2F2F2"/>
          </w:tcPr>
          <w:p>
            <w:r>
              <w:rPr>
                <w:b/>
                <w:color w:val="2E5E8C"/>
                <w:sz w:val="19"/>
              </w:rPr>
              <w:t>Erkennung / Gegenmaßnahme</w:t>
            </w:r>
          </w:p>
        </w:tc>
        <w:tc>
          <w:tcPr>
            <w:tcW w:type="dxa" w:w="5904"/>
          </w:tcPr>
          <w:p>
            <w:r>
              <w:rPr>
                <w:sz w:val="19"/>
              </w:rPr>
              <w:t>Block als IOC führen; „Alter des Netzblocks" und „kein PTR" als Hunting-Signale. Abuse an globconnex.com.</w:t>
            </w:r>
          </w:p>
        </w:tc>
      </w:tr>
    </w:tbl>
    <w:p>
      <w:pPr>
        <w:spacing w:after="40"/>
      </w:pPr>
    </w:p>
    <w:p>
      <w:pPr>
        <w:pStyle w:val="Heading2"/>
      </w:pPr>
      <w:r>
        <w:t>2.10  Mail 2: Link hinter Google-Redirect</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Den Link nicht direkt auf die Köderseite, sondern über google.com/goto leiten.</w:t>
            </w:r>
          </w:p>
        </w:tc>
      </w:tr>
      <w:tr>
        <w:tc>
          <w:tcPr>
            <w:tcW w:type="dxa" w:w="2736"/>
            <w:shd w:val="clear" w:color="auto" w:fill="F2F2F2"/>
          </w:tcPr>
          <w:p>
            <w:r>
              <w:rPr>
                <w:b/>
                <w:color w:val="8C2E2E"/>
                <w:sz w:val="19"/>
              </w:rPr>
              <w:t>Vorteil für den Angreifer</w:t>
            </w:r>
          </w:p>
        </w:tc>
        <w:tc>
          <w:tcPr>
            <w:tcW w:type="dxa" w:w="5904"/>
          </w:tcPr>
          <w:p>
            <w:r>
              <w:rPr>
                <w:sz w:val="19"/>
              </w:rPr>
              <w:t>Der sichtbare Link beginnt mit google.com — wirkt seriös und rutscht an Reputations-Checks vorbei (Open Redirect / LOTS).</w:t>
            </w:r>
          </w:p>
        </w:tc>
      </w:tr>
      <w:tr>
        <w:tc>
          <w:tcPr>
            <w:tcW w:type="dxa" w:w="2736"/>
            <w:shd w:val="clear" w:color="auto" w:fill="F2F2F2"/>
          </w:tcPr>
          <w:p>
            <w:r>
              <w:rPr>
                <w:b/>
                <w:sz w:val="19"/>
              </w:rPr>
              <w:t>Hinterlassene Spur</w:t>
            </w:r>
          </w:p>
        </w:tc>
        <w:tc>
          <w:tcPr>
            <w:tcW w:type="dxa" w:w="5904"/>
          </w:tcPr>
          <w:p>
            <w:r>
              <w:rPr>
                <w:sz w:val="19"/>
              </w:rPr>
              <w:t>google.com/goto?url=CAESVwHr… mit verschlüsseltem 91-Byte-Protobuf-Ziel.</w:t>
            </w:r>
          </w:p>
        </w:tc>
      </w:tr>
      <w:tr>
        <w:tc>
          <w:tcPr>
            <w:tcW w:type="dxa" w:w="2736"/>
            <w:shd w:val="clear" w:color="auto" w:fill="F2F2F2"/>
          </w:tcPr>
          <w:p>
            <w:r>
              <w:rPr>
                <w:b/>
                <w:color w:val="2E5E8C"/>
                <w:sz w:val="19"/>
              </w:rPr>
              <w:t>Erkennung / Gegenmaßnahme</w:t>
            </w:r>
          </w:p>
        </w:tc>
        <w:tc>
          <w:tcPr>
            <w:tcW w:type="dxa" w:w="5904"/>
          </w:tcPr>
          <w:p>
            <w:r>
              <w:rPr>
                <w:sz w:val="19"/>
              </w:rPr>
              <w:t>H8 + H11 (Button ist Bild). Redirect isoliert auflösen (Sandbox-VM), Safe-Browsing-Report an Google.</w:t>
            </w:r>
          </w:p>
        </w:tc>
      </w:tr>
    </w:tbl>
    <w:p>
      <w:pPr>
        <w:spacing w:after="40"/>
      </w:pPr>
    </w:p>
    <w:p>
      <w:pPr>
        <w:pStyle w:val="Heading2"/>
      </w:pPr>
      <w:r>
        <w:t>2.11  Tracking der Opferadresse</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Die Empfängeradresse base64-kodiert als Parameter in den Link einbetten (Mail 1, em=).</w:t>
            </w:r>
          </w:p>
        </w:tc>
      </w:tr>
      <w:tr>
        <w:tc>
          <w:tcPr>
            <w:tcW w:type="dxa" w:w="2736"/>
            <w:shd w:val="clear" w:color="auto" w:fill="F2F2F2"/>
          </w:tcPr>
          <w:p>
            <w:r>
              <w:rPr>
                <w:b/>
                <w:color w:val="8C2E2E"/>
                <w:sz w:val="19"/>
              </w:rPr>
              <w:t>Vorteil für den Angreifer</w:t>
            </w:r>
          </w:p>
        </w:tc>
        <w:tc>
          <w:tcPr>
            <w:tcW w:type="dxa" w:w="5904"/>
          </w:tcPr>
          <w:p>
            <w:r>
              <w:rPr>
                <w:sz w:val="19"/>
              </w:rPr>
              <w:t>Der Angreifer erfährt beim Klick genau, welche Adresse reagiert hat — bestätigt aktive Postfächer für Folgekampagnen.</w:t>
            </w:r>
          </w:p>
        </w:tc>
      </w:tr>
      <w:tr>
        <w:tc>
          <w:tcPr>
            <w:tcW w:type="dxa" w:w="2736"/>
            <w:shd w:val="clear" w:color="auto" w:fill="F2F2F2"/>
          </w:tcPr>
          <w:p>
            <w:r>
              <w:rPr>
                <w:b/>
                <w:sz w:val="19"/>
              </w:rPr>
              <w:t>Hinterlassene Spur</w:t>
            </w:r>
          </w:p>
        </w:tc>
        <w:tc>
          <w:tcPr>
            <w:tcW w:type="dxa" w:w="5904"/>
          </w:tcPr>
          <w:p>
            <w:r>
              <w:rPr>
                <w:sz w:val="19"/>
              </w:rPr>
              <w:t>em=&lt;base64 der Empfängeradresse&gt; im S3-Link.</w:t>
            </w:r>
          </w:p>
        </w:tc>
      </w:tr>
      <w:tr>
        <w:tc>
          <w:tcPr>
            <w:tcW w:type="dxa" w:w="2736"/>
            <w:shd w:val="clear" w:color="auto" w:fill="F2F2F2"/>
          </w:tcPr>
          <w:p>
            <w:r>
              <w:rPr>
                <w:b/>
                <w:color w:val="2E5E8C"/>
                <w:sz w:val="19"/>
              </w:rPr>
              <w:t>Erkennung / Gegenmaßnahme</w:t>
            </w:r>
          </w:p>
        </w:tc>
        <w:tc>
          <w:tcPr>
            <w:tcW w:type="dxa" w:w="5904"/>
          </w:tcPr>
          <w:p>
            <w:r>
              <w:rPr>
                <w:sz w:val="19"/>
              </w:rPr>
              <w:t>H9: Base64 der eigenen Adresse im Link. Vor jeder Analyse Tracking-Parameter entfernen.</w:t>
            </w:r>
          </w:p>
        </w:tc>
      </w:tr>
    </w:tbl>
    <w:p>
      <w:pPr>
        <w:spacing w:after="40"/>
      </w:pPr>
    </w:p>
    <w:p>
      <w:pPr>
        <w:pStyle w:val="Heading2"/>
      </w:pPr>
      <w:r>
        <w:t>2.12  Hash-Busting durch Rauschbilder</w:t>
      </w:r>
    </w:p>
    <w:tbl>
      <w:tblPr>
        <w:tblStyle w:val="TableGrid"/>
        <w:tblW w:type="auto" w:w="0"/>
        <w:tblLook w:firstColumn="1" w:firstRow="1" w:lastColumn="0" w:lastRow="0" w:noHBand="0" w:noVBand="1" w:val="04A0"/>
      </w:tblPr>
      <w:tblGrid>
        <w:gridCol w:w="4320"/>
        <w:gridCol w:w="4320"/>
      </w:tblGrid>
      <w:tr>
        <w:tc>
          <w:tcPr>
            <w:tcW w:type="dxa" w:w="2736"/>
            <w:shd w:val="clear" w:color="auto" w:fill="F2F2F2"/>
          </w:tcPr>
          <w:p>
            <w:r>
              <w:rPr>
                <w:b/>
                <w:sz w:val="19"/>
              </w:rPr>
              <w:t>Entscheidung</w:t>
            </w:r>
          </w:p>
        </w:tc>
        <w:tc>
          <w:tcPr>
            <w:tcW w:type="dxa" w:w="5904"/>
          </w:tcPr>
          <w:p>
            <w:r>
              <w:rPr>
                <w:sz w:val="19"/>
              </w:rPr>
              <w:t>75 zusätzliche base64-Bilder (503×499 px) mit je eindeutigem Hash einbetten.</w:t>
            </w:r>
          </w:p>
        </w:tc>
      </w:tr>
      <w:tr>
        <w:tc>
          <w:tcPr>
            <w:tcW w:type="dxa" w:w="2736"/>
            <w:shd w:val="clear" w:color="auto" w:fill="F2F2F2"/>
          </w:tcPr>
          <w:p>
            <w:r>
              <w:rPr>
                <w:b/>
                <w:color w:val="8C2E2E"/>
                <w:sz w:val="19"/>
              </w:rPr>
              <w:t>Vorteil für den Angreifer</w:t>
            </w:r>
          </w:p>
        </w:tc>
        <w:tc>
          <w:tcPr>
            <w:tcW w:type="dxa" w:w="5904"/>
          </w:tcPr>
          <w:p>
            <w:r>
              <w:rPr>
                <w:sz w:val="19"/>
              </w:rPr>
              <w:t>Jede Mail bekommt andere Anhänge-Hashes; Hash-Blocklisten und Bild-Fingerprints laufen ins Leere.</w:t>
            </w:r>
          </w:p>
        </w:tc>
      </w:tr>
      <w:tr>
        <w:tc>
          <w:tcPr>
            <w:tcW w:type="dxa" w:w="2736"/>
            <w:shd w:val="clear" w:color="auto" w:fill="F2F2F2"/>
          </w:tcPr>
          <w:p>
            <w:r>
              <w:rPr>
                <w:b/>
                <w:sz w:val="19"/>
              </w:rPr>
              <w:t>Hinterlassene Spur</w:t>
            </w:r>
          </w:p>
        </w:tc>
        <w:tc>
          <w:tcPr>
            <w:tcW w:type="dxa" w:w="5904"/>
          </w:tcPr>
          <w:p>
            <w:r>
              <w:rPr>
                <w:sz w:val="19"/>
              </w:rPr>
              <w:t>79 base64-Bilder gesamt, davon 75 Rauschbilder mit Unikat-Hash.</w:t>
            </w:r>
          </w:p>
        </w:tc>
      </w:tr>
      <w:tr>
        <w:tc>
          <w:tcPr>
            <w:tcW w:type="dxa" w:w="2736"/>
            <w:shd w:val="clear" w:color="auto" w:fill="F2F2F2"/>
          </w:tcPr>
          <w:p>
            <w:r>
              <w:rPr>
                <w:b/>
                <w:color w:val="2E5E8C"/>
                <w:sz w:val="19"/>
              </w:rPr>
              <w:t>Erkennung / Gegenmaßnahme</w:t>
            </w:r>
          </w:p>
        </w:tc>
        <w:tc>
          <w:tcPr>
            <w:tcW w:type="dxa" w:w="5904"/>
          </w:tcPr>
          <w:p>
            <w:r>
              <w:rPr>
                <w:sz w:val="19"/>
              </w:rPr>
              <w:t>Nicht auf Datei-Hashes verlassen; auf Struktur/Kit-Merkmale prüfen (Pyramid of Pain).</w:t>
            </w:r>
          </w:p>
        </w:tc>
      </w:tr>
    </w:tbl>
    <w:p>
      <w:pPr>
        <w:spacing w:after="40"/>
      </w:pPr>
    </w:p>
    <w:p>
      <w:pPr>
        <w:pStyle w:val="Heading1"/>
      </w:pPr>
      <w:r>
        <w:t>3  MITRE ATT&amp;CK-Zuordnung</w:t>
      </w:r>
    </w:p>
    <w:tbl>
      <w:tblPr>
        <w:tblStyle w:val="TableGrid"/>
        <w:tblW w:type="auto" w:w="0"/>
        <w:jc w:val="center"/>
        <w:tblLook w:firstColumn="1" w:firstRow="1" w:lastColumn="0" w:lastRow="0" w:noHBand="0" w:noVBand="1" w:val="04A0"/>
      </w:tblPr>
      <w:tblGrid>
        <w:gridCol w:w="2880"/>
        <w:gridCol w:w="2880"/>
        <w:gridCol w:w="2880"/>
      </w:tblGrid>
      <w:tr>
        <w:tc>
          <w:tcPr>
            <w:tcW w:type="dxa" w:w="5760"/>
            <w:shd w:val="clear" w:color="auto" w:fill="1F3A5F"/>
          </w:tcPr>
          <w:p>
            <w:pPr>
              <w:spacing w:after="40"/>
            </w:pPr>
            <w:r>
              <w:rPr>
                <w:b/>
                <w:color w:val="FFFFFF"/>
                <w:sz w:val="19"/>
              </w:rPr>
              <w:t>Technik</w:t>
            </w:r>
          </w:p>
        </w:tc>
        <w:tc>
          <w:tcPr>
            <w:tcW w:type="dxa" w:w="1440"/>
            <w:shd w:val="clear" w:color="auto" w:fill="1F3A5F"/>
          </w:tcPr>
          <w:p>
            <w:pPr>
              <w:spacing w:after="40"/>
            </w:pPr>
            <w:r>
              <w:rPr>
                <w:b/>
                <w:color w:val="FFFFFF"/>
                <w:sz w:val="19"/>
              </w:rPr>
              <w:t>Mail 1</w:t>
            </w:r>
          </w:p>
        </w:tc>
        <w:tc>
          <w:tcPr>
            <w:tcW w:type="dxa" w:w="1440"/>
            <w:shd w:val="clear" w:color="auto" w:fill="1F3A5F"/>
          </w:tcPr>
          <w:p>
            <w:pPr>
              <w:spacing w:after="40"/>
            </w:pPr>
            <w:r>
              <w:rPr>
                <w:b/>
                <w:color w:val="FFFFFF"/>
                <w:sz w:val="19"/>
              </w:rPr>
              <w:t>Mail 2</w:t>
            </w:r>
          </w:p>
        </w:tc>
      </w:tr>
      <w:tr>
        <w:tc>
          <w:tcPr>
            <w:tcW w:type="dxa" w:w="5760"/>
          </w:tcPr>
          <w:p>
            <w:pPr>
              <w:spacing w:after="40"/>
            </w:pPr>
            <w:r>
              <w:rPr>
                <w:b/>
                <w:sz w:val="19"/>
              </w:rPr>
              <w:t>T1566.002 Phishing: Spearphishing Link</w:t>
            </w:r>
          </w:p>
        </w:tc>
        <w:tc>
          <w:tcPr>
            <w:tcW w:type="dxa" w:w="1440"/>
          </w:tcPr>
          <w:p>
            <w:pPr>
              <w:spacing w:after="40"/>
            </w:pPr>
            <w:r>
              <w:rPr>
                <w:sz w:val="19"/>
              </w:rPr>
              <w:t>✓</w:t>
            </w:r>
          </w:p>
        </w:tc>
        <w:tc>
          <w:tcPr>
            <w:tcW w:type="dxa" w:w="1440"/>
          </w:tcPr>
          <w:p>
            <w:pPr>
              <w:spacing w:after="40"/>
            </w:pPr>
            <w:r>
              <w:rPr>
                <w:sz w:val="19"/>
              </w:rPr>
              <w:t>✓</w:t>
            </w:r>
          </w:p>
        </w:tc>
      </w:tr>
      <w:tr>
        <w:tc>
          <w:tcPr>
            <w:tcW w:type="dxa" w:w="5760"/>
          </w:tcPr>
          <w:p>
            <w:pPr>
              <w:spacing w:after="40"/>
            </w:pPr>
            <w:r>
              <w:rPr>
                <w:b/>
                <w:sz w:val="19"/>
              </w:rPr>
              <w:t>T1598.003 Phishing for Information: Spearphishing Link</w:t>
            </w:r>
          </w:p>
        </w:tc>
        <w:tc>
          <w:tcPr>
            <w:tcW w:type="dxa" w:w="1440"/>
          </w:tcPr>
          <w:p>
            <w:pPr>
              <w:spacing w:after="40"/>
            </w:pPr>
            <w:r>
              <w:rPr>
                <w:sz w:val="19"/>
              </w:rPr>
              <w:t>✓</w:t>
            </w:r>
          </w:p>
        </w:tc>
        <w:tc>
          <w:tcPr>
            <w:tcW w:type="dxa" w:w="1440"/>
          </w:tcPr>
          <w:p>
            <w:pPr>
              <w:spacing w:after="40"/>
            </w:pPr>
            <w:r>
              <w:rPr>
                <w:sz w:val="19"/>
              </w:rPr>
              <w:t>✓</w:t>
            </w:r>
          </w:p>
        </w:tc>
      </w:tr>
      <w:tr>
        <w:tc>
          <w:tcPr>
            <w:tcW w:type="dxa" w:w="5760"/>
          </w:tcPr>
          <w:p>
            <w:pPr>
              <w:spacing w:after="40"/>
            </w:pPr>
            <w:r>
              <w:rPr>
                <w:b/>
                <w:sz w:val="19"/>
              </w:rPr>
              <w:t>T1036 Masquerading</w:t>
            </w:r>
          </w:p>
        </w:tc>
        <w:tc>
          <w:tcPr>
            <w:tcW w:type="dxa" w:w="1440"/>
          </w:tcPr>
          <w:p>
            <w:pPr>
              <w:spacing w:after="40"/>
            </w:pPr>
            <w:r>
              <w:rPr>
                <w:sz w:val="19"/>
              </w:rPr>
              <w:t>✓</w:t>
            </w:r>
          </w:p>
        </w:tc>
        <w:tc>
          <w:tcPr>
            <w:tcW w:type="dxa" w:w="1440"/>
          </w:tcPr>
          <w:p>
            <w:pPr>
              <w:spacing w:after="40"/>
            </w:pPr>
            <w:r>
              <w:rPr>
                <w:sz w:val="19"/>
              </w:rPr>
              <w:t>✓</w:t>
            </w:r>
          </w:p>
        </w:tc>
      </w:tr>
      <w:tr>
        <w:tc>
          <w:tcPr>
            <w:tcW w:type="dxa" w:w="5760"/>
          </w:tcPr>
          <w:p>
            <w:pPr>
              <w:spacing w:after="40"/>
            </w:pPr>
            <w:r>
              <w:rPr>
                <w:b/>
                <w:sz w:val="19"/>
              </w:rPr>
              <w:t>T1027 Obfuscated Files or Information</w:t>
            </w:r>
          </w:p>
        </w:tc>
        <w:tc>
          <w:tcPr>
            <w:tcW w:type="dxa" w:w="1440"/>
          </w:tcPr>
          <w:p>
            <w:pPr>
              <w:spacing w:after="40"/>
            </w:pPr>
            <w:r>
              <w:rPr>
                <w:sz w:val="19"/>
              </w:rPr>
              <w:t>✓</w:t>
            </w:r>
          </w:p>
        </w:tc>
        <w:tc>
          <w:tcPr>
            <w:tcW w:type="dxa" w:w="1440"/>
          </w:tcPr>
          <w:p>
            <w:pPr>
              <w:spacing w:after="40"/>
            </w:pPr>
            <w:r>
              <w:rPr>
                <w:sz w:val="19"/>
              </w:rPr>
              <w:t>✓</w:t>
            </w:r>
          </w:p>
        </w:tc>
      </w:tr>
      <w:tr>
        <w:tc>
          <w:tcPr>
            <w:tcW w:type="dxa" w:w="5760"/>
          </w:tcPr>
          <w:p>
            <w:pPr>
              <w:spacing w:after="40"/>
            </w:pPr>
            <w:r>
              <w:rPr>
                <w:b/>
                <w:sz w:val="19"/>
              </w:rPr>
              <w:t>T1583.006 Acquire Infrastructure: Web Services (AWS S3)</w:t>
            </w:r>
          </w:p>
        </w:tc>
        <w:tc>
          <w:tcPr>
            <w:tcW w:type="dxa" w:w="1440"/>
          </w:tcPr>
          <w:p>
            <w:pPr>
              <w:spacing w:after="40"/>
            </w:pPr>
            <w:r>
              <w:rPr>
                <w:sz w:val="19"/>
              </w:rPr>
              <w:t>✓</w:t>
            </w:r>
          </w:p>
        </w:tc>
        <w:tc>
          <w:tcPr>
            <w:tcW w:type="dxa" w:w="1440"/>
          </w:tcPr>
          <w:p>
            <w:pPr>
              <w:spacing w:after="40"/>
            </w:pPr>
            <w:r>
              <w:rPr>
                <w:sz w:val="19"/>
              </w:rPr>
            </w:r>
          </w:p>
        </w:tc>
      </w:tr>
      <w:tr>
        <w:tc>
          <w:tcPr>
            <w:tcW w:type="dxa" w:w="5760"/>
          </w:tcPr>
          <w:p>
            <w:pPr>
              <w:spacing w:after="40"/>
            </w:pPr>
            <w:r>
              <w:rPr>
                <w:b/>
                <w:sz w:val="19"/>
              </w:rPr>
              <w:t>T1584 Compromise Infrastructure (gehackte Website)</w:t>
            </w:r>
          </w:p>
        </w:tc>
        <w:tc>
          <w:tcPr>
            <w:tcW w:type="dxa" w:w="1440"/>
          </w:tcPr>
          <w:p>
            <w:pPr>
              <w:spacing w:after="40"/>
            </w:pPr>
            <w:r>
              <w:rPr>
                <w:sz w:val="19"/>
              </w:rPr>
            </w:r>
          </w:p>
        </w:tc>
        <w:tc>
          <w:tcPr>
            <w:tcW w:type="dxa" w:w="1440"/>
          </w:tcPr>
          <w:p>
            <w:pPr>
              <w:spacing w:after="40"/>
            </w:pPr>
            <w:r>
              <w:rPr>
                <w:sz w:val="19"/>
              </w:rPr>
              <w:t>✓</w:t>
            </w:r>
          </w:p>
        </w:tc>
      </w:tr>
      <w:tr>
        <w:tc>
          <w:tcPr>
            <w:tcW w:type="dxa" w:w="5760"/>
          </w:tcPr>
          <w:p>
            <w:pPr>
              <w:spacing w:after="40"/>
            </w:pPr>
            <w:r>
              <w:rPr>
                <w:b/>
                <w:sz w:val="19"/>
              </w:rPr>
              <w:t>T1608.005 Stage Capabilities: Link Target</w:t>
            </w:r>
          </w:p>
        </w:tc>
        <w:tc>
          <w:tcPr>
            <w:tcW w:type="dxa" w:w="1440"/>
          </w:tcPr>
          <w:p>
            <w:pPr>
              <w:spacing w:after="40"/>
            </w:pPr>
            <w:r>
              <w:rPr>
                <w:sz w:val="19"/>
              </w:rPr>
            </w:r>
          </w:p>
        </w:tc>
        <w:tc>
          <w:tcPr>
            <w:tcW w:type="dxa" w:w="1440"/>
          </w:tcPr>
          <w:p>
            <w:pPr>
              <w:spacing w:after="40"/>
            </w:pPr>
            <w:r>
              <w:rPr>
                <w:sz w:val="19"/>
              </w:rPr>
              <w:t>✓</w:t>
            </w:r>
          </w:p>
        </w:tc>
      </w:tr>
    </w:tbl>
    <w:p>
      <w:pPr>
        <w:spacing w:after="40"/>
      </w:pPr>
    </w:p>
    <w:p>
      <w:pPr>
        <w:pStyle w:val="Heading1"/>
      </w:pPr>
      <w:r>
        <w:t>4  Pyramid of Pain — aus Angreifersicht gelesen</w:t>
      </w:r>
    </w:p>
    <w:p>
      <w:pPr>
        <w:spacing w:after="120"/>
      </w:pPr>
      <w:r>
        <w:rPr>
          <w:b w:val="0"/>
        </w:rPr>
        <w:t>Die Pyramid of Pain (David Bianco) misst, wie teuer es für den Angreifer ist, sich einer Erkennung anzupassen. Von unten nach oben steigt der Schmerz:</w:t>
      </w:r>
    </w:p>
    <w:p>
      <w:pPr>
        <w:spacing w:after="0" w:before="0"/>
        <w:ind w:left="144"/>
        <w:shd w:val="clear" w:color="auto" w:fill="F2F2F2"/>
      </w:pPr>
      <w:r>
        <w:rPr>
          <w:rFonts w:ascii="Consolas" w:hAnsi="Consolas"/>
          <w:sz w:val="18"/>
          <w:rFonts w:ascii="Consolas" w:hAnsi="Consolas"/>
        </w:rPr>
        <w:t xml:space="preserve">              ▲  TTPs                 &lt;- sehr teuer zu ändern</w:t>
      </w:r>
    </w:p>
    <w:p>
      <w:pPr>
        <w:spacing w:after="0" w:before="0"/>
        <w:ind w:left="144"/>
        <w:shd w:val="clear" w:color="auto" w:fill="F2F2F2"/>
      </w:pPr>
      <w:r>
        <w:rPr>
          <w:rFonts w:ascii="Consolas" w:hAnsi="Consolas"/>
          <w:sz w:val="18"/>
          <w:rFonts w:ascii="Consolas" w:hAnsi="Consolas"/>
        </w:rPr>
        <w:t xml:space="preserve">             ▲▲  Tools (Kit-Code)     &lt;- Style-String, Message-ID-Format</w:t>
      </w:r>
    </w:p>
    <w:p>
      <w:pPr>
        <w:spacing w:after="0" w:before="0"/>
        <w:ind w:left="144"/>
        <w:shd w:val="clear" w:color="auto" w:fill="F2F2F2"/>
      </w:pPr>
      <w:r>
        <w:rPr>
          <w:rFonts w:ascii="Consolas" w:hAnsi="Consolas"/>
          <w:sz w:val="18"/>
          <w:rFonts w:ascii="Consolas" w:hAnsi="Consolas"/>
        </w:rPr>
        <w:t xml:space="preserve">            ▲▲▲  Host-/Netz-Artefakte</w:t>
      </w:r>
    </w:p>
    <w:p>
      <w:pPr>
        <w:spacing w:after="0" w:before="0"/>
        <w:ind w:left="144"/>
        <w:shd w:val="clear" w:color="auto" w:fill="F2F2F2"/>
      </w:pPr>
      <w:r>
        <w:rPr>
          <w:rFonts w:ascii="Consolas" w:hAnsi="Consolas"/>
          <w:sz w:val="18"/>
          <w:rFonts w:ascii="Consolas" w:hAnsi="Consolas"/>
        </w:rPr>
        <w:t xml:space="preserve">           ▲▲▲▲  Domains              &lt;- rotiert zwischen Mail 1 und 2</w:t>
      </w:r>
    </w:p>
    <w:p>
      <w:pPr>
        <w:spacing w:after="0" w:before="0"/>
        <w:ind w:left="144"/>
        <w:shd w:val="clear" w:color="auto" w:fill="F2F2F2"/>
      </w:pPr>
      <w:r>
        <w:rPr>
          <w:rFonts w:ascii="Consolas" w:hAnsi="Consolas"/>
          <w:sz w:val="18"/>
          <w:rFonts w:ascii="Consolas" w:hAnsi="Consolas"/>
        </w:rPr>
        <w:t xml:space="preserve">          ▲▲▲▲▲  IP-Adressen          &lt;- rotiert</w:t>
      </w:r>
    </w:p>
    <w:p>
      <w:pPr>
        <w:spacing w:after="0" w:before="0"/>
        <w:ind w:left="144"/>
        <w:shd w:val="clear" w:color="auto" w:fill="F2F2F2"/>
      </w:pPr>
      <w:r>
        <w:rPr>
          <w:rFonts w:ascii="Consolas" w:hAnsi="Consolas"/>
          <w:sz w:val="18"/>
          <w:rFonts w:ascii="Consolas" w:hAnsi="Consolas"/>
        </w:rPr>
        <w:t xml:space="preserve">         ▲▲▲▲▲▲  Hashes               &lt;- durch Hash-Busting nutzlos gemacht</w:t>
      </w:r>
    </w:p>
    <w:p>
      <w:pPr>
        <w:spacing w:after="40"/>
      </w:pPr>
    </w:p>
    <w:p>
      <w:pPr>
        <w:pStyle w:val="ListBullet"/>
        <w:spacing w:after="60"/>
      </w:pPr>
      <w:r>
        <w:rPr>
          <w:b/>
        </w:rPr>
        <w:t xml:space="preserve">Unten billig: </w:t>
      </w:r>
      <w:r>
        <w:t>Der Angreifer wirft Hashes, IPs und Domains bewusst weg — sie zu wechseln kostet ihn fast nichts. Deshalb sind reine IOC-Blocklisten nur kurzfristig wirksam.</w:t>
      </w:r>
    </w:p>
    <w:p>
      <w:pPr>
        <w:pStyle w:val="ListBullet"/>
        <w:spacing w:after="60"/>
      </w:pPr>
      <w:r>
        <w:rPr>
          <w:b/>
        </w:rPr>
        <w:t xml:space="preserve">Oben teuer: </w:t>
      </w:r>
      <w:r>
        <w:t>Der Kit-Code (Style-String, Message-ID-Generator, Homoglyph-Funktion) bleibt über beide Mails konstant. Hier zu erkennen zwingt ihn, sein Werkzeug umzuschreiben.</w:t>
      </w:r>
    </w:p>
    <w:p>
      <w:pPr>
        <w:pStyle w:val="ListBullet"/>
        <w:spacing w:after="60"/>
      </w:pPr>
      <w:r>
        <w:rPr>
          <w:b/>
        </w:rPr>
        <w:t xml:space="preserve">Konsequenz: </w:t>
      </w:r>
      <w:r>
        <w:t>Unsere YARA-Regel und die Heuristiken H1–H11 setzen bewusst oben an — deshalb greifen sie auch nach Domain-Wechsel.</w:t>
      </w:r>
    </w:p>
    <w:p>
      <w:pPr>
        <w:pStyle w:val="Heading1"/>
      </w:pPr>
      <w:r>
        <w:t>5  Grenzen und Fehler des Angreifers</w:t>
      </w:r>
    </w:p>
    <w:p>
      <w:pPr>
        <w:spacing w:after="120"/>
      </w:pPr>
      <w:r>
        <w:rPr>
          <w:b w:val="0"/>
        </w:rPr>
        <w:t>Ebenso lehrreich ist, was der Angreifer nicht geschafft hat — das sind die Stellen, an denen die Abwehr gegriffen hat:</w:t>
      </w:r>
    </w:p>
    <w:p>
      <w:pPr>
        <w:pStyle w:val="ListBullet"/>
        <w:spacing w:after="60"/>
      </w:pPr>
      <w:r>
        <w:rPr>
          <w:b/>
        </w:rPr>
        <w:t xml:space="preserve">Beide Mails landeten im Spam. </w:t>
      </w:r>
      <w:r>
        <w:t>Trotz aller Verschleierung hat der Provider-Filter beide einsortiert — die Kombination der Signale war zu auffällig.</w:t>
      </w:r>
    </w:p>
    <w:p>
      <w:pPr>
        <w:pStyle w:val="ListBullet"/>
        <w:spacing w:after="60"/>
      </w:pPr>
      <w:r>
        <w:rPr>
          <w:b/>
        </w:rPr>
        <w:t xml:space="preserve">X-PHP-Script verrät die Angreifer-IP. </w:t>
      </w:r>
      <w:r>
        <w:t>Der Komfort eines gehackten cPanel-Servers hat den Preis, dass cPanel die aufrufende IP protokolliert — ein OpSec-Leck, das der Angreifer nicht kontrolliert.</w:t>
      </w:r>
    </w:p>
    <w:p>
      <w:pPr>
        <w:pStyle w:val="ListBullet"/>
        <w:spacing w:after="60"/>
      </w:pPr>
      <w:r>
        <w:rPr>
          <w:b/>
        </w:rPr>
        <w:t xml:space="preserve">spf=pass ist zweischneidig. </w:t>
      </w:r>
      <w:r>
        <w:t>Der gehackte Server bringt spf=pass, aber auch einen stabilen PTR und eine klare Abuse-Spur zum Reseller.</w:t>
      </w:r>
    </w:p>
    <w:p>
      <w:pPr>
        <w:pStyle w:val="ListBullet"/>
        <w:spacing w:after="60"/>
      </w:pPr>
      <w:r>
        <w:rPr>
          <w:b/>
        </w:rPr>
        <w:t xml:space="preserve">Der Kit-Fingerprint ist konstant. </w:t>
      </w:r>
      <w:r>
        <w:t>Die Wiederverwendung desselben Style-Strings und Message-ID-Musters macht Korrelation und Kit-Detection überhaupt erst möglich.</w:t>
      </w:r>
    </w:p>
    <w:p>
      <w:pPr>
        <w:pStyle w:val="ListBullet"/>
        <w:spacing w:after="60"/>
      </w:pPr>
      <w:r>
        <w:rPr>
          <w:b/>
        </w:rPr>
        <w:t xml:space="preserve">Das Tracking-Token ist ein Geschenk. </w:t>
      </w:r>
      <w:r>
        <w:t>Die base64-Opferadresse im Link ist für den Verteidiger ein eindeutiges, hochsicheres Erkennungsmerkmal (H9).</w:t>
      </w:r>
    </w:p>
    <w:p>
      <w:pPr>
        <w:pStyle w:val="Heading1"/>
      </w:pPr>
      <w:r>
        <w:t>6  Fazit für Verteidiger</w:t>
      </w:r>
    </w:p>
    <w:p>
      <w:pPr>
        <w:spacing w:after="120"/>
      </w:pPr>
      <w:r>
        <w:rPr>
          <w:b w:val="0"/>
        </w:rPr>
        <w:t>Der Angreifer trifft an jeder Stelle eine bewusste Kosten-Nutzen-Entscheidung zwischen Tarnung und Aufwand. Er investiert viel in die oberen Ebenen (Kit, Verschleierung) und rotiert die unteren (IPs, Domains, Hashes) als Wegwerfware. Wer das versteht, erkennt: Nachhaltige Abwehr setzt an den teuren, stabilen Merkmalen an — am Verhalten und am Kit, nicht an der einzelnen IP.</w:t>
      </w:r>
    </w:p>
    <w:p>
      <w:pPr>
        <w:spacing w:before="80" w:after="160"/>
        <w:pBdr>
          <w:top w:val="single" w:sz="4" w:space="6" w:color="CCCCCC"/>
          <w:left w:val="single" w:sz="4" w:space="6" w:color="CCCCCC"/>
          <w:bottom w:val="single" w:sz="4" w:space="6" w:color="CCCCCC"/>
          <w:right w:val="single" w:sz="4" w:space="6" w:color="CCCCCC"/>
        </w:pBdr>
        <w:shd w:val="clear" w:color="auto" w:fill="F7F7F7"/>
      </w:pPr>
      <w:r>
        <w:rPr>
          <w:b/>
          <w:color w:val="8C2E2E"/>
        </w:rPr>
        <w:t xml:space="preserve">Kernsatz fürs Interview: </w:t>
      </w:r>
      <w:r>
        <w:t>„Ich lese jedes Artefakt doppelt — als Spur für die Erkennung und als Entscheidung des Angreifers. So weiß ich, welche Indikatoren er billig wegwerfen kann und welche ihn wirklich schmerzen. Meine Detection setzt bewusst oben in der Pyramid of Pain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8C2E2E"/>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8C2E2E"/>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8C2E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