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880D" w14:textId="21AB7276" w:rsidR="00EF7EC4" w:rsidRDefault="00285144">
      <w:pPr>
        <w:rPr>
          <w:lang w:val="en-US"/>
        </w:rPr>
      </w:pPr>
      <w:r>
        <w:rPr>
          <w:lang w:val="en-US"/>
        </w:rPr>
        <w:t xml:space="preserve">Various endothelial cell functions in the vascular system (Mechanosensory entities and functionality of endothelial cells </w:t>
      </w:r>
      <w:hyperlink r:id="rId5" w:history="1">
        <w:r w:rsidRPr="000803FA">
          <w:rPr>
            <w:rStyle w:val="Hipervnculo"/>
            <w:lang w:val="en-US"/>
          </w:rPr>
          <w:t>https://doi.org/10.3389/fcell.2024.1446452</w:t>
        </w:r>
      </w:hyperlink>
      <w:r>
        <w:rPr>
          <w:lang w:val="en-US"/>
        </w:rPr>
        <w:t>)</w:t>
      </w:r>
    </w:p>
    <w:p w14:paraId="06724D3A" w14:textId="2B0D8594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Vascular permeability</w:t>
      </w:r>
    </w:p>
    <w:p w14:paraId="2A5A8AA7" w14:textId="3E052A34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Vascular tone</w:t>
      </w:r>
    </w:p>
    <w:p w14:paraId="573086B6" w14:textId="084155D9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Angiogenesis</w:t>
      </w:r>
    </w:p>
    <w:p w14:paraId="51A0CBDB" w14:textId="1AE2E57C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White cell trafficking</w:t>
      </w:r>
    </w:p>
    <w:p w14:paraId="1395E4AB" w14:textId="3ADC7582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Metabolism</w:t>
      </w:r>
    </w:p>
    <w:p w14:paraId="07B4128A" w14:textId="3C4E8025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Inflammation</w:t>
      </w:r>
    </w:p>
    <w:p w14:paraId="76D33043" w14:textId="2FA91C70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VMSC proliferation</w:t>
      </w:r>
    </w:p>
    <w:p w14:paraId="00C36C7E" w14:textId="326677EA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Platelet activation</w:t>
      </w:r>
    </w:p>
    <w:p w14:paraId="18CB1114" w14:textId="4A86D53C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Thrombosis</w:t>
      </w:r>
    </w:p>
    <w:p w14:paraId="2CA639A9" w14:textId="1D416D12" w:rsidR="00285144" w:rsidRDefault="00285144" w:rsidP="00285144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Fibrinolysis</w:t>
      </w:r>
    </w:p>
    <w:p w14:paraId="53223CCB" w14:textId="77777777" w:rsidR="00285144" w:rsidRDefault="00285144" w:rsidP="00285144">
      <w:pPr>
        <w:rPr>
          <w:lang w:val="en-US"/>
        </w:rPr>
      </w:pPr>
    </w:p>
    <w:p w14:paraId="5D6C7103" w14:textId="1131F031" w:rsidR="006B17E9" w:rsidRPr="006B17E9" w:rsidRDefault="006B17E9" w:rsidP="006B17E9">
      <w:pPr>
        <w:jc w:val="center"/>
        <w:rPr>
          <w:b/>
          <w:bCs/>
          <w:lang w:val="en-US"/>
        </w:rPr>
      </w:pPr>
      <w:r w:rsidRPr="006B17E9">
        <w:rPr>
          <w:b/>
          <w:bCs/>
          <w:lang w:val="en-US"/>
        </w:rPr>
        <w:t>Venny_Group1-3_vs_2-4/Biological Process</w:t>
      </w:r>
    </w:p>
    <w:p w14:paraId="0CB20762" w14:textId="5D522D2D" w:rsidR="00285144" w:rsidRDefault="00285144" w:rsidP="00285144">
      <w:pPr>
        <w:rPr>
          <w:b/>
          <w:bCs/>
          <w:lang w:val="en-US"/>
        </w:rPr>
      </w:pPr>
      <w:r w:rsidRPr="00D73F02">
        <w:rPr>
          <w:b/>
          <w:bCs/>
          <w:lang w:val="en-US"/>
        </w:rPr>
        <w:t>Vascular permeability:</w:t>
      </w:r>
    </w:p>
    <w:p w14:paraId="25456D76" w14:textId="363247A3" w:rsidR="00AC73D3" w:rsidRPr="00AC73D3" w:rsidRDefault="00AC73D3" w:rsidP="00AC73D3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ECM barrier</w:t>
      </w:r>
      <w:r w:rsidR="00647078">
        <w:rPr>
          <w:b/>
          <w:bCs/>
          <w:lang w:val="en-US"/>
        </w:rPr>
        <w:t xml:space="preserve"> (physical barrier: extracellular matrix, external capsule, collagen)</w:t>
      </w:r>
    </w:p>
    <w:p w14:paraId="5B1FE330" w14:textId="252DDA12" w:rsidR="00285144" w:rsidRPr="00AC73D3" w:rsidRDefault="00285144" w:rsidP="00AC73D3">
      <w:pPr>
        <w:ind w:left="360" w:firstLine="348"/>
        <w:rPr>
          <w:lang w:val="en-US"/>
        </w:rPr>
      </w:pPr>
      <w:r w:rsidRPr="00AC73D3">
        <w:rPr>
          <w:lang w:val="en-US"/>
        </w:rPr>
        <w:t>GO:0030198 Extracellular matrix organization</w:t>
      </w:r>
    </w:p>
    <w:p w14:paraId="14D8DAEF" w14:textId="4BC6D032" w:rsidR="00285144" w:rsidRDefault="00285144" w:rsidP="00AC73D3">
      <w:pPr>
        <w:ind w:left="360" w:firstLine="348"/>
        <w:rPr>
          <w:b/>
          <w:bCs/>
          <w:lang w:val="en-US"/>
        </w:rPr>
      </w:pPr>
      <w:r w:rsidRPr="00AC73D3">
        <w:rPr>
          <w:lang w:val="en-US"/>
        </w:rPr>
        <w:t>GO:0043062 Extracellular structure organization</w:t>
      </w:r>
    </w:p>
    <w:p w14:paraId="63545824" w14:textId="322D235B" w:rsidR="00AC73D3" w:rsidRPr="00AC73D3" w:rsidRDefault="00AC73D3" w:rsidP="00AC73D3">
      <w:pPr>
        <w:ind w:left="360" w:firstLine="348"/>
        <w:rPr>
          <w:lang w:val="en-US"/>
        </w:rPr>
      </w:pPr>
      <w:r w:rsidRPr="00AC73D3">
        <w:rPr>
          <w:lang w:val="en-US"/>
        </w:rPr>
        <w:t>GO:0010716 Negative regulation of extracellular matrix disassembly</w:t>
      </w:r>
    </w:p>
    <w:p w14:paraId="35C65317" w14:textId="11571333" w:rsidR="00AC73D3" w:rsidRDefault="00AC73D3" w:rsidP="00AC73D3">
      <w:pPr>
        <w:ind w:left="360" w:firstLine="348"/>
        <w:rPr>
          <w:b/>
          <w:bCs/>
          <w:lang w:val="en-US"/>
        </w:rPr>
      </w:pPr>
      <w:r w:rsidRPr="00AC73D3">
        <w:rPr>
          <w:lang w:val="en-US"/>
        </w:rPr>
        <w:t>GO:0010712 Regulation of collagen metabolic process</w:t>
      </w:r>
    </w:p>
    <w:p w14:paraId="5E5C044B" w14:textId="1BCC5F65" w:rsidR="00AC73D3" w:rsidRPr="00AC73D3" w:rsidRDefault="00AC73D3" w:rsidP="00AC73D3">
      <w:pPr>
        <w:ind w:left="360" w:firstLine="348"/>
        <w:rPr>
          <w:lang w:val="en-US"/>
        </w:rPr>
      </w:pPr>
      <w:r w:rsidRPr="00AC73D3">
        <w:rPr>
          <w:lang w:val="en-US"/>
        </w:rPr>
        <w:t>GO:0045229 External encapsulating structure organization</w:t>
      </w:r>
    </w:p>
    <w:p w14:paraId="5DBAB26E" w14:textId="73E3A562" w:rsidR="00AC73D3" w:rsidRPr="00AC73D3" w:rsidRDefault="00AC73D3" w:rsidP="00AC73D3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 w:rsidRPr="00AC73D3">
        <w:rPr>
          <w:b/>
          <w:bCs/>
          <w:lang w:val="en-US"/>
        </w:rPr>
        <w:t>Fibers Cytoskeleton</w:t>
      </w:r>
      <w:r w:rsidR="00647078">
        <w:rPr>
          <w:b/>
          <w:bCs/>
          <w:lang w:val="en-US"/>
        </w:rPr>
        <w:t xml:space="preserve"> (fibers, cytoskeleton, movement)</w:t>
      </w:r>
    </w:p>
    <w:p w14:paraId="344C9488" w14:textId="6B139816" w:rsidR="00285144" w:rsidRPr="00AC73D3" w:rsidRDefault="00285144" w:rsidP="00701E3A">
      <w:pPr>
        <w:ind w:left="360" w:firstLine="360"/>
        <w:rPr>
          <w:lang w:val="en-US"/>
        </w:rPr>
      </w:pPr>
      <w:r w:rsidRPr="00AC73D3">
        <w:rPr>
          <w:lang w:val="en-US"/>
        </w:rPr>
        <w:t>GO:0097435 Supramolecular fiber organization</w:t>
      </w:r>
    </w:p>
    <w:p w14:paraId="6E54DD07" w14:textId="69BE82FE" w:rsidR="00285144" w:rsidRPr="00AC73D3" w:rsidRDefault="00285144" w:rsidP="00701E3A">
      <w:pPr>
        <w:ind w:left="720"/>
        <w:rPr>
          <w:lang w:val="en-US"/>
        </w:rPr>
      </w:pPr>
      <w:r w:rsidRPr="00AC73D3">
        <w:rPr>
          <w:lang w:val="en-US"/>
        </w:rPr>
        <w:t>GO:1902903 Regulation of supramolecular fiber organization</w:t>
      </w:r>
    </w:p>
    <w:p w14:paraId="465A4FF1" w14:textId="44E44739" w:rsidR="00997B7F" w:rsidRDefault="00997B7F" w:rsidP="00701E3A">
      <w:pPr>
        <w:ind w:left="720"/>
        <w:rPr>
          <w:b/>
          <w:bCs/>
          <w:lang w:val="en-US"/>
        </w:rPr>
      </w:pPr>
      <w:r w:rsidRPr="00AC73D3">
        <w:rPr>
          <w:lang w:val="en-US"/>
        </w:rPr>
        <w:t>GO:1902904 Negative regulation of supramolecular fiber organization</w:t>
      </w:r>
    </w:p>
    <w:p w14:paraId="53A61AB8" w14:textId="67EAD190" w:rsidR="00701E3A" w:rsidRPr="00AC73D3" w:rsidRDefault="00701E3A" w:rsidP="00701E3A">
      <w:pPr>
        <w:ind w:left="708"/>
        <w:rPr>
          <w:rFonts w:cs="Arial"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GO:1903115</w:t>
      </w:r>
      <w:r w:rsidRPr="00AC73D3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AC73D3">
        <w:rPr>
          <w:rFonts w:cs="Arial"/>
          <w:color w:val="000000"/>
          <w:szCs w:val="22"/>
          <w:lang w:val="en-US"/>
        </w:rPr>
        <w:t>Regulation of actin filament-based movement</w:t>
      </w:r>
    </w:p>
    <w:p w14:paraId="0AEA1304" w14:textId="4FE1050F" w:rsidR="00701E3A" w:rsidRPr="00701E3A" w:rsidRDefault="00701E3A" w:rsidP="00701E3A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 w:rsidRPr="00701E3A">
        <w:rPr>
          <w:b/>
          <w:bCs/>
          <w:lang w:val="en-US"/>
        </w:rPr>
        <w:t>Complexes</w:t>
      </w:r>
      <w:r w:rsidR="00647078">
        <w:rPr>
          <w:b/>
          <w:bCs/>
          <w:lang w:val="en-US"/>
        </w:rPr>
        <w:t xml:space="preserve"> (assembly/organization or protein complexes)</w:t>
      </w:r>
    </w:p>
    <w:p w14:paraId="47F1B0DC" w14:textId="3EE8AF48" w:rsidR="00997B7F" w:rsidRPr="00AC73D3" w:rsidRDefault="00997B7F" w:rsidP="00701E3A">
      <w:pPr>
        <w:ind w:left="708"/>
        <w:rPr>
          <w:lang w:val="en-US"/>
        </w:rPr>
      </w:pPr>
      <w:r w:rsidRPr="00AC73D3">
        <w:rPr>
          <w:lang w:val="en-US"/>
        </w:rPr>
        <w:t>GO:0065003 Protein-containing complex assembly</w:t>
      </w:r>
    </w:p>
    <w:p w14:paraId="49792FBB" w14:textId="41955FD7" w:rsidR="00997B7F" w:rsidRPr="00AC73D3" w:rsidRDefault="00997B7F" w:rsidP="00701E3A">
      <w:pPr>
        <w:ind w:left="708"/>
        <w:rPr>
          <w:lang w:val="en-US"/>
        </w:rPr>
      </w:pPr>
      <w:r w:rsidRPr="00AC73D3">
        <w:rPr>
          <w:lang w:val="en-US"/>
        </w:rPr>
        <w:t>GO:0032984 Protein-containing complex disassembly</w:t>
      </w:r>
    </w:p>
    <w:p w14:paraId="57A43FAE" w14:textId="1A8A8357" w:rsidR="00997B7F" w:rsidRPr="00701E3A" w:rsidRDefault="00997B7F" w:rsidP="00701E3A">
      <w:pPr>
        <w:ind w:left="708"/>
        <w:rPr>
          <w:b/>
          <w:bCs/>
          <w:lang w:val="en-US"/>
        </w:rPr>
      </w:pPr>
      <w:r w:rsidRPr="00AC73D3">
        <w:rPr>
          <w:lang w:val="en-US"/>
        </w:rPr>
        <w:t>GO:0043933 Protein-containing complex organization</w:t>
      </w:r>
    </w:p>
    <w:p w14:paraId="24D72B04" w14:textId="64DE7A31" w:rsidR="00701E3A" w:rsidRPr="00701E3A" w:rsidRDefault="00701E3A" w:rsidP="00701E3A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 w:rsidRPr="00701E3A">
        <w:rPr>
          <w:b/>
          <w:bCs/>
          <w:lang w:val="en-US"/>
        </w:rPr>
        <w:t>Membrane targeting</w:t>
      </w:r>
      <w:r w:rsidR="00647078">
        <w:rPr>
          <w:b/>
          <w:bCs/>
          <w:lang w:val="en-US"/>
        </w:rPr>
        <w:t xml:space="preserve"> (proteins that are targeted to the membrane/periphery)</w:t>
      </w:r>
    </w:p>
    <w:p w14:paraId="04F1AC91" w14:textId="16110ED5" w:rsidR="00285144" w:rsidRPr="00AC73D3" w:rsidRDefault="00285144" w:rsidP="00701E3A">
      <w:pPr>
        <w:ind w:left="708"/>
        <w:rPr>
          <w:lang w:val="en-US"/>
        </w:rPr>
      </w:pPr>
      <w:r w:rsidRPr="00AC73D3">
        <w:rPr>
          <w:lang w:val="en-US"/>
        </w:rPr>
        <w:t>GO:0072659 Protein localization to plasma membrane</w:t>
      </w:r>
    </w:p>
    <w:p w14:paraId="77126168" w14:textId="7C883936" w:rsidR="00285144" w:rsidRPr="00AC73D3" w:rsidRDefault="00285144" w:rsidP="00701E3A">
      <w:pPr>
        <w:ind w:left="708"/>
        <w:rPr>
          <w:lang w:val="en-US"/>
        </w:rPr>
      </w:pPr>
      <w:r w:rsidRPr="00AC73D3">
        <w:rPr>
          <w:lang w:val="en-US"/>
        </w:rPr>
        <w:t>GO:1990778 Protein localization to cell periphery</w:t>
      </w:r>
    </w:p>
    <w:p w14:paraId="7693F4C6" w14:textId="2DE5091E" w:rsidR="00E82D7C" w:rsidRPr="00AC73D3" w:rsidRDefault="00E82D7C" w:rsidP="00701E3A">
      <w:pPr>
        <w:ind w:left="708"/>
        <w:rPr>
          <w:lang w:val="en-US"/>
        </w:rPr>
      </w:pPr>
      <w:r w:rsidRPr="00AC73D3">
        <w:rPr>
          <w:lang w:val="en-US"/>
        </w:rPr>
        <w:t>GO:0090150 Establishment of protein localization membrane</w:t>
      </w:r>
    </w:p>
    <w:p w14:paraId="5AEB0E3C" w14:textId="3C6DF054" w:rsidR="00E82D7C" w:rsidRPr="00AC73D3" w:rsidRDefault="00E82D7C" w:rsidP="00701E3A">
      <w:pPr>
        <w:ind w:left="708"/>
        <w:rPr>
          <w:lang w:val="en-US"/>
        </w:rPr>
      </w:pPr>
      <w:r w:rsidRPr="00AC73D3">
        <w:rPr>
          <w:lang w:val="en-US"/>
        </w:rPr>
        <w:t>GO:0072657 Protein localization to membrane</w:t>
      </w:r>
    </w:p>
    <w:p w14:paraId="65D2DC3B" w14:textId="5CAF5C8E" w:rsidR="00E82D7C" w:rsidRPr="00AC73D3" w:rsidRDefault="00E82D7C" w:rsidP="00701E3A">
      <w:pPr>
        <w:ind w:left="708"/>
        <w:rPr>
          <w:lang w:val="en-US"/>
        </w:rPr>
      </w:pPr>
      <w:r w:rsidRPr="00AC73D3">
        <w:rPr>
          <w:lang w:val="en-US"/>
        </w:rPr>
        <w:t>GO:0032880 Regulation of protein localization</w:t>
      </w:r>
    </w:p>
    <w:p w14:paraId="08130A0D" w14:textId="6635119A" w:rsidR="00E82D7C" w:rsidRPr="00AC73D3" w:rsidRDefault="00E82D7C" w:rsidP="00701E3A">
      <w:pPr>
        <w:ind w:left="708"/>
        <w:rPr>
          <w:lang w:val="en-US"/>
        </w:rPr>
      </w:pPr>
      <w:r w:rsidRPr="00AC73D3">
        <w:rPr>
          <w:lang w:val="en-US"/>
        </w:rPr>
        <w:t>GO:0045184 Establishment of protein localization</w:t>
      </w:r>
    </w:p>
    <w:p w14:paraId="69DC7455" w14:textId="72FED718" w:rsidR="00E82D7C" w:rsidRDefault="00E82D7C" w:rsidP="00701E3A">
      <w:pPr>
        <w:ind w:left="708"/>
        <w:rPr>
          <w:lang w:val="en-US"/>
        </w:rPr>
      </w:pPr>
      <w:r w:rsidRPr="00AC73D3">
        <w:rPr>
          <w:lang w:val="en-US"/>
        </w:rPr>
        <w:t>GO:0006612 Protein targeting to membrane</w:t>
      </w:r>
    </w:p>
    <w:p w14:paraId="1C84F494" w14:textId="39A75611" w:rsidR="00701E3A" w:rsidRPr="00701E3A" w:rsidRDefault="00701E3A" w:rsidP="00701E3A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 w:rsidRPr="00701E3A">
        <w:rPr>
          <w:b/>
          <w:bCs/>
          <w:lang w:val="en-US"/>
        </w:rPr>
        <w:t>Arch Endothelium</w:t>
      </w:r>
      <w:r w:rsidR="00647078">
        <w:rPr>
          <w:b/>
          <w:bCs/>
          <w:lang w:val="en-US"/>
        </w:rPr>
        <w:t xml:space="preserve"> (architecture and morphogenesis of the endothelium)</w:t>
      </w:r>
    </w:p>
    <w:p w14:paraId="5CA1153B" w14:textId="4F562183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701E3A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GO:0043542</w:t>
      </w:r>
      <w:r w:rsidRPr="00701E3A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701E3A">
        <w:rPr>
          <w:rFonts w:cs="Arial"/>
          <w:color w:val="000000"/>
          <w:szCs w:val="22"/>
          <w:lang w:val="en-US"/>
        </w:rPr>
        <w:t>Endothelial cell migration</w:t>
      </w:r>
    </w:p>
    <w:p w14:paraId="6D16852C" w14:textId="474E6F76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701E3A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GO:0061154</w:t>
      </w:r>
      <w:r w:rsidRPr="00701E3A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701E3A">
        <w:rPr>
          <w:rFonts w:cs="Arial"/>
          <w:color w:val="000000"/>
          <w:szCs w:val="22"/>
          <w:lang w:val="en-US"/>
        </w:rPr>
        <w:t>Endothelial tube morphogenesis</w:t>
      </w:r>
    </w:p>
    <w:p w14:paraId="668330B0" w14:textId="33D7B657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701E3A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GO:0003158</w:t>
      </w:r>
      <w:r w:rsidRPr="00701E3A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701E3A">
        <w:rPr>
          <w:rFonts w:cs="Arial"/>
          <w:color w:val="000000"/>
          <w:szCs w:val="22"/>
          <w:lang w:val="en-US"/>
        </w:rPr>
        <w:t>Endothelium development</w:t>
      </w:r>
    </w:p>
    <w:p w14:paraId="485E10C9" w14:textId="08B45DF4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701E3A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GO:0003159</w:t>
      </w:r>
      <w:r w:rsidRPr="00701E3A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701E3A">
        <w:rPr>
          <w:rFonts w:cs="Arial"/>
          <w:color w:val="000000"/>
          <w:szCs w:val="22"/>
          <w:lang w:val="en-US"/>
        </w:rPr>
        <w:t>Morphogenesis of an endothelium</w:t>
      </w:r>
    </w:p>
    <w:p w14:paraId="70020BCC" w14:textId="300CAA46" w:rsidR="00285144" w:rsidRDefault="00635607" w:rsidP="00701E3A">
      <w:pPr>
        <w:ind w:left="708"/>
        <w:rPr>
          <w:rFonts w:cs="Arial"/>
          <w:color w:val="000000"/>
          <w:szCs w:val="22"/>
          <w:lang w:val="en-US"/>
        </w:rPr>
      </w:pPr>
      <w:r w:rsidRPr="00701E3A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GO:0048729</w:t>
      </w:r>
      <w:r w:rsidRPr="00701E3A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701E3A">
        <w:rPr>
          <w:rFonts w:cs="Arial"/>
          <w:color w:val="000000"/>
          <w:szCs w:val="22"/>
          <w:lang w:val="en-US"/>
        </w:rPr>
        <w:t>Tissue morphogenesis</w:t>
      </w:r>
    </w:p>
    <w:p w14:paraId="4096AB5D" w14:textId="05C4E21A" w:rsidR="00701E3A" w:rsidRPr="00701E3A" w:rsidRDefault="00701E3A" w:rsidP="00701E3A">
      <w:pPr>
        <w:pStyle w:val="Prrafodelista"/>
        <w:numPr>
          <w:ilvl w:val="0"/>
          <w:numId w:val="4"/>
        </w:numPr>
        <w:rPr>
          <w:rFonts w:cs="Arial"/>
          <w:b/>
          <w:bCs/>
          <w:szCs w:val="22"/>
          <w:lang w:val="en-US"/>
        </w:rPr>
      </w:pPr>
      <w:r>
        <w:rPr>
          <w:rFonts w:cs="Arial"/>
          <w:b/>
          <w:bCs/>
          <w:szCs w:val="22"/>
          <w:lang w:val="en-US"/>
        </w:rPr>
        <w:t>Cytokine response</w:t>
      </w:r>
      <w:r w:rsidR="00647078">
        <w:rPr>
          <w:rFonts w:cs="Arial"/>
          <w:b/>
          <w:bCs/>
          <w:szCs w:val="22"/>
          <w:lang w:val="en-US"/>
        </w:rPr>
        <w:t xml:space="preserve"> (response to inflammatory cytokines)</w:t>
      </w:r>
    </w:p>
    <w:p w14:paraId="56419964" w14:textId="52E3BE41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GO:0071345</w:t>
      </w:r>
      <w:r w:rsidRPr="00AC73D3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AC73D3">
        <w:rPr>
          <w:rFonts w:cs="Arial"/>
          <w:color w:val="000000"/>
          <w:szCs w:val="22"/>
          <w:lang w:val="en-US"/>
        </w:rPr>
        <w:t>Cellular response to cytokine stimulus</w:t>
      </w:r>
    </w:p>
    <w:p w14:paraId="34254951" w14:textId="493A6123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GO:0071347</w:t>
      </w:r>
      <w:r w:rsidRPr="00AC73D3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AC73D3">
        <w:rPr>
          <w:rFonts w:cs="Arial"/>
          <w:color w:val="000000"/>
          <w:szCs w:val="22"/>
          <w:lang w:val="en-US"/>
        </w:rPr>
        <w:t>Cellular response to interleukin-1</w:t>
      </w:r>
    </w:p>
    <w:p w14:paraId="007C5356" w14:textId="17B7FA43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GO:0071356</w:t>
      </w:r>
      <w:r w:rsidRPr="00AC73D3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AC73D3">
        <w:rPr>
          <w:rFonts w:cs="Arial"/>
          <w:color w:val="000000"/>
          <w:szCs w:val="22"/>
          <w:lang w:val="en-US"/>
        </w:rPr>
        <w:t>Cellular response to tumor necrosis factor</w:t>
      </w:r>
    </w:p>
    <w:p w14:paraId="0AC30EC2" w14:textId="4B70D760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</w:rPr>
        <w:t>GO:0034097</w:t>
      </w:r>
      <w:r w:rsidRPr="00AC73D3">
        <w:rPr>
          <w:rFonts w:cs="Arial"/>
          <w:b/>
          <w:bCs/>
          <w:color w:val="000000"/>
          <w:szCs w:val="22"/>
        </w:rPr>
        <w:t xml:space="preserve"> </w:t>
      </w:r>
      <w:r w:rsidRPr="00AC73D3">
        <w:rPr>
          <w:rFonts w:cs="Arial"/>
          <w:color w:val="000000"/>
          <w:szCs w:val="22"/>
        </w:rPr>
        <w:t xml:space="preserve">Response </w:t>
      </w:r>
      <w:proofErr w:type="spellStart"/>
      <w:r w:rsidRPr="00AC73D3">
        <w:rPr>
          <w:rFonts w:cs="Arial"/>
          <w:color w:val="000000"/>
          <w:szCs w:val="22"/>
        </w:rPr>
        <w:t>to</w:t>
      </w:r>
      <w:proofErr w:type="spellEnd"/>
      <w:r w:rsidRPr="00AC73D3">
        <w:rPr>
          <w:rFonts w:cs="Arial"/>
          <w:color w:val="000000"/>
          <w:szCs w:val="22"/>
        </w:rPr>
        <w:t xml:space="preserve"> </w:t>
      </w:r>
      <w:proofErr w:type="spellStart"/>
      <w:r w:rsidRPr="00AC73D3">
        <w:rPr>
          <w:rFonts w:cs="Arial"/>
          <w:color w:val="000000"/>
          <w:szCs w:val="22"/>
        </w:rPr>
        <w:t>cytokine</w:t>
      </w:r>
      <w:proofErr w:type="spellEnd"/>
    </w:p>
    <w:p w14:paraId="44A31A98" w14:textId="702C7177" w:rsidR="00635607" w:rsidRDefault="00635607" w:rsidP="00701E3A">
      <w:pPr>
        <w:ind w:left="708"/>
        <w:rPr>
          <w:rFonts w:cs="Arial"/>
          <w:color w:val="000000"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GO:0034612</w:t>
      </w:r>
      <w:r w:rsidRPr="00AC73D3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AC73D3">
        <w:rPr>
          <w:rFonts w:cs="Arial"/>
          <w:color w:val="000000"/>
          <w:szCs w:val="22"/>
          <w:lang w:val="en-US"/>
        </w:rPr>
        <w:t>Response to tumor necrosis factor</w:t>
      </w:r>
    </w:p>
    <w:p w14:paraId="09BF2E96" w14:textId="5E0E900C" w:rsidR="00701E3A" w:rsidRPr="00701E3A" w:rsidRDefault="00701E3A" w:rsidP="00701E3A">
      <w:pPr>
        <w:pStyle w:val="Prrafodelista"/>
        <w:numPr>
          <w:ilvl w:val="0"/>
          <w:numId w:val="4"/>
        </w:numPr>
        <w:rPr>
          <w:rFonts w:cs="Arial"/>
          <w:b/>
          <w:bCs/>
          <w:szCs w:val="22"/>
          <w:lang w:val="en-US"/>
        </w:rPr>
      </w:pPr>
      <w:r>
        <w:rPr>
          <w:rFonts w:cs="Arial"/>
          <w:b/>
          <w:bCs/>
          <w:szCs w:val="22"/>
          <w:lang w:val="en-US"/>
        </w:rPr>
        <w:lastRenderedPageBreak/>
        <w:t>Hypoxia ROS</w:t>
      </w:r>
      <w:r w:rsidR="00647078">
        <w:rPr>
          <w:rFonts w:cs="Arial"/>
          <w:b/>
          <w:bCs/>
          <w:szCs w:val="22"/>
          <w:lang w:val="en-US"/>
        </w:rPr>
        <w:t xml:space="preserve"> (hypoxia, oxidative stress, reactive oxygen species ROS)</w:t>
      </w:r>
    </w:p>
    <w:p w14:paraId="5C1F9E1A" w14:textId="358F0421" w:rsidR="00635607" w:rsidRPr="00AC73D3" w:rsidRDefault="00635607" w:rsidP="00701E3A">
      <w:pPr>
        <w:ind w:left="708"/>
        <w:rPr>
          <w:rFonts w:cs="Arial"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</w:rPr>
        <w:t>GO:0001666</w:t>
      </w:r>
      <w:r w:rsidRPr="00AC73D3">
        <w:rPr>
          <w:rFonts w:cs="Arial"/>
          <w:b/>
          <w:bCs/>
          <w:color w:val="000000"/>
          <w:szCs w:val="22"/>
        </w:rPr>
        <w:t xml:space="preserve"> </w:t>
      </w:r>
      <w:r w:rsidRPr="00AC73D3">
        <w:rPr>
          <w:rFonts w:cs="Arial"/>
          <w:color w:val="000000"/>
          <w:szCs w:val="22"/>
        </w:rPr>
        <w:t xml:space="preserve">Response </w:t>
      </w:r>
      <w:proofErr w:type="spellStart"/>
      <w:r w:rsidRPr="00AC73D3">
        <w:rPr>
          <w:rFonts w:cs="Arial"/>
          <w:color w:val="000000"/>
          <w:szCs w:val="22"/>
        </w:rPr>
        <w:t>to</w:t>
      </w:r>
      <w:proofErr w:type="spellEnd"/>
      <w:r w:rsidRPr="00AC73D3">
        <w:rPr>
          <w:rFonts w:cs="Arial"/>
          <w:color w:val="000000"/>
          <w:szCs w:val="22"/>
        </w:rPr>
        <w:t xml:space="preserve"> </w:t>
      </w:r>
      <w:proofErr w:type="spellStart"/>
      <w:r w:rsidRPr="00AC73D3">
        <w:rPr>
          <w:rFonts w:cs="Arial"/>
          <w:color w:val="000000"/>
          <w:szCs w:val="22"/>
        </w:rPr>
        <w:t>hypoxia</w:t>
      </w:r>
      <w:proofErr w:type="spellEnd"/>
    </w:p>
    <w:p w14:paraId="48BD004E" w14:textId="3470B4C6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</w:rPr>
        <w:t>GO:0006979</w:t>
      </w:r>
      <w:r w:rsidRPr="00AC73D3">
        <w:rPr>
          <w:rFonts w:cs="Arial"/>
          <w:b/>
          <w:bCs/>
          <w:color w:val="000000"/>
          <w:szCs w:val="22"/>
        </w:rPr>
        <w:t xml:space="preserve"> </w:t>
      </w:r>
      <w:r w:rsidRPr="00AC73D3">
        <w:rPr>
          <w:rFonts w:cs="Arial"/>
          <w:color w:val="000000"/>
          <w:szCs w:val="22"/>
        </w:rPr>
        <w:t xml:space="preserve">Response </w:t>
      </w:r>
      <w:proofErr w:type="spellStart"/>
      <w:r w:rsidRPr="00AC73D3">
        <w:rPr>
          <w:rFonts w:cs="Arial"/>
          <w:color w:val="000000"/>
          <w:szCs w:val="22"/>
        </w:rPr>
        <w:t>to</w:t>
      </w:r>
      <w:proofErr w:type="spellEnd"/>
      <w:r w:rsidRPr="00AC73D3">
        <w:rPr>
          <w:rFonts w:cs="Arial"/>
          <w:color w:val="000000"/>
          <w:szCs w:val="22"/>
        </w:rPr>
        <w:t xml:space="preserve"> oxidative stress</w:t>
      </w:r>
    </w:p>
    <w:p w14:paraId="3F7D7539" w14:textId="76320271" w:rsidR="00635607" w:rsidRPr="00AC73D3" w:rsidRDefault="00635607" w:rsidP="00701E3A">
      <w:pPr>
        <w:ind w:left="708"/>
        <w:rPr>
          <w:rFonts w:cs="Arial"/>
          <w:b/>
          <w:bCs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GO:0070482</w:t>
      </w:r>
      <w:r w:rsidRPr="00AC73D3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AC73D3">
        <w:rPr>
          <w:rFonts w:cs="Arial"/>
          <w:color w:val="000000"/>
          <w:szCs w:val="22"/>
          <w:lang w:val="en-US"/>
        </w:rPr>
        <w:t>Response to oxygen levels</w:t>
      </w:r>
    </w:p>
    <w:p w14:paraId="45423041" w14:textId="1877CD48" w:rsidR="00FA0574" w:rsidRDefault="00635607" w:rsidP="00FA0574">
      <w:pPr>
        <w:ind w:left="708"/>
        <w:rPr>
          <w:rFonts w:cs="Arial"/>
          <w:color w:val="000000"/>
          <w:szCs w:val="22"/>
          <w:lang w:val="en-US"/>
        </w:rPr>
      </w:pPr>
      <w:r w:rsidRPr="00AC73D3">
        <w:rPr>
          <w:rStyle w:val="Textoennegrita"/>
          <w:rFonts w:cs="Arial"/>
          <w:b w:val="0"/>
          <w:bCs w:val="0"/>
          <w:color w:val="000000"/>
          <w:szCs w:val="22"/>
          <w:lang w:val="en-US"/>
        </w:rPr>
        <w:t>GO:0034614</w:t>
      </w:r>
      <w:r w:rsidRPr="00AC73D3">
        <w:rPr>
          <w:rFonts w:cs="Arial"/>
          <w:b/>
          <w:bCs/>
          <w:color w:val="000000"/>
          <w:szCs w:val="22"/>
          <w:lang w:val="en-US"/>
        </w:rPr>
        <w:t xml:space="preserve"> </w:t>
      </w:r>
      <w:r w:rsidRPr="00AC73D3">
        <w:rPr>
          <w:rFonts w:cs="Arial"/>
          <w:color w:val="000000"/>
          <w:szCs w:val="22"/>
          <w:lang w:val="en-US"/>
        </w:rPr>
        <w:t>Cellular response to reactive oxygen species</w:t>
      </w:r>
    </w:p>
    <w:p w14:paraId="0A231C59" w14:textId="77777777" w:rsidR="00FA0574" w:rsidRDefault="00FA0574" w:rsidP="00FA0574">
      <w:pPr>
        <w:rPr>
          <w:rFonts w:cs="Arial"/>
          <w:color w:val="000000"/>
          <w:szCs w:val="22"/>
          <w:lang w:val="en-US"/>
        </w:rPr>
      </w:pPr>
    </w:p>
    <w:p w14:paraId="3103358A" w14:textId="70200F24" w:rsidR="00FA0574" w:rsidRDefault="00FA0574" w:rsidP="00FA0574">
      <w:pPr>
        <w:rPr>
          <w:rFonts w:cs="Arial"/>
          <w:b/>
          <w:bCs/>
          <w:color w:val="000000"/>
          <w:szCs w:val="22"/>
          <w:lang w:val="en-US"/>
        </w:rPr>
      </w:pPr>
      <w:r w:rsidRPr="00FA0574">
        <w:rPr>
          <w:rFonts w:cs="Arial"/>
          <w:b/>
          <w:bCs/>
          <w:color w:val="000000"/>
          <w:szCs w:val="22"/>
          <w:lang w:val="en-US"/>
        </w:rPr>
        <w:t>Vascular tone:</w:t>
      </w:r>
    </w:p>
    <w:p w14:paraId="11CF2AA6" w14:textId="10286DE9" w:rsidR="00FA0574" w:rsidRDefault="000E37E2" w:rsidP="000E37E2">
      <w:pPr>
        <w:pStyle w:val="Prrafodelista"/>
        <w:numPr>
          <w:ilvl w:val="0"/>
          <w:numId w:val="5"/>
        </w:numPr>
        <w:rPr>
          <w:rFonts w:cs="Arial"/>
          <w:b/>
          <w:bCs/>
          <w:color w:val="000000"/>
          <w:szCs w:val="22"/>
          <w:lang w:val="en-US"/>
        </w:rPr>
      </w:pPr>
      <w:r w:rsidRPr="000E37E2">
        <w:rPr>
          <w:rFonts w:cs="Arial"/>
          <w:b/>
          <w:bCs/>
          <w:color w:val="000000"/>
          <w:szCs w:val="22"/>
          <w:lang w:val="en-US"/>
        </w:rPr>
        <w:t>NO signaling relaxation</w:t>
      </w:r>
    </w:p>
    <w:p w14:paraId="42E7B7C8" w14:textId="7298E78D" w:rsidR="000E37E2" w:rsidRDefault="000E37E2" w:rsidP="000E37E2">
      <w:pPr>
        <w:pStyle w:val="Prrafodelista"/>
        <w:rPr>
          <w:rFonts w:cs="Arial"/>
          <w:color w:val="000000"/>
          <w:szCs w:val="22"/>
          <w:lang w:val="en-US"/>
        </w:rPr>
      </w:pPr>
      <w:r>
        <w:rPr>
          <w:rFonts w:cs="Arial"/>
          <w:color w:val="000000"/>
          <w:szCs w:val="22"/>
          <w:lang w:val="en-US"/>
        </w:rPr>
        <w:t>GO:0033484 intracellular nitric oxide homeostasis</w:t>
      </w:r>
    </w:p>
    <w:p w14:paraId="38ABF544" w14:textId="397D925D" w:rsidR="000E37E2" w:rsidRDefault="000E37E2" w:rsidP="000E37E2">
      <w:pPr>
        <w:pStyle w:val="Prrafodelista"/>
        <w:numPr>
          <w:ilvl w:val="0"/>
          <w:numId w:val="5"/>
        </w:numPr>
        <w:jc w:val="left"/>
        <w:rPr>
          <w:rFonts w:cs="Arial"/>
          <w:b/>
          <w:bCs/>
          <w:color w:val="000000"/>
          <w:szCs w:val="22"/>
          <w:lang w:val="en-US"/>
        </w:rPr>
      </w:pPr>
      <w:r w:rsidRPr="000E37E2">
        <w:rPr>
          <w:rFonts w:cs="Arial"/>
          <w:b/>
          <w:bCs/>
          <w:color w:val="000000"/>
          <w:szCs w:val="22"/>
          <w:lang w:val="en-US"/>
        </w:rPr>
        <w:t>Eicosanoid mediators</w:t>
      </w:r>
    </w:p>
    <w:p w14:paraId="323DB7ED" w14:textId="1732A153" w:rsidR="000E37E2" w:rsidRDefault="000E37E2" w:rsidP="000E37E2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0E37E2">
        <w:rPr>
          <w:rFonts w:cs="Arial"/>
          <w:color w:val="000000"/>
          <w:szCs w:val="22"/>
          <w:lang w:val="en-US"/>
        </w:rPr>
        <w:t>GO:0006693</w:t>
      </w:r>
      <w:r>
        <w:rPr>
          <w:rFonts w:cs="Arial"/>
          <w:color w:val="000000"/>
          <w:szCs w:val="22"/>
          <w:lang w:val="en-US"/>
        </w:rPr>
        <w:t xml:space="preserve"> </w:t>
      </w:r>
      <w:r w:rsidRPr="000E37E2">
        <w:rPr>
          <w:rFonts w:cs="Arial"/>
          <w:color w:val="000000"/>
          <w:szCs w:val="22"/>
          <w:lang w:val="en-US"/>
        </w:rPr>
        <w:t>prostaglandin metabolic process</w:t>
      </w:r>
      <w:r w:rsidRPr="000E37E2">
        <w:rPr>
          <w:rFonts w:cs="Arial"/>
          <w:color w:val="000000"/>
          <w:szCs w:val="22"/>
          <w:lang w:val="en-US"/>
        </w:rPr>
        <w:br/>
        <w:t xml:space="preserve">GO:0006692 </w:t>
      </w:r>
      <w:proofErr w:type="spellStart"/>
      <w:r w:rsidRPr="000E37E2">
        <w:rPr>
          <w:rFonts w:cs="Arial"/>
          <w:color w:val="000000"/>
          <w:szCs w:val="22"/>
          <w:lang w:val="en-US"/>
        </w:rPr>
        <w:t>prostanoid</w:t>
      </w:r>
      <w:proofErr w:type="spellEnd"/>
      <w:r w:rsidRPr="000E37E2">
        <w:rPr>
          <w:rFonts w:cs="Arial"/>
          <w:color w:val="000000"/>
          <w:szCs w:val="22"/>
          <w:lang w:val="en-US"/>
        </w:rPr>
        <w:t xml:space="preserve"> metabolic process</w:t>
      </w:r>
    </w:p>
    <w:p w14:paraId="695A6104" w14:textId="4CFFFF06" w:rsidR="000E37E2" w:rsidRPr="000E37E2" w:rsidRDefault="000E37E2" w:rsidP="000E37E2">
      <w:pPr>
        <w:pStyle w:val="Prrafodelista"/>
        <w:numPr>
          <w:ilvl w:val="0"/>
          <w:numId w:val="5"/>
        </w:numPr>
        <w:jc w:val="left"/>
        <w:rPr>
          <w:rFonts w:cs="Arial"/>
          <w:b/>
          <w:bCs/>
          <w:color w:val="000000"/>
          <w:szCs w:val="22"/>
          <w:lang w:val="en-US"/>
        </w:rPr>
      </w:pPr>
      <w:r w:rsidRPr="000E37E2">
        <w:rPr>
          <w:rFonts w:cs="Arial"/>
          <w:b/>
          <w:bCs/>
          <w:color w:val="000000"/>
          <w:szCs w:val="22"/>
          <w:lang w:val="en-US"/>
        </w:rPr>
        <w:t>Membrane excitation ion transport</w:t>
      </w:r>
    </w:p>
    <w:p w14:paraId="31FEE3C3" w14:textId="232D0663" w:rsidR="000E37E2" w:rsidRDefault="000E37E2" w:rsidP="000E37E2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0E37E2">
        <w:rPr>
          <w:rFonts w:cs="Arial"/>
          <w:color w:val="000000"/>
          <w:szCs w:val="22"/>
          <w:lang w:val="en-US"/>
        </w:rPr>
        <w:t>GO:0051899 membrane depolarization</w:t>
      </w:r>
      <w:r w:rsidRPr="000E37E2">
        <w:rPr>
          <w:rFonts w:cs="Arial"/>
          <w:color w:val="000000"/>
          <w:szCs w:val="22"/>
          <w:lang w:val="en-US"/>
        </w:rPr>
        <w:br/>
        <w:t>GO:0006811 monoatomic ion transport</w:t>
      </w:r>
      <w:r w:rsidRPr="000E37E2">
        <w:rPr>
          <w:rFonts w:cs="Arial"/>
          <w:color w:val="000000"/>
          <w:szCs w:val="22"/>
          <w:lang w:val="en-US"/>
        </w:rPr>
        <w:br/>
        <w:t>GO:0006820 monoatomic anion transport</w:t>
      </w:r>
    </w:p>
    <w:p w14:paraId="4E480B9A" w14:textId="77777777" w:rsidR="003F012D" w:rsidRDefault="003F012D" w:rsidP="003F012D">
      <w:pPr>
        <w:jc w:val="left"/>
        <w:rPr>
          <w:rFonts w:cs="Arial"/>
          <w:color w:val="000000"/>
          <w:szCs w:val="22"/>
          <w:lang w:val="en-US"/>
        </w:rPr>
      </w:pPr>
    </w:p>
    <w:p w14:paraId="0733A248" w14:textId="443F69A8" w:rsidR="003F012D" w:rsidRDefault="003F012D" w:rsidP="003F012D">
      <w:pPr>
        <w:jc w:val="left"/>
        <w:rPr>
          <w:rFonts w:cs="Arial"/>
          <w:b/>
          <w:bCs/>
          <w:color w:val="000000"/>
          <w:szCs w:val="22"/>
          <w:lang w:val="en-US"/>
        </w:rPr>
      </w:pPr>
      <w:r w:rsidRPr="003F012D">
        <w:rPr>
          <w:rFonts w:cs="Arial"/>
          <w:b/>
          <w:bCs/>
          <w:color w:val="000000"/>
          <w:szCs w:val="22"/>
          <w:lang w:val="en-US"/>
        </w:rPr>
        <w:t>Angiogenesis</w:t>
      </w:r>
      <w:r>
        <w:rPr>
          <w:rFonts w:cs="Arial"/>
          <w:b/>
          <w:bCs/>
          <w:color w:val="000000"/>
          <w:szCs w:val="22"/>
          <w:lang w:val="en-US"/>
        </w:rPr>
        <w:t>:</w:t>
      </w:r>
    </w:p>
    <w:p w14:paraId="5A02DDC0" w14:textId="1B0A6F76" w:rsidR="003F012D" w:rsidRDefault="003F012D" w:rsidP="003F012D">
      <w:pPr>
        <w:pStyle w:val="Prrafodelista"/>
        <w:numPr>
          <w:ilvl w:val="0"/>
          <w:numId w:val="6"/>
        </w:numPr>
        <w:jc w:val="left"/>
        <w:rPr>
          <w:rFonts w:cs="Arial"/>
          <w:b/>
          <w:bCs/>
          <w:color w:val="000000"/>
          <w:szCs w:val="22"/>
          <w:lang w:val="en-US"/>
        </w:rPr>
      </w:pPr>
      <w:r>
        <w:rPr>
          <w:rFonts w:cs="Arial"/>
          <w:b/>
          <w:bCs/>
          <w:color w:val="000000"/>
          <w:szCs w:val="22"/>
          <w:lang w:val="en-US"/>
        </w:rPr>
        <w:t>EC specification EMT (mesenchymal transitions that allow endothelial cells to acquire invasive/migration phenotypes for sprouting)</w:t>
      </w:r>
    </w:p>
    <w:p w14:paraId="1D4AE02E" w14:textId="50923844" w:rsidR="003F012D" w:rsidRPr="003F012D" w:rsidRDefault="003F012D" w:rsidP="003F012D">
      <w:pPr>
        <w:ind w:left="720"/>
        <w:jc w:val="left"/>
        <w:rPr>
          <w:rFonts w:cs="Arial"/>
          <w:color w:val="000000"/>
          <w:szCs w:val="22"/>
          <w:lang w:val="en-US"/>
        </w:rPr>
      </w:pPr>
      <w:r w:rsidRPr="003F012D">
        <w:rPr>
          <w:rFonts w:cs="Arial"/>
          <w:color w:val="000000"/>
          <w:szCs w:val="22"/>
          <w:lang w:val="en-US"/>
        </w:rPr>
        <w:t>GO:0045446 endothelial cell differentiation</w:t>
      </w:r>
    </w:p>
    <w:p w14:paraId="1BFF73D0" w14:textId="5DE58BDD" w:rsidR="003F012D" w:rsidRPr="003F012D" w:rsidRDefault="003F012D" w:rsidP="003F012D">
      <w:pPr>
        <w:ind w:left="720"/>
        <w:jc w:val="left"/>
        <w:rPr>
          <w:rFonts w:cs="Arial"/>
          <w:color w:val="000000"/>
          <w:szCs w:val="22"/>
          <w:lang w:val="en-US"/>
        </w:rPr>
      </w:pPr>
      <w:r w:rsidRPr="003F012D">
        <w:rPr>
          <w:rFonts w:cs="Arial"/>
          <w:color w:val="000000"/>
          <w:szCs w:val="22"/>
          <w:lang w:val="en-US"/>
        </w:rPr>
        <w:t>GO:0001837 epithelial to mesenchymal transition</w:t>
      </w:r>
    </w:p>
    <w:p w14:paraId="04B17D6D" w14:textId="3422F026" w:rsidR="003F012D" w:rsidRPr="003F012D" w:rsidRDefault="003F012D" w:rsidP="003F012D">
      <w:pPr>
        <w:ind w:left="720"/>
        <w:jc w:val="left"/>
        <w:rPr>
          <w:rFonts w:cs="Arial"/>
          <w:color w:val="000000"/>
          <w:szCs w:val="22"/>
          <w:lang w:val="en-US"/>
        </w:rPr>
      </w:pPr>
      <w:r w:rsidRPr="003F012D">
        <w:rPr>
          <w:rFonts w:cs="Arial"/>
          <w:color w:val="000000"/>
          <w:szCs w:val="22"/>
          <w:lang w:val="en-US"/>
        </w:rPr>
        <w:t>GO:0003198 epithelial to mesenchymal transition involved in endocardial cushion formation</w:t>
      </w:r>
    </w:p>
    <w:p w14:paraId="164DEBD1" w14:textId="7D674BFF" w:rsidR="003F012D" w:rsidRPr="003F012D" w:rsidRDefault="003F012D" w:rsidP="003F012D">
      <w:pPr>
        <w:ind w:left="720"/>
        <w:jc w:val="left"/>
        <w:rPr>
          <w:rFonts w:cs="Arial"/>
          <w:color w:val="000000"/>
          <w:szCs w:val="22"/>
          <w:lang w:val="en-US"/>
        </w:rPr>
      </w:pPr>
      <w:r w:rsidRPr="003F012D">
        <w:rPr>
          <w:rFonts w:cs="Arial"/>
          <w:color w:val="000000"/>
          <w:szCs w:val="22"/>
          <w:lang w:val="en-US"/>
        </w:rPr>
        <w:t>GO:0010718 positive regulation of epithelial to mesenchymal transition</w:t>
      </w:r>
    </w:p>
    <w:p w14:paraId="14B90469" w14:textId="436734BC" w:rsidR="003F012D" w:rsidRDefault="003F012D" w:rsidP="003F012D">
      <w:pPr>
        <w:ind w:left="720"/>
        <w:jc w:val="left"/>
        <w:rPr>
          <w:rFonts w:cs="Arial"/>
          <w:color w:val="000000"/>
          <w:szCs w:val="22"/>
          <w:lang w:val="en-US"/>
        </w:rPr>
      </w:pPr>
      <w:r w:rsidRPr="003F012D">
        <w:rPr>
          <w:rFonts w:cs="Arial"/>
          <w:color w:val="000000"/>
          <w:szCs w:val="22"/>
          <w:lang w:val="en-US"/>
        </w:rPr>
        <w:t>GO:0010717 regulation of epithelial to mesenchymal transition</w:t>
      </w:r>
    </w:p>
    <w:p w14:paraId="781DB1D0" w14:textId="01CC6D52" w:rsidR="003F012D" w:rsidRPr="00D32FF3" w:rsidRDefault="003F012D" w:rsidP="003F012D">
      <w:pPr>
        <w:pStyle w:val="Prrafodelista"/>
        <w:numPr>
          <w:ilvl w:val="0"/>
          <w:numId w:val="6"/>
        </w:numPr>
        <w:jc w:val="left"/>
        <w:rPr>
          <w:rFonts w:cs="Arial"/>
          <w:b/>
          <w:bCs/>
          <w:color w:val="000000"/>
          <w:szCs w:val="22"/>
          <w:lang w:val="en-US"/>
        </w:rPr>
      </w:pPr>
      <w:r w:rsidRPr="00D32FF3">
        <w:rPr>
          <w:rFonts w:cs="Arial"/>
          <w:b/>
          <w:bCs/>
          <w:color w:val="000000"/>
          <w:szCs w:val="22"/>
          <w:lang w:val="en-US"/>
        </w:rPr>
        <w:t>EC migration sprouting</w:t>
      </w:r>
      <w:r w:rsidR="00D32FF3" w:rsidRPr="00D32FF3">
        <w:rPr>
          <w:rFonts w:cs="Arial"/>
          <w:b/>
          <w:bCs/>
          <w:color w:val="000000"/>
          <w:szCs w:val="22"/>
          <w:lang w:val="en-US"/>
        </w:rPr>
        <w:t xml:space="preserve"> (Formation of endothelial tubes and vascular </w:t>
      </w:r>
      <w:proofErr w:type="spellStart"/>
      <w:r w:rsidR="00D32FF3" w:rsidRPr="00D32FF3">
        <w:rPr>
          <w:rFonts w:cs="Arial"/>
          <w:b/>
          <w:bCs/>
          <w:color w:val="000000"/>
          <w:szCs w:val="22"/>
          <w:lang w:val="en-US"/>
        </w:rPr>
        <w:t>stuctures</w:t>
      </w:r>
      <w:proofErr w:type="spellEnd"/>
      <w:r w:rsidR="00D32FF3" w:rsidRPr="00D32FF3">
        <w:rPr>
          <w:rFonts w:cs="Arial"/>
          <w:b/>
          <w:bCs/>
          <w:color w:val="000000"/>
          <w:szCs w:val="22"/>
          <w:lang w:val="en-US"/>
        </w:rPr>
        <w:t>)</w:t>
      </w:r>
    </w:p>
    <w:p w14:paraId="4D0894DA" w14:textId="6D000EBC" w:rsidR="003F012D" w:rsidRPr="00D32FF3" w:rsidRDefault="00D32FF3" w:rsidP="003F012D">
      <w:pPr>
        <w:pStyle w:val="Prrafodelista"/>
        <w:jc w:val="left"/>
        <w:rPr>
          <w:rFonts w:cs="Arial"/>
          <w:color w:val="000000"/>
          <w:szCs w:val="22"/>
        </w:rPr>
      </w:pPr>
      <w:r w:rsidRPr="00D32FF3">
        <w:rPr>
          <w:rFonts w:cs="Arial"/>
          <w:color w:val="000000"/>
          <w:szCs w:val="22"/>
        </w:rPr>
        <w:t xml:space="preserve">GO:0061154 </w:t>
      </w:r>
      <w:proofErr w:type="spellStart"/>
      <w:r w:rsidRPr="00D32FF3">
        <w:rPr>
          <w:rFonts w:cs="Arial"/>
          <w:color w:val="000000"/>
          <w:szCs w:val="22"/>
        </w:rPr>
        <w:t>endothelial</w:t>
      </w:r>
      <w:proofErr w:type="spellEnd"/>
      <w:r w:rsidRPr="00D32FF3">
        <w:rPr>
          <w:rFonts w:cs="Arial"/>
          <w:color w:val="000000"/>
          <w:szCs w:val="22"/>
        </w:rPr>
        <w:t xml:space="preserve"> </w:t>
      </w:r>
      <w:proofErr w:type="spellStart"/>
      <w:r w:rsidRPr="00D32FF3">
        <w:rPr>
          <w:rFonts w:cs="Arial"/>
          <w:color w:val="000000"/>
          <w:szCs w:val="22"/>
        </w:rPr>
        <w:t>tube</w:t>
      </w:r>
      <w:proofErr w:type="spellEnd"/>
      <w:r w:rsidRPr="00D32FF3">
        <w:rPr>
          <w:rFonts w:cs="Arial"/>
          <w:color w:val="000000"/>
          <w:szCs w:val="22"/>
        </w:rPr>
        <w:t xml:space="preserve"> </w:t>
      </w:r>
      <w:proofErr w:type="spellStart"/>
      <w:r w:rsidRPr="00D32FF3">
        <w:rPr>
          <w:rFonts w:cs="Arial"/>
          <w:color w:val="000000"/>
          <w:szCs w:val="22"/>
        </w:rPr>
        <w:t>morphogenesis</w:t>
      </w:r>
      <w:proofErr w:type="spellEnd"/>
    </w:p>
    <w:p w14:paraId="35C65338" w14:textId="26A1FE63" w:rsidR="00D32FF3" w:rsidRPr="00D32FF3" w:rsidRDefault="00D32FF3" w:rsidP="003F012D">
      <w:pPr>
        <w:pStyle w:val="Prrafodelista"/>
        <w:jc w:val="left"/>
        <w:rPr>
          <w:rFonts w:cs="Arial"/>
          <w:color w:val="000000"/>
          <w:szCs w:val="22"/>
        </w:rPr>
      </w:pPr>
      <w:r w:rsidRPr="00D32FF3">
        <w:rPr>
          <w:rFonts w:cs="Arial"/>
          <w:color w:val="000000"/>
          <w:szCs w:val="22"/>
        </w:rPr>
        <w:t xml:space="preserve">GO:0003158 </w:t>
      </w:r>
      <w:proofErr w:type="spellStart"/>
      <w:r w:rsidRPr="00D32FF3">
        <w:rPr>
          <w:rFonts w:cs="Arial"/>
          <w:color w:val="000000"/>
          <w:szCs w:val="22"/>
        </w:rPr>
        <w:t>endothelium</w:t>
      </w:r>
      <w:proofErr w:type="spellEnd"/>
      <w:r w:rsidRPr="00D32FF3">
        <w:rPr>
          <w:rFonts w:cs="Arial"/>
          <w:color w:val="000000"/>
          <w:szCs w:val="22"/>
        </w:rPr>
        <w:t xml:space="preserve"> </w:t>
      </w:r>
      <w:proofErr w:type="spellStart"/>
      <w:r w:rsidRPr="00D32FF3">
        <w:rPr>
          <w:rFonts w:cs="Arial"/>
          <w:color w:val="000000"/>
          <w:szCs w:val="22"/>
        </w:rPr>
        <w:t>development</w:t>
      </w:r>
      <w:proofErr w:type="spellEnd"/>
    </w:p>
    <w:p w14:paraId="5DFBDA77" w14:textId="7DA8EB80" w:rsidR="00D32FF3" w:rsidRPr="00D32FF3" w:rsidRDefault="00D32FF3" w:rsidP="003F012D">
      <w:pPr>
        <w:pStyle w:val="Prrafodelista"/>
        <w:jc w:val="left"/>
        <w:rPr>
          <w:rFonts w:cs="Arial"/>
          <w:color w:val="000000"/>
          <w:szCs w:val="22"/>
        </w:rPr>
      </w:pPr>
      <w:r w:rsidRPr="00D32FF3">
        <w:rPr>
          <w:rFonts w:cs="Arial"/>
          <w:color w:val="000000"/>
          <w:szCs w:val="22"/>
        </w:rPr>
        <w:t xml:space="preserve">GO:0003159 </w:t>
      </w:r>
      <w:proofErr w:type="spellStart"/>
      <w:r w:rsidRPr="00D32FF3">
        <w:rPr>
          <w:rFonts w:cs="Arial"/>
          <w:color w:val="000000"/>
          <w:szCs w:val="22"/>
        </w:rPr>
        <w:t>morphogenesis</w:t>
      </w:r>
      <w:proofErr w:type="spellEnd"/>
      <w:r w:rsidRPr="00D32FF3">
        <w:rPr>
          <w:rFonts w:cs="Arial"/>
          <w:color w:val="000000"/>
          <w:szCs w:val="22"/>
        </w:rPr>
        <w:t xml:space="preserve"> </w:t>
      </w:r>
      <w:proofErr w:type="spellStart"/>
      <w:r w:rsidRPr="00D32FF3">
        <w:rPr>
          <w:rFonts w:cs="Arial"/>
          <w:color w:val="000000"/>
          <w:szCs w:val="22"/>
        </w:rPr>
        <w:t>of</w:t>
      </w:r>
      <w:proofErr w:type="spellEnd"/>
      <w:r w:rsidRPr="00D32FF3">
        <w:rPr>
          <w:rFonts w:cs="Arial"/>
          <w:color w:val="000000"/>
          <w:szCs w:val="22"/>
        </w:rPr>
        <w:t xml:space="preserve"> </w:t>
      </w:r>
      <w:proofErr w:type="spellStart"/>
      <w:r w:rsidRPr="00D32FF3">
        <w:rPr>
          <w:rFonts w:cs="Arial"/>
          <w:color w:val="000000"/>
          <w:szCs w:val="22"/>
        </w:rPr>
        <w:t>an</w:t>
      </w:r>
      <w:proofErr w:type="spellEnd"/>
      <w:r w:rsidRPr="00D32FF3">
        <w:rPr>
          <w:rFonts w:cs="Arial"/>
          <w:color w:val="000000"/>
          <w:szCs w:val="22"/>
        </w:rPr>
        <w:t xml:space="preserve"> </w:t>
      </w:r>
      <w:proofErr w:type="spellStart"/>
      <w:r w:rsidRPr="00D32FF3">
        <w:rPr>
          <w:rFonts w:cs="Arial"/>
          <w:color w:val="000000"/>
          <w:szCs w:val="22"/>
        </w:rPr>
        <w:t>endothelium</w:t>
      </w:r>
      <w:proofErr w:type="spellEnd"/>
    </w:p>
    <w:p w14:paraId="6AB7EF8B" w14:textId="6E61FFDD" w:rsidR="00D32FF3" w:rsidRPr="00D32FF3" w:rsidRDefault="00D32FF3" w:rsidP="003F012D">
      <w:pPr>
        <w:pStyle w:val="Prrafodelista"/>
        <w:jc w:val="left"/>
        <w:rPr>
          <w:rFonts w:cs="Arial"/>
          <w:color w:val="000000"/>
          <w:szCs w:val="22"/>
        </w:rPr>
      </w:pPr>
      <w:r w:rsidRPr="00D32FF3">
        <w:rPr>
          <w:rFonts w:cs="Arial"/>
          <w:color w:val="000000"/>
          <w:szCs w:val="22"/>
        </w:rPr>
        <w:t xml:space="preserve">GO:0048729 </w:t>
      </w:r>
      <w:proofErr w:type="spellStart"/>
      <w:r w:rsidRPr="00D32FF3">
        <w:rPr>
          <w:rFonts w:cs="Arial"/>
          <w:color w:val="000000"/>
          <w:szCs w:val="22"/>
        </w:rPr>
        <w:t>tissue</w:t>
      </w:r>
      <w:proofErr w:type="spellEnd"/>
      <w:r w:rsidRPr="00D32FF3">
        <w:rPr>
          <w:rFonts w:cs="Arial"/>
          <w:color w:val="000000"/>
          <w:szCs w:val="22"/>
        </w:rPr>
        <w:t xml:space="preserve"> </w:t>
      </w:r>
      <w:proofErr w:type="spellStart"/>
      <w:r w:rsidRPr="00D32FF3">
        <w:rPr>
          <w:rFonts w:cs="Arial"/>
          <w:color w:val="000000"/>
          <w:szCs w:val="22"/>
        </w:rPr>
        <w:t>morphogenesis</w:t>
      </w:r>
      <w:proofErr w:type="spellEnd"/>
    </w:p>
    <w:p w14:paraId="71244D82" w14:textId="19044486" w:rsidR="00D32FF3" w:rsidRPr="00D32FF3" w:rsidRDefault="00D32FF3" w:rsidP="003F012D">
      <w:pPr>
        <w:pStyle w:val="Prrafodelista"/>
        <w:jc w:val="left"/>
        <w:rPr>
          <w:rFonts w:cs="Arial"/>
          <w:color w:val="000000"/>
          <w:szCs w:val="22"/>
        </w:rPr>
      </w:pPr>
      <w:r w:rsidRPr="00D32FF3">
        <w:rPr>
          <w:rFonts w:cs="Arial"/>
          <w:color w:val="000000"/>
          <w:szCs w:val="22"/>
        </w:rPr>
        <w:t xml:space="preserve">GO:0035907 dorsal aorta </w:t>
      </w:r>
      <w:proofErr w:type="spellStart"/>
      <w:r w:rsidRPr="00D32FF3">
        <w:rPr>
          <w:rFonts w:cs="Arial"/>
          <w:color w:val="000000"/>
          <w:szCs w:val="22"/>
        </w:rPr>
        <w:t>development</w:t>
      </w:r>
      <w:proofErr w:type="spellEnd"/>
    </w:p>
    <w:p w14:paraId="30B4B77F" w14:textId="5C5823C2" w:rsidR="00D32FF3" w:rsidRDefault="00D32FF3" w:rsidP="003F012D">
      <w:pPr>
        <w:pStyle w:val="Prrafodelista"/>
        <w:jc w:val="left"/>
        <w:rPr>
          <w:rFonts w:cs="Arial"/>
          <w:color w:val="000000"/>
          <w:szCs w:val="22"/>
        </w:rPr>
      </w:pPr>
      <w:r w:rsidRPr="00D32FF3">
        <w:rPr>
          <w:rFonts w:cs="Arial"/>
          <w:color w:val="000000"/>
          <w:szCs w:val="22"/>
        </w:rPr>
        <w:t xml:space="preserve">GO:0035912 dorsal aorta </w:t>
      </w:r>
      <w:proofErr w:type="spellStart"/>
      <w:r w:rsidRPr="00D32FF3">
        <w:rPr>
          <w:rFonts w:cs="Arial"/>
          <w:color w:val="000000"/>
          <w:szCs w:val="22"/>
        </w:rPr>
        <w:t>morphogenesis</w:t>
      </w:r>
      <w:proofErr w:type="spellEnd"/>
    </w:p>
    <w:p w14:paraId="0A909B91" w14:textId="1D04740E" w:rsidR="00D32FF3" w:rsidRPr="00D32FF3" w:rsidRDefault="00D32FF3" w:rsidP="00D32FF3">
      <w:pPr>
        <w:pStyle w:val="Prrafodelista"/>
        <w:numPr>
          <w:ilvl w:val="0"/>
          <w:numId w:val="6"/>
        </w:numPr>
        <w:jc w:val="left"/>
        <w:rPr>
          <w:rFonts w:cs="Arial"/>
          <w:b/>
          <w:bCs/>
          <w:color w:val="000000"/>
          <w:szCs w:val="22"/>
          <w:lang w:val="en-US"/>
        </w:rPr>
      </w:pPr>
      <w:r w:rsidRPr="00D32FF3">
        <w:rPr>
          <w:rFonts w:cs="Arial"/>
          <w:b/>
          <w:bCs/>
          <w:color w:val="000000"/>
          <w:szCs w:val="22"/>
          <w:lang w:val="en-US"/>
        </w:rPr>
        <w:t>ECM remodeling support</w:t>
      </w:r>
      <w:r>
        <w:rPr>
          <w:rFonts w:cs="Arial"/>
          <w:b/>
          <w:bCs/>
          <w:color w:val="000000"/>
          <w:szCs w:val="22"/>
          <w:lang w:val="en-US"/>
        </w:rPr>
        <w:t xml:space="preserve"> (Extracellular matrix and supramolecular structures that must be assembled, reorganized or restricted to allow vessel sprouting, guidance and stabilization)</w:t>
      </w:r>
    </w:p>
    <w:p w14:paraId="3C7199C4" w14:textId="42015E0F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GO:0030198 extracellular matrix organization</w:t>
      </w:r>
    </w:p>
    <w:p w14:paraId="4B59D50F" w14:textId="256C63ED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GO:0043062 extracellular structure organization</w:t>
      </w:r>
    </w:p>
    <w:p w14:paraId="28B6E558" w14:textId="6BBEC402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GO:0045229 external encapsulating structure organization</w:t>
      </w:r>
    </w:p>
    <w:p w14:paraId="50FEC7C2" w14:textId="0F484FFF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GO:0097435 supramolecular fiber organization</w:t>
      </w:r>
    </w:p>
    <w:p w14:paraId="337491E3" w14:textId="5EC40EF0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GO:1902903 regulation of supramolecular fiber organization</w:t>
      </w:r>
    </w:p>
    <w:p w14:paraId="00839FC8" w14:textId="55A14BDB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GO:1902904 negative regulation of supramolecular fiber organization</w:t>
      </w:r>
    </w:p>
    <w:p w14:paraId="1297F123" w14:textId="0A9054C5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GO:0065003 protein-containing complex assembly</w:t>
      </w:r>
    </w:p>
    <w:p w14:paraId="04B35913" w14:textId="42034E3F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GO:0032984 protein-containing complex disassembly</w:t>
      </w:r>
    </w:p>
    <w:p w14:paraId="00A9C276" w14:textId="39F59F86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GO:0043933 protein-containing complex organization</w:t>
      </w:r>
    </w:p>
    <w:p w14:paraId="1E297DA9" w14:textId="54379B03" w:rsidR="00D32FF3" w:rsidRP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GO:0010716 negative regulation of extracellular matrix disassembly</w:t>
      </w:r>
    </w:p>
    <w:p w14:paraId="29655CD9" w14:textId="3AB82762" w:rsidR="00D32FF3" w:rsidRDefault="00D32FF3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  <w:r w:rsidRPr="00D32FF3">
        <w:rPr>
          <w:rFonts w:cs="Arial"/>
          <w:color w:val="000000"/>
          <w:szCs w:val="22"/>
          <w:lang w:val="en-US"/>
        </w:rPr>
        <w:t>GO:0010712 regulation of collagen metabolic process</w:t>
      </w:r>
    </w:p>
    <w:p w14:paraId="3259637D" w14:textId="77777777" w:rsidR="0026590F" w:rsidRDefault="0026590F" w:rsidP="00D32FF3">
      <w:pPr>
        <w:pStyle w:val="Prrafodelista"/>
        <w:jc w:val="left"/>
        <w:rPr>
          <w:rFonts w:cs="Arial"/>
          <w:color w:val="000000"/>
          <w:szCs w:val="22"/>
          <w:lang w:val="en-US"/>
        </w:rPr>
      </w:pPr>
    </w:p>
    <w:p w14:paraId="311DCDFB" w14:textId="7FE0B0CE" w:rsidR="00676C63" w:rsidRPr="0026590F" w:rsidRDefault="00676C63" w:rsidP="00676C63">
      <w:pPr>
        <w:jc w:val="left"/>
        <w:rPr>
          <w:rFonts w:cs="Arial"/>
          <w:b/>
          <w:bCs/>
          <w:color w:val="000000"/>
          <w:szCs w:val="22"/>
          <w:lang w:val="en-US"/>
        </w:rPr>
      </w:pPr>
      <w:r w:rsidRPr="0026590F">
        <w:rPr>
          <w:rFonts w:cs="Arial"/>
          <w:b/>
          <w:bCs/>
          <w:color w:val="000000"/>
          <w:szCs w:val="22"/>
          <w:lang w:val="en-US"/>
        </w:rPr>
        <w:t>Inflammation:</w:t>
      </w:r>
    </w:p>
    <w:p w14:paraId="15924E78" w14:textId="2EFDF5BC" w:rsidR="00676C63" w:rsidRPr="0026590F" w:rsidRDefault="0026590F" w:rsidP="0026590F">
      <w:pPr>
        <w:pStyle w:val="Prrafodelista"/>
        <w:numPr>
          <w:ilvl w:val="0"/>
          <w:numId w:val="10"/>
        </w:numPr>
        <w:jc w:val="left"/>
        <w:rPr>
          <w:rFonts w:cs="Arial"/>
          <w:b/>
          <w:bCs/>
          <w:color w:val="000000"/>
          <w:szCs w:val="22"/>
          <w:lang w:val="en-US"/>
        </w:rPr>
      </w:pPr>
      <w:r w:rsidRPr="0026590F">
        <w:rPr>
          <w:rFonts w:cs="Arial"/>
          <w:b/>
          <w:bCs/>
          <w:color w:val="000000"/>
          <w:szCs w:val="22"/>
          <w:lang w:val="en-US"/>
        </w:rPr>
        <w:t>Cytokine interferon signaling</w:t>
      </w:r>
    </w:p>
    <w:p w14:paraId="71C2C4DD" w14:textId="27D5FBA9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lastRenderedPageBreak/>
        <w:t>GO:0019221 – cytokine-mediated signaling pathway</w:t>
      </w:r>
    </w:p>
    <w:p w14:paraId="58075615" w14:textId="57245C3C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GO:0071345 – cellular response to cytokine stimulus</w:t>
      </w:r>
    </w:p>
    <w:p w14:paraId="2C7E50F3" w14:textId="28F33B78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GO:0034097 – response to cytokine</w:t>
      </w:r>
    </w:p>
    <w:p w14:paraId="04F454A5" w14:textId="163D43FC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GO:0070498 – interleukin-1-mediated signaling pathway</w:t>
      </w:r>
    </w:p>
    <w:p w14:paraId="2C5FF3AB" w14:textId="4765E8C6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GO:0071347 – cellular response to interleukin-1</w:t>
      </w:r>
    </w:p>
    <w:p w14:paraId="7813A3A9" w14:textId="2B9FBFAF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GO:0070555 – response to interleukin-1</w:t>
      </w:r>
    </w:p>
    <w:p w14:paraId="247A819C" w14:textId="2A89688E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GO:0038172 – interleukin-33-mediated signaling pathway</w:t>
      </w:r>
    </w:p>
    <w:p w14:paraId="0ACAF0DA" w14:textId="747CCA1A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GO:0060337 – type I interferon-mediated signaling pathway</w:t>
      </w:r>
    </w:p>
    <w:p w14:paraId="268690FF" w14:textId="72624253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GO:0060333 – type II interferon-mediated signaling pathway</w:t>
      </w:r>
    </w:p>
    <w:p w14:paraId="13754A26" w14:textId="3E976629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GO:0071357 – cellular response to type I interferon</w:t>
      </w:r>
    </w:p>
    <w:p w14:paraId="15AA6089" w14:textId="5136FE0C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GO:0071346 – cellular response to type II interferon</w:t>
      </w:r>
    </w:p>
    <w:p w14:paraId="44461B3F" w14:textId="45BCF351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GO:0034340 – response to type I interferon</w:t>
      </w:r>
    </w:p>
    <w:p w14:paraId="5090118F" w14:textId="7CCF45E9" w:rsidR="0026590F" w:rsidRPr="0026590F" w:rsidRDefault="0026590F" w:rsidP="0026590F">
      <w:pPr>
        <w:pStyle w:val="Sinespaciado"/>
        <w:ind w:firstLine="360"/>
        <w:rPr>
          <w:lang w:val="en-US"/>
        </w:rPr>
      </w:pPr>
      <w:r w:rsidRPr="0026590F">
        <w:rPr>
          <w:lang w:val="en-US"/>
        </w:rPr>
        <w:t>GO:0034341 – response to type II interferon</w:t>
      </w:r>
    </w:p>
    <w:p w14:paraId="41FE7457" w14:textId="36B9F388" w:rsidR="0026590F" w:rsidRDefault="0026590F" w:rsidP="0026590F">
      <w:pPr>
        <w:pStyle w:val="Sinespaciado"/>
        <w:ind w:firstLine="360"/>
      </w:pPr>
      <w:r w:rsidRPr="0026590F">
        <w:t xml:space="preserve">GO:0035456 – response </w:t>
      </w:r>
      <w:proofErr w:type="spellStart"/>
      <w:r w:rsidRPr="0026590F">
        <w:t>to</w:t>
      </w:r>
      <w:proofErr w:type="spellEnd"/>
      <w:r w:rsidRPr="0026590F">
        <w:t xml:space="preserve"> </w:t>
      </w:r>
      <w:proofErr w:type="spellStart"/>
      <w:r w:rsidRPr="0026590F">
        <w:t>interferon</w:t>
      </w:r>
      <w:proofErr w:type="spellEnd"/>
      <w:r w:rsidRPr="0026590F">
        <w:t>-beta</w:t>
      </w:r>
    </w:p>
    <w:p w14:paraId="273554E0" w14:textId="3885E1D4" w:rsidR="0026590F" w:rsidRPr="0026590F" w:rsidRDefault="0026590F" w:rsidP="0026590F">
      <w:pPr>
        <w:pStyle w:val="Sinespaciado"/>
        <w:numPr>
          <w:ilvl w:val="0"/>
          <w:numId w:val="10"/>
        </w:numPr>
        <w:rPr>
          <w:b/>
          <w:bCs/>
        </w:rPr>
      </w:pPr>
      <w:r w:rsidRPr="0026590F">
        <w:rPr>
          <w:b/>
          <w:bCs/>
        </w:rPr>
        <w:t xml:space="preserve">TNF and </w:t>
      </w:r>
      <w:proofErr w:type="spellStart"/>
      <w:r w:rsidRPr="0026590F">
        <w:rPr>
          <w:b/>
          <w:bCs/>
        </w:rPr>
        <w:t>proinflammatory</w:t>
      </w:r>
      <w:proofErr w:type="spellEnd"/>
      <w:r w:rsidRPr="0026590F">
        <w:rPr>
          <w:b/>
          <w:bCs/>
        </w:rPr>
        <w:t xml:space="preserve"> </w:t>
      </w:r>
      <w:proofErr w:type="spellStart"/>
      <w:r w:rsidRPr="0026590F">
        <w:rPr>
          <w:b/>
          <w:bCs/>
        </w:rPr>
        <w:t>cytokines</w:t>
      </w:r>
      <w:proofErr w:type="spellEnd"/>
    </w:p>
    <w:p w14:paraId="72173DEF" w14:textId="5A86E958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GO:0033209 – tumor necrosis factor-mediated signaling pathway</w:t>
      </w:r>
    </w:p>
    <w:p w14:paraId="00AFE44D" w14:textId="04B2B03C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GO:0071356 – cellular response to tumor necrosis factor</w:t>
      </w:r>
    </w:p>
    <w:p w14:paraId="76D615CB" w14:textId="561FAA6A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GO:0034612 – response to tumor necrosis factor</w:t>
      </w:r>
    </w:p>
    <w:p w14:paraId="0E0EF2F4" w14:textId="17D97C54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GO:0001819 – positive regulation of cytokine production</w:t>
      </w:r>
    </w:p>
    <w:p w14:paraId="6E8B305D" w14:textId="0D835180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GO:0002718 – regulation of cytokine production involved in immune response</w:t>
      </w:r>
    </w:p>
    <w:p w14:paraId="6CCB42B0" w14:textId="01DA4AB5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GO:0050729 – positive regulation of inflammatory response</w:t>
      </w:r>
    </w:p>
    <w:p w14:paraId="3EE7D999" w14:textId="10BF1743" w:rsidR="0026590F" w:rsidRPr="0026590F" w:rsidRDefault="0026590F" w:rsidP="0026590F">
      <w:pPr>
        <w:pStyle w:val="Prrafodelista"/>
        <w:numPr>
          <w:ilvl w:val="0"/>
          <w:numId w:val="10"/>
        </w:numPr>
        <w:jc w:val="left"/>
        <w:rPr>
          <w:rFonts w:cs="Arial"/>
          <w:b/>
          <w:bCs/>
          <w:color w:val="000000"/>
          <w:szCs w:val="22"/>
          <w:lang w:val="en-US"/>
        </w:rPr>
      </w:pPr>
      <w:proofErr w:type="spellStart"/>
      <w:r w:rsidRPr="0026590F">
        <w:rPr>
          <w:rFonts w:cs="Arial"/>
          <w:b/>
          <w:bCs/>
          <w:color w:val="000000"/>
          <w:szCs w:val="22"/>
          <w:lang w:val="en-US"/>
        </w:rPr>
        <w:t>NFkB</w:t>
      </w:r>
      <w:proofErr w:type="spellEnd"/>
      <w:r w:rsidRPr="0026590F">
        <w:rPr>
          <w:rFonts w:cs="Arial"/>
          <w:b/>
          <w:bCs/>
          <w:color w:val="000000"/>
          <w:szCs w:val="22"/>
          <w:lang w:val="en-US"/>
        </w:rPr>
        <w:t xml:space="preserve"> MAPK inflammatory signaling</w:t>
      </w:r>
    </w:p>
    <w:p w14:paraId="1A2FE2CD" w14:textId="551B8A90" w:rsidR="0026590F" w:rsidRPr="0026590F" w:rsidRDefault="0026590F" w:rsidP="0026590F">
      <w:pPr>
        <w:pStyle w:val="Sinespaciado"/>
        <w:ind w:left="360"/>
        <w:rPr>
          <w:rFonts w:ascii="Times New Roman" w:hAnsi="Times New Roman"/>
          <w:sz w:val="24"/>
          <w:lang w:val="en-US"/>
        </w:rPr>
      </w:pPr>
      <w:r w:rsidRPr="0026590F">
        <w:rPr>
          <w:lang w:val="en-US"/>
        </w:rPr>
        <w:t>GO:0033209 – tumor necrosis factor-mediated signaling pathway</w:t>
      </w:r>
    </w:p>
    <w:p w14:paraId="3A1CA139" w14:textId="1C9FA608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GO:0071356 – cellular response to tumor necrosis factor</w:t>
      </w:r>
    </w:p>
    <w:p w14:paraId="7761DDDF" w14:textId="33B15414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GO:0034612 – response to tumor necrosis factor</w:t>
      </w:r>
    </w:p>
    <w:p w14:paraId="0089AFDF" w14:textId="34F34E92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GO:0001819 – positive regulation of cytokine production</w:t>
      </w:r>
    </w:p>
    <w:p w14:paraId="3D2CBB3B" w14:textId="7519FF91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GO:0002718 – regulation of cytokine production involved in immune response</w:t>
      </w:r>
    </w:p>
    <w:p w14:paraId="78178945" w14:textId="016E574A" w:rsidR="0026590F" w:rsidRPr="0026590F" w:rsidRDefault="0026590F" w:rsidP="0026590F">
      <w:pPr>
        <w:pStyle w:val="Sinespaciado"/>
        <w:ind w:left="360"/>
        <w:rPr>
          <w:lang w:val="en-US"/>
        </w:rPr>
      </w:pPr>
      <w:r w:rsidRPr="0026590F">
        <w:rPr>
          <w:lang w:val="en-US"/>
        </w:rPr>
        <w:t>GO:0050729 – positive regulation of inflammatory response</w:t>
      </w:r>
    </w:p>
    <w:p w14:paraId="3871F9B7" w14:textId="77777777" w:rsidR="0026590F" w:rsidRDefault="0026590F" w:rsidP="0026590F">
      <w:pPr>
        <w:ind w:left="360"/>
        <w:jc w:val="left"/>
        <w:rPr>
          <w:rFonts w:cs="Arial"/>
          <w:color w:val="000000"/>
          <w:szCs w:val="22"/>
          <w:lang w:val="en-US"/>
        </w:rPr>
      </w:pPr>
    </w:p>
    <w:p w14:paraId="4B565AF0" w14:textId="77777777" w:rsidR="0026590F" w:rsidRPr="0026590F" w:rsidRDefault="0026590F" w:rsidP="0026590F">
      <w:pPr>
        <w:ind w:left="360"/>
        <w:jc w:val="left"/>
        <w:rPr>
          <w:rFonts w:cs="Arial"/>
          <w:color w:val="000000"/>
          <w:szCs w:val="22"/>
          <w:lang w:val="en-US"/>
        </w:rPr>
      </w:pPr>
    </w:p>
    <w:sectPr w:rsidR="0026590F" w:rsidRPr="002659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6ADB"/>
    <w:multiLevelType w:val="hybridMultilevel"/>
    <w:tmpl w:val="2E26B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D616E"/>
    <w:multiLevelType w:val="hybridMultilevel"/>
    <w:tmpl w:val="4D1E0362"/>
    <w:lvl w:ilvl="0" w:tplc="0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17A5D47"/>
    <w:multiLevelType w:val="hybridMultilevel"/>
    <w:tmpl w:val="5C0E22F6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533D4"/>
    <w:multiLevelType w:val="hybridMultilevel"/>
    <w:tmpl w:val="23E6BB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785916"/>
    <w:multiLevelType w:val="hybridMultilevel"/>
    <w:tmpl w:val="A81844D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5698F"/>
    <w:multiLevelType w:val="hybridMultilevel"/>
    <w:tmpl w:val="BA8E6B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05E20"/>
    <w:multiLevelType w:val="hybridMultilevel"/>
    <w:tmpl w:val="5778FB7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F12C8"/>
    <w:multiLevelType w:val="hybridMultilevel"/>
    <w:tmpl w:val="74066C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87233"/>
    <w:multiLevelType w:val="hybridMultilevel"/>
    <w:tmpl w:val="BA9473B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3665ED"/>
    <w:multiLevelType w:val="hybridMultilevel"/>
    <w:tmpl w:val="7F38147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B44E3"/>
    <w:multiLevelType w:val="hybridMultilevel"/>
    <w:tmpl w:val="17EAC6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39E72B3"/>
    <w:multiLevelType w:val="hybridMultilevel"/>
    <w:tmpl w:val="2A6482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F7348"/>
    <w:multiLevelType w:val="hybridMultilevel"/>
    <w:tmpl w:val="7F381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557012">
    <w:abstractNumId w:val="0"/>
  </w:num>
  <w:num w:numId="2" w16cid:durableId="1771969555">
    <w:abstractNumId w:val="5"/>
  </w:num>
  <w:num w:numId="3" w16cid:durableId="1996759819">
    <w:abstractNumId w:val="1"/>
  </w:num>
  <w:num w:numId="4" w16cid:durableId="1896814535">
    <w:abstractNumId w:val="9"/>
  </w:num>
  <w:num w:numId="5" w16cid:durableId="1539584754">
    <w:abstractNumId w:val="12"/>
  </w:num>
  <w:num w:numId="6" w16cid:durableId="1397127174">
    <w:abstractNumId w:val="4"/>
  </w:num>
  <w:num w:numId="7" w16cid:durableId="1434861322">
    <w:abstractNumId w:val="2"/>
  </w:num>
  <w:num w:numId="8" w16cid:durableId="754934859">
    <w:abstractNumId w:val="7"/>
  </w:num>
  <w:num w:numId="9" w16cid:durableId="1221018600">
    <w:abstractNumId w:val="11"/>
  </w:num>
  <w:num w:numId="10" w16cid:durableId="1040521343">
    <w:abstractNumId w:val="6"/>
  </w:num>
  <w:num w:numId="11" w16cid:durableId="1557426993">
    <w:abstractNumId w:val="8"/>
  </w:num>
  <w:num w:numId="12" w16cid:durableId="1256784529">
    <w:abstractNumId w:val="3"/>
  </w:num>
  <w:num w:numId="13" w16cid:durableId="1361978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44"/>
    <w:rsid w:val="000B3752"/>
    <w:rsid w:val="000E37E2"/>
    <w:rsid w:val="00131188"/>
    <w:rsid w:val="00256587"/>
    <w:rsid w:val="0026590F"/>
    <w:rsid w:val="00285144"/>
    <w:rsid w:val="00307B39"/>
    <w:rsid w:val="00343FA1"/>
    <w:rsid w:val="003E0949"/>
    <w:rsid w:val="003F012D"/>
    <w:rsid w:val="00566F7A"/>
    <w:rsid w:val="005924EB"/>
    <w:rsid w:val="00635607"/>
    <w:rsid w:val="00644F93"/>
    <w:rsid w:val="00647078"/>
    <w:rsid w:val="00676C63"/>
    <w:rsid w:val="006A6503"/>
    <w:rsid w:val="006B17E9"/>
    <w:rsid w:val="00701E3A"/>
    <w:rsid w:val="007B130A"/>
    <w:rsid w:val="00997B7F"/>
    <w:rsid w:val="00AC73D3"/>
    <w:rsid w:val="00B13F41"/>
    <w:rsid w:val="00BF3C4F"/>
    <w:rsid w:val="00C84E23"/>
    <w:rsid w:val="00D32FF3"/>
    <w:rsid w:val="00D73F02"/>
    <w:rsid w:val="00DF6124"/>
    <w:rsid w:val="00E82D7C"/>
    <w:rsid w:val="00EF7EC4"/>
    <w:rsid w:val="00FA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10DDD"/>
  <w15:chartTrackingRefBased/>
  <w15:docId w15:val="{B57947D0-D8BA-384F-BFC4-70B11FC4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tricio"/>
    <w:qFormat/>
    <w:rsid w:val="00C84E23"/>
    <w:pPr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8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1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1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1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1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1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1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1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144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144"/>
    <w:rPr>
      <w:rFonts w:eastAsiaTheme="majorEastAsia" w:cstheme="majorBidi"/>
      <w:color w:val="2F5496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14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144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14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144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2851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1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1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144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2851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1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144"/>
    <w:rPr>
      <w:rFonts w:ascii="Arial" w:hAnsi="Arial"/>
      <w:i/>
      <w:iCs/>
      <w:color w:val="2F5496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28514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51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144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635607"/>
    <w:rPr>
      <w:b/>
      <w:bCs/>
    </w:rPr>
  </w:style>
  <w:style w:type="character" w:customStyle="1" w:styleId="apple-converted-space">
    <w:name w:val="apple-converted-space"/>
    <w:basedOn w:val="Fuentedeprrafopredeter"/>
    <w:rsid w:val="00635607"/>
  </w:style>
  <w:style w:type="paragraph" w:styleId="NormalWeb">
    <w:name w:val="Normal (Web)"/>
    <w:basedOn w:val="Normal"/>
    <w:uiPriority w:val="99"/>
    <w:semiHidden/>
    <w:unhideWhenUsed/>
    <w:rsid w:val="003F012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lang w:val="es-ES" w:eastAsia="es-ES_tradnl"/>
      <w14:ligatures w14:val="none"/>
    </w:rPr>
  </w:style>
  <w:style w:type="paragraph" w:styleId="Sinespaciado">
    <w:name w:val="No Spacing"/>
    <w:uiPriority w:val="1"/>
    <w:qFormat/>
    <w:rsid w:val="0026590F"/>
    <w:pPr>
      <w:jc w:val="both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389/fcell.2024.14464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898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FELIPE MORALES ROSALES</dc:creator>
  <cp:keywords/>
  <dc:description/>
  <cp:lastModifiedBy>Patricio Felipe Morales Rosales</cp:lastModifiedBy>
  <cp:revision>6</cp:revision>
  <dcterms:created xsi:type="dcterms:W3CDTF">2025-11-10T13:23:00Z</dcterms:created>
  <dcterms:modified xsi:type="dcterms:W3CDTF">2025-11-21T21:30:00Z</dcterms:modified>
</cp:coreProperties>
</file>