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polleria;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polleria;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receta(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id_receta int auto_increment unique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pasos int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cantidades decimal default (0)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cliente(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id_cliente int auto_increment unique primary key,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nombre varchar(15)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teléfono int,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direccion varchar(15)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producto(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id_producto int auto_increment unique primary 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descripcion varchar(30),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nombre varchar(20)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precio decimal default (0),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stock int default 0,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id_receta int,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foreign key (id_receta) references receta(id_receta),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check (precio &gt; 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empleado(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id_empleado int auto_increment unique primary key,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nombre varchar(15)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sueldo decimal default (0),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cargo varchar(15) not null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create table cocina(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id_cocina int auto_increment unique primary key,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id_producto int,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id_empleado int,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foreign key (id_producto) references producto(id_producto),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foreign key (id_empleado) references empleado(id_empleado)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table pedido(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id_pedido int auto_increment unique primary key,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fecha date,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productos varchar(30)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precio decimal default (0),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cantidad int default 1,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id_cliente int,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foreign key (id_cliente) references cliente(id_cliente),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check (precio &gt; 1)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create table arma(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id_arma int auto_increment unique primary key,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id_pedido int,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id_empleado int,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foreign key (id_pedido) references pedido(id_pedido),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foreign key (id_empleado) references empleado(id_empleado)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table proveedor(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id_proveedor int auto_increment unique primary key,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nombre varchar(15) not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teléfono int,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direccion varchar(15)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table ingrediente(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id_ingrediente int auto_increment unique primary key,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stock int default 0,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nombre varchar(15) not null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table provee(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id_provee int auto_increment unique primary key,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id_proveedor int,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id_ingrediente int,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foreign key (id_proveedor) references proveedor(id_proveedor),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foreign key (id_ingrediente) references ingrediente(id_ingrediente)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create table requiere(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id_requiere int auto_increment unique primary key,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id_receta int,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id_ingrediente int,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foreign key (id_receta) references receta(id_receta),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foreign key (id_ingrediente) references ingrediente(id_ingrediente)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table factura(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id_factura int auto_increment unique primary key,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tipo_de_pago varchar(15)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monto decimal default (0),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id_pedido int,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foreign key (id_pedido) references pedido(id_pedido),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</w:t>
        <w:tab/>
        <w:t xml:space="preserve">check (monto &gt; 1)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