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3" w:type="dxa"/>
        <w:tblLayout w:type="fixed"/>
        <w:tblCellMar>
          <w:left w:w="70" w:type="dxa"/>
          <w:right w:w="70" w:type="dxa"/>
        </w:tblCellMar>
        <w:tblLook w:val="04A0" w:firstRow="1" w:lastRow="0" w:firstColumn="1" w:lastColumn="0" w:noHBand="0" w:noVBand="1"/>
      </w:tblPr>
      <w:tblGrid>
        <w:gridCol w:w="2689"/>
        <w:gridCol w:w="6804"/>
      </w:tblGrid>
      <w:tr w:rsidR="00333829" w:rsidRPr="00B201AA" w:rsidTr="00A36EC3">
        <w:trPr>
          <w:trHeight w:val="411"/>
          <w:tblHeader/>
        </w:trPr>
        <w:tc>
          <w:tcPr>
            <w:tcW w:w="9493"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rsidR="00333829" w:rsidRPr="00B201AA" w:rsidRDefault="00333829" w:rsidP="00A36EC3">
            <w:pPr>
              <w:spacing w:line="276" w:lineRule="auto"/>
              <w:rPr>
                <w:rFonts w:ascii="Arial" w:hAnsi="Arial" w:cs="Arial"/>
                <w:b/>
                <w:bCs/>
                <w:sz w:val="20"/>
                <w:szCs w:val="20"/>
                <w:lang w:eastAsia="es-UY"/>
              </w:rPr>
            </w:pPr>
            <w:r w:rsidRPr="00B201AA">
              <w:rPr>
                <w:rFonts w:ascii="Arial" w:hAnsi="Arial" w:cs="Arial"/>
                <w:b/>
                <w:bCs/>
                <w:sz w:val="20"/>
                <w:szCs w:val="20"/>
                <w:lang w:eastAsia="es-UY"/>
              </w:rPr>
              <w:t xml:space="preserve">Identificación: </w:t>
            </w:r>
            <w:proofErr w:type="spellStart"/>
            <w:r w:rsidRPr="00B201AA">
              <w:rPr>
                <w:rFonts w:ascii="Arial" w:hAnsi="Arial" w:cs="Arial"/>
                <w:b/>
                <w:bCs/>
                <w:sz w:val="20"/>
                <w:szCs w:val="20"/>
                <w:lang w:eastAsia="es-UY"/>
              </w:rPr>
              <w:t>N°</w:t>
            </w:r>
            <w:proofErr w:type="spellEnd"/>
            <w:r w:rsidRPr="00B201AA">
              <w:rPr>
                <w:rFonts w:ascii="Arial" w:hAnsi="Arial" w:cs="Arial"/>
                <w:b/>
                <w:bCs/>
                <w:sz w:val="20"/>
                <w:szCs w:val="20"/>
                <w:lang w:eastAsia="es-UY"/>
              </w:rPr>
              <w:t xml:space="preserve"> y nombre/breve descripción</w:t>
            </w:r>
          </w:p>
        </w:tc>
      </w:tr>
      <w:tr w:rsidR="00333829" w:rsidRPr="00B201AA" w:rsidTr="00A36EC3">
        <w:trPr>
          <w:trHeight w:val="411"/>
          <w:tblHeader/>
        </w:trPr>
        <w:tc>
          <w:tcPr>
            <w:tcW w:w="268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rsidR="00333829" w:rsidRPr="00B201AA" w:rsidRDefault="00333829" w:rsidP="00A36EC3">
            <w:pPr>
              <w:spacing w:line="276" w:lineRule="auto"/>
              <w:jc w:val="center"/>
              <w:rPr>
                <w:rFonts w:ascii="Arial" w:hAnsi="Arial" w:cs="Arial"/>
                <w:b/>
                <w:bCs/>
                <w:sz w:val="20"/>
                <w:szCs w:val="20"/>
                <w:lang w:eastAsia="es-UY"/>
              </w:rPr>
            </w:pPr>
            <w:r w:rsidRPr="00B201AA">
              <w:rPr>
                <w:rFonts w:ascii="Arial" w:hAnsi="Arial" w:cs="Arial"/>
                <w:b/>
                <w:bCs/>
                <w:sz w:val="20"/>
                <w:szCs w:val="20"/>
                <w:lang w:eastAsia="es-UY"/>
              </w:rPr>
              <w:t>Atributo</w:t>
            </w:r>
          </w:p>
        </w:tc>
        <w:tc>
          <w:tcPr>
            <w:tcW w:w="6804" w:type="dxa"/>
            <w:tcBorders>
              <w:top w:val="single" w:sz="4" w:space="0" w:color="000000"/>
              <w:bottom w:val="single" w:sz="4" w:space="0" w:color="000000"/>
              <w:right w:val="single" w:sz="4" w:space="0" w:color="000000"/>
            </w:tcBorders>
            <w:shd w:val="clear" w:color="auto" w:fill="D0CECE" w:themeFill="background2" w:themeFillShade="E6"/>
            <w:vAlign w:val="center"/>
          </w:tcPr>
          <w:p w:rsidR="00333829" w:rsidRPr="00B201AA" w:rsidRDefault="00333829" w:rsidP="00A36EC3">
            <w:pPr>
              <w:spacing w:line="276" w:lineRule="auto"/>
              <w:jc w:val="center"/>
              <w:rPr>
                <w:rFonts w:ascii="Arial" w:hAnsi="Arial" w:cs="Arial"/>
                <w:b/>
                <w:bCs/>
                <w:sz w:val="20"/>
                <w:szCs w:val="20"/>
                <w:lang w:eastAsia="es-UY"/>
              </w:rPr>
            </w:pPr>
            <w:r w:rsidRPr="00B201AA">
              <w:rPr>
                <w:rFonts w:ascii="Arial" w:hAnsi="Arial" w:cs="Arial"/>
                <w:b/>
                <w:bCs/>
                <w:sz w:val="20"/>
                <w:szCs w:val="20"/>
                <w:lang w:eastAsia="es-UY"/>
              </w:rPr>
              <w:t>Descripción</w:t>
            </w:r>
          </w:p>
        </w:tc>
      </w:tr>
      <w:tr w:rsidR="00333829" w:rsidRPr="00B201AA" w:rsidTr="00A36EC3">
        <w:trPr>
          <w:trHeight w:val="668"/>
        </w:trPr>
        <w:tc>
          <w:tcPr>
            <w:tcW w:w="26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bCs/>
                <w:sz w:val="20"/>
                <w:szCs w:val="20"/>
                <w:lang w:eastAsia="es-UY"/>
              </w:rPr>
            </w:pPr>
            <w:r w:rsidRPr="00B201AA">
              <w:rPr>
                <w:rFonts w:ascii="Arial" w:hAnsi="Arial" w:cs="Arial"/>
                <w:b/>
                <w:bCs/>
                <w:sz w:val="20"/>
                <w:szCs w:val="20"/>
                <w:lang w:eastAsia="es-UY"/>
              </w:rPr>
              <w:t>Tipo de Meta:</w:t>
            </w:r>
          </w:p>
        </w:tc>
        <w:tc>
          <w:tcPr>
            <w:tcW w:w="6804" w:type="dxa"/>
            <w:tcBorders>
              <w:top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Indicar el tipo de meta: Institucional, grupal o individual (en caso de ser un Compromiso funcional)</w:t>
            </w:r>
          </w:p>
        </w:tc>
      </w:tr>
      <w:tr w:rsidR="00333829" w:rsidRPr="00B201AA" w:rsidTr="00A36EC3">
        <w:trPr>
          <w:trHeight w:val="705"/>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4819D3" w:rsidRDefault="00333829" w:rsidP="00A36EC3">
            <w:pPr>
              <w:spacing w:line="276" w:lineRule="auto"/>
              <w:rPr>
                <w:rFonts w:ascii="Arial" w:hAnsi="Arial" w:cs="Arial"/>
                <w:b/>
                <w:bCs/>
                <w:sz w:val="20"/>
                <w:szCs w:val="20"/>
                <w:lang w:eastAsia="es-UY"/>
              </w:rPr>
            </w:pPr>
            <w:r w:rsidRPr="004819D3">
              <w:rPr>
                <w:rFonts w:ascii="Arial" w:hAnsi="Arial" w:cs="Arial"/>
                <w:b/>
                <w:bCs/>
                <w:sz w:val="20"/>
                <w:szCs w:val="20"/>
                <w:lang w:eastAsia="es-UY"/>
              </w:rPr>
              <w:t>Alcance de la meta</w:t>
            </w:r>
            <w:r w:rsidRPr="00B201AA">
              <w:rPr>
                <w:rFonts w:ascii="Arial" w:hAnsi="Arial" w:cs="Arial"/>
                <w:b/>
                <w:bCs/>
                <w:sz w:val="20"/>
                <w:szCs w:val="20"/>
                <w:lang w:eastAsia="es-UY"/>
              </w:rPr>
              <w:t>:</w:t>
            </w:r>
          </w:p>
        </w:tc>
        <w:tc>
          <w:tcPr>
            <w:tcW w:w="6804" w:type="dxa"/>
            <w:tcBorders>
              <w:bottom w:val="single" w:sz="4" w:space="0" w:color="000000"/>
              <w:right w:val="single" w:sz="4" w:space="0" w:color="000000"/>
            </w:tcBorders>
            <w:shd w:val="clear" w:color="auto" w:fill="auto"/>
            <w:vAlign w:val="center"/>
          </w:tcPr>
          <w:p w:rsidR="00333829" w:rsidRPr="004819D3" w:rsidRDefault="00333829" w:rsidP="00A36EC3">
            <w:pPr>
              <w:spacing w:line="276" w:lineRule="auto"/>
              <w:rPr>
                <w:rFonts w:ascii="Arial" w:hAnsi="Arial" w:cs="Arial"/>
                <w:sz w:val="20"/>
                <w:szCs w:val="20"/>
                <w:lang w:eastAsia="es-UY"/>
              </w:rPr>
            </w:pPr>
            <w:r w:rsidRPr="004819D3">
              <w:rPr>
                <w:rFonts w:ascii="Arial" w:hAnsi="Arial" w:cs="Arial"/>
                <w:sz w:val="20"/>
                <w:szCs w:val="20"/>
                <w:lang w:eastAsia="es-UY"/>
              </w:rPr>
              <w:t>Indicar a qu</w:t>
            </w:r>
            <w:r w:rsidRPr="00B201AA">
              <w:rPr>
                <w:rFonts w:ascii="Arial" w:hAnsi="Arial" w:cs="Arial"/>
                <w:sz w:val="20"/>
                <w:szCs w:val="20"/>
                <w:lang w:eastAsia="es-UY"/>
              </w:rPr>
              <w:t>é</w:t>
            </w:r>
            <w:r w:rsidRPr="004819D3">
              <w:rPr>
                <w:rFonts w:ascii="Arial" w:hAnsi="Arial" w:cs="Arial"/>
                <w:sz w:val="20"/>
                <w:szCs w:val="20"/>
                <w:lang w:eastAsia="es-UY"/>
              </w:rPr>
              <w:t xml:space="preserve"> personas o grupo de personas abarca el cumplimiento de la meta</w:t>
            </w:r>
          </w:p>
        </w:tc>
        <w:bookmarkStart w:id="0" w:name="_GoBack"/>
        <w:bookmarkEnd w:id="0"/>
      </w:tr>
      <w:tr w:rsidR="00333829" w:rsidRPr="00B201AA" w:rsidTr="00A36EC3">
        <w:trPr>
          <w:trHeight w:val="705"/>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bCs/>
                <w:sz w:val="20"/>
                <w:szCs w:val="20"/>
                <w:lang w:eastAsia="es-UY"/>
              </w:rPr>
              <w:t>Objetivo:</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Indicar de forma clara y precisa lo que se pretende lograr. Propósito/s que se pretende alcanzar con el cumplimiento de  esta meta o eventualmente por un grupo de metas.</w:t>
            </w:r>
          </w:p>
        </w:tc>
      </w:tr>
      <w:tr w:rsidR="00333829" w:rsidRPr="00B201AA" w:rsidTr="00A36EC3">
        <w:trPr>
          <w:trHeight w:val="525"/>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Indicador:</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Establecer la forma en que se medirá el grado de cumplimiento de la meta.</w:t>
            </w:r>
          </w:p>
        </w:tc>
      </w:tr>
      <w:tr w:rsidR="00333829" w:rsidRPr="00B201AA" w:rsidTr="00A36EC3">
        <w:trPr>
          <w:trHeight w:val="959"/>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Forma de cálculo:</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Detallar la fórmula matemática a utilizar en función del indicador propuesto. Si para el indicador definido no hay fórmulas, deberá completarse “No corresponde”.</w:t>
            </w:r>
          </w:p>
        </w:tc>
      </w:tr>
      <w:tr w:rsidR="00333829" w:rsidRPr="00B201AA" w:rsidTr="00A36EC3">
        <w:trPr>
          <w:trHeight w:val="801"/>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Fuentes de información:</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Indicar la fuente/s de datos, documentos, informes, reportes u otro tipo de antecedente/s necesario/s para verificar las mediciones del indicador. Deberá definirse los requisitos de validez de la misma; por ejemplo, si es un informe, debe indicarse quien/es lo firma/n.</w:t>
            </w:r>
          </w:p>
        </w:tc>
      </w:tr>
      <w:tr w:rsidR="00333829" w:rsidRPr="00B201AA" w:rsidTr="00A36EC3">
        <w:trPr>
          <w:trHeight w:val="753"/>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Valor base:</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 xml:space="preserve">Indicar los resultados de la medición previa reciente del indicador (mínimo dos años). </w:t>
            </w:r>
            <w:r w:rsidRPr="00B201AA">
              <w:rPr>
                <w:rFonts w:ascii="Arial" w:hAnsi="Arial" w:cs="Arial"/>
                <w:sz w:val="20"/>
                <w:szCs w:val="20"/>
              </w:rPr>
              <w:t>Tiene que estar en la misma unidad que el Indicador y la Meta.</w:t>
            </w:r>
          </w:p>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En el caso de tratarse de un nuevo proceso y no contar con antecedentes, se debe indicar N/A.</w:t>
            </w:r>
          </w:p>
        </w:tc>
      </w:tr>
      <w:tr w:rsidR="00333829" w:rsidRPr="00B201AA" w:rsidTr="00A36EC3">
        <w:trPr>
          <w:trHeight w:val="1273"/>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Meta:</w:t>
            </w:r>
          </w:p>
        </w:tc>
        <w:tc>
          <w:tcPr>
            <w:tcW w:w="6804" w:type="dxa"/>
            <w:tcBorders>
              <w:bottom w:val="single" w:sz="4" w:space="0" w:color="000000"/>
              <w:right w:val="single" w:sz="4" w:space="0" w:color="000000"/>
            </w:tcBorders>
            <w:shd w:val="clear" w:color="auto" w:fill="auto"/>
            <w:vAlign w:val="center"/>
          </w:tcPr>
          <w:p w:rsidR="00333829"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Indicar el logro específico -medido a través del indicador- en un tiempo determinado por su plazo de cumplimiento. Debe ser especificada teniendo en cuenta los valores observados en períodos anteriores y la premisa de mejora en los logros de la gestión.</w:t>
            </w:r>
          </w:p>
          <w:p w:rsidR="00333829" w:rsidRPr="00B201AA" w:rsidRDefault="00333829" w:rsidP="00A36EC3">
            <w:pPr>
              <w:spacing w:line="276" w:lineRule="auto"/>
              <w:rPr>
                <w:rFonts w:ascii="Arial" w:hAnsi="Arial" w:cs="Arial"/>
                <w:sz w:val="20"/>
                <w:szCs w:val="20"/>
                <w:lang w:eastAsia="es-UY"/>
              </w:rPr>
            </w:pPr>
            <w:r>
              <w:rPr>
                <w:rFonts w:ascii="Arial" w:hAnsi="Arial" w:cs="Arial"/>
                <w:sz w:val="20"/>
                <w:szCs w:val="20"/>
                <w:lang w:eastAsia="es-UY"/>
              </w:rPr>
              <w:t>Importante: puede haber más de una meta. Las metas pueden ser trimestrales, semestrales o anuales. Cada meta tendrá un plazo de vencimiento.</w:t>
            </w:r>
          </w:p>
        </w:tc>
      </w:tr>
      <w:tr w:rsidR="00333829" w:rsidRPr="00B201AA" w:rsidTr="00A36EC3">
        <w:trPr>
          <w:trHeight w:val="1211"/>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Plazo de vencimiento:</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bookmarkStart w:id="1" w:name="RANGE!D8"/>
            <w:r w:rsidRPr="00B201AA">
              <w:rPr>
                <w:rFonts w:ascii="Arial" w:hAnsi="Arial" w:cs="Arial"/>
                <w:sz w:val="20"/>
                <w:szCs w:val="20"/>
                <w:lang w:eastAsia="es-UY"/>
              </w:rPr>
              <w:t>Fecha máxima en que debe haberse logrado la meta. Si por alguna circunstancia, ésta difiriere de la fecha límite para su evaluación, se especificarán ambas. La última de estas fechas determinará el momento en que se harán efectivos los incentivos asociados al logro de la meta.</w:t>
            </w:r>
            <w:bookmarkEnd w:id="1"/>
          </w:p>
        </w:tc>
      </w:tr>
      <w:tr w:rsidR="00333829" w:rsidRPr="00B201AA" w:rsidTr="00A36EC3">
        <w:trPr>
          <w:trHeight w:val="1061"/>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Responsable/s del seguimiento y supervisión del cumplimiento:</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Supervisores directos de quienes deben realizar las actividades para el cumplimiento de la meta.</w:t>
            </w:r>
          </w:p>
        </w:tc>
      </w:tr>
      <w:tr w:rsidR="00333829" w:rsidRPr="00B201AA" w:rsidTr="00A36EC3">
        <w:trPr>
          <w:trHeight w:val="853"/>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Rango de cumplimiento:</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rPr>
                <w:rFonts w:ascii="Arial" w:hAnsi="Arial" w:cs="Arial"/>
                <w:sz w:val="20"/>
                <w:szCs w:val="20"/>
              </w:rPr>
            </w:pPr>
            <w:r w:rsidRPr="00B201AA">
              <w:rPr>
                <w:rFonts w:ascii="Arial" w:hAnsi="Arial" w:cs="Arial"/>
                <w:sz w:val="20"/>
                <w:szCs w:val="20"/>
              </w:rPr>
              <w:t xml:space="preserve">Indicar: </w:t>
            </w:r>
          </w:p>
          <w:p w:rsidR="00333829" w:rsidRPr="00B201AA" w:rsidRDefault="00333829" w:rsidP="00A36EC3">
            <w:pPr>
              <w:rPr>
                <w:rFonts w:ascii="Arial" w:hAnsi="Arial" w:cs="Arial"/>
                <w:sz w:val="20"/>
                <w:szCs w:val="20"/>
              </w:rPr>
            </w:pPr>
            <w:r w:rsidRPr="00B201AA">
              <w:rPr>
                <w:rFonts w:ascii="Arial" w:hAnsi="Arial" w:cs="Arial"/>
                <w:sz w:val="20"/>
                <w:szCs w:val="20"/>
              </w:rPr>
              <w:t xml:space="preserve">- a partir de qué valor se considera cumplida la meta </w:t>
            </w:r>
          </w:p>
          <w:p w:rsidR="00333829" w:rsidRPr="00B201AA" w:rsidRDefault="00333829" w:rsidP="00A36EC3">
            <w:pPr>
              <w:rPr>
                <w:rFonts w:ascii="Arial" w:hAnsi="Arial" w:cs="Arial"/>
                <w:sz w:val="20"/>
                <w:szCs w:val="20"/>
              </w:rPr>
            </w:pPr>
            <w:r w:rsidRPr="00B201AA">
              <w:rPr>
                <w:rFonts w:ascii="Arial" w:hAnsi="Arial" w:cs="Arial"/>
                <w:sz w:val="20"/>
                <w:szCs w:val="20"/>
              </w:rPr>
              <w:t xml:space="preserve">- a partir de qué valor se considera no cumplida la meta </w:t>
            </w:r>
          </w:p>
          <w:p w:rsidR="00333829" w:rsidRPr="00B201AA" w:rsidRDefault="00333829" w:rsidP="00A36EC3">
            <w:pPr>
              <w:rPr>
                <w:rFonts w:ascii="Arial" w:hAnsi="Arial" w:cs="Arial"/>
                <w:sz w:val="20"/>
                <w:szCs w:val="20"/>
              </w:rPr>
            </w:pPr>
            <w:r w:rsidRPr="00B201AA">
              <w:rPr>
                <w:rFonts w:ascii="Arial" w:hAnsi="Arial" w:cs="Arial"/>
                <w:sz w:val="20"/>
                <w:szCs w:val="20"/>
              </w:rPr>
              <w:t>- Rangos de cumplimiento intermedios, en caso de existir</w:t>
            </w:r>
          </w:p>
          <w:p w:rsidR="00333829" w:rsidRPr="00B201AA" w:rsidRDefault="00333829" w:rsidP="00A36EC3">
            <w:pPr>
              <w:spacing w:line="276" w:lineRule="auto"/>
              <w:rPr>
                <w:rFonts w:ascii="Arial" w:hAnsi="Arial" w:cs="Arial"/>
                <w:sz w:val="20"/>
                <w:szCs w:val="20"/>
                <w:lang w:eastAsia="es-UY"/>
              </w:rPr>
            </w:pPr>
          </w:p>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lastRenderedPageBreak/>
              <w:t>La escala deberá incentivar el cumplimiento del 100% de la meta.</w:t>
            </w:r>
          </w:p>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Para metas que permitan una gradualidad:</w:t>
            </w:r>
          </w:p>
          <w:p w:rsidR="00333829" w:rsidRPr="00B201AA" w:rsidRDefault="00333829" w:rsidP="00A36EC3">
            <w:pPr>
              <w:pStyle w:val="Prrafodelista"/>
              <w:numPr>
                <w:ilvl w:val="0"/>
                <w:numId w:val="1"/>
              </w:numPr>
              <w:suppressAutoHyphens/>
              <w:spacing w:after="0" w:line="276" w:lineRule="auto"/>
              <w:rPr>
                <w:rFonts w:ascii="Arial" w:hAnsi="Arial" w:cs="Arial"/>
                <w:lang w:eastAsia="es-UY"/>
              </w:rPr>
            </w:pPr>
            <w:r w:rsidRPr="00B201AA">
              <w:rPr>
                <w:rFonts w:ascii="Arial" w:hAnsi="Arial" w:cs="Arial"/>
                <w:lang w:eastAsia="es-UY"/>
              </w:rPr>
              <w:t>Mayor al 95% meta cumplida (se cobra el 100%)</w:t>
            </w:r>
          </w:p>
          <w:p w:rsidR="00333829" w:rsidRPr="00B201AA" w:rsidRDefault="00333829" w:rsidP="00A36EC3">
            <w:pPr>
              <w:pStyle w:val="Prrafodelista"/>
              <w:numPr>
                <w:ilvl w:val="0"/>
                <w:numId w:val="1"/>
              </w:numPr>
              <w:suppressAutoHyphens/>
              <w:spacing w:after="0" w:line="276" w:lineRule="auto"/>
              <w:rPr>
                <w:rFonts w:ascii="Arial" w:hAnsi="Arial" w:cs="Arial"/>
                <w:lang w:eastAsia="es-UY"/>
              </w:rPr>
            </w:pPr>
            <w:r w:rsidRPr="00B201AA">
              <w:rPr>
                <w:rFonts w:ascii="Arial" w:hAnsi="Arial" w:cs="Arial"/>
                <w:lang w:eastAsia="es-UY"/>
              </w:rPr>
              <w:t>Desde 75% hasta 95% inclusive meta parcialmente cumplida (se cobra proporcional al cumplimiento)</w:t>
            </w:r>
          </w:p>
          <w:p w:rsidR="00333829" w:rsidRPr="00B201AA" w:rsidRDefault="00333829" w:rsidP="00A36EC3">
            <w:pPr>
              <w:pStyle w:val="Prrafodelista"/>
              <w:numPr>
                <w:ilvl w:val="0"/>
                <w:numId w:val="1"/>
              </w:numPr>
              <w:suppressAutoHyphens/>
              <w:spacing w:after="0" w:line="276" w:lineRule="auto"/>
              <w:rPr>
                <w:rFonts w:ascii="Arial" w:hAnsi="Arial" w:cs="Arial"/>
                <w:lang w:val="es-ES" w:eastAsia="es-UY"/>
              </w:rPr>
            </w:pPr>
            <w:r w:rsidRPr="00B201AA">
              <w:rPr>
                <w:rFonts w:ascii="Arial" w:hAnsi="Arial" w:cs="Arial"/>
                <w:lang w:eastAsia="es-UY"/>
              </w:rPr>
              <w:t>Cumplimiento menor al 75% meta no cumplida (no se cobra)</w:t>
            </w:r>
          </w:p>
          <w:p w:rsidR="00333829" w:rsidRPr="00B201AA" w:rsidRDefault="00333829" w:rsidP="00A36EC3">
            <w:pPr>
              <w:rPr>
                <w:rFonts w:ascii="Arial" w:hAnsi="Arial" w:cs="Arial"/>
                <w:lang w:eastAsia="es-UY"/>
              </w:rPr>
            </w:pPr>
            <w:r w:rsidRPr="00B201AA">
              <w:rPr>
                <w:rFonts w:ascii="Arial" w:hAnsi="Arial" w:cs="Arial"/>
                <w:sz w:val="20"/>
                <w:szCs w:val="20"/>
                <w:lang w:eastAsia="es-UY"/>
              </w:rPr>
              <w:t>Para metas de cumplimiento de hito:</w:t>
            </w:r>
          </w:p>
          <w:p w:rsidR="00333829" w:rsidRPr="00B201AA" w:rsidRDefault="00333829" w:rsidP="00A36EC3">
            <w:pPr>
              <w:pStyle w:val="Prrafodelista"/>
              <w:numPr>
                <w:ilvl w:val="0"/>
                <w:numId w:val="1"/>
              </w:numPr>
              <w:suppressAutoHyphens/>
              <w:spacing w:after="0" w:line="276" w:lineRule="auto"/>
              <w:rPr>
                <w:rFonts w:ascii="Arial" w:hAnsi="Arial" w:cs="Arial"/>
                <w:lang w:eastAsia="es-UY"/>
              </w:rPr>
            </w:pPr>
            <w:r w:rsidRPr="00B201AA">
              <w:rPr>
                <w:rFonts w:ascii="Arial" w:hAnsi="Arial" w:cs="Arial"/>
                <w:lang w:eastAsia="es-UY"/>
              </w:rPr>
              <w:t>Se cumple (se cobra el 100%)</w:t>
            </w:r>
          </w:p>
          <w:p w:rsidR="00333829" w:rsidRPr="00B201AA" w:rsidRDefault="00333829" w:rsidP="00A36EC3">
            <w:pPr>
              <w:pStyle w:val="Prrafodelista"/>
              <w:numPr>
                <w:ilvl w:val="0"/>
                <w:numId w:val="1"/>
              </w:numPr>
              <w:suppressAutoHyphens/>
              <w:spacing w:after="0" w:line="276" w:lineRule="auto"/>
              <w:rPr>
                <w:rFonts w:ascii="Arial" w:hAnsi="Arial" w:cs="Arial"/>
                <w:lang w:val="es-ES" w:eastAsia="es-UY"/>
              </w:rPr>
            </w:pPr>
            <w:r w:rsidRPr="00B201AA">
              <w:rPr>
                <w:rFonts w:ascii="Arial" w:hAnsi="Arial" w:cs="Arial"/>
                <w:lang w:eastAsia="es-UY"/>
              </w:rPr>
              <w:t>No se cumple (no se cobra)</w:t>
            </w:r>
          </w:p>
        </w:tc>
      </w:tr>
      <w:tr w:rsidR="00333829" w:rsidRPr="00B201AA" w:rsidTr="00A36EC3">
        <w:trPr>
          <w:trHeight w:val="2080"/>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lastRenderedPageBreak/>
              <w:t>Ponderación:</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Cuando debe cumplirse simultáneamente más de una meta en una misma fecha para recibir el incentivo, es necesario establecer el peso relativo del cumplimiento de cada una de ellas respecto al 100% del incentivo a otorgar.</w:t>
            </w:r>
          </w:p>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La ponderación debe incluirse necesariamente, pudiéndose distribuir en forma lineal o asignando mayor peso relativo a aquellas metas que se entienda pertinente en base a su importancia en el plan estratégico de la institución y/o el grado de esfuerzo que demanda su cumplimiento.</w:t>
            </w:r>
          </w:p>
        </w:tc>
      </w:tr>
      <w:tr w:rsidR="00333829" w:rsidRPr="00B201AA" w:rsidTr="00A36EC3">
        <w:trPr>
          <w:trHeight w:val="704"/>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Pr>
                <w:rFonts w:ascii="Arial" w:hAnsi="Arial" w:cs="Arial"/>
                <w:b/>
                <w:sz w:val="20"/>
                <w:szCs w:val="20"/>
                <w:lang w:eastAsia="es-UY"/>
              </w:rPr>
              <w:t>Cláusula de Salvaguarda</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Pr>
                <w:rFonts w:ascii="Arial" w:hAnsi="Arial" w:cs="Arial"/>
                <w:sz w:val="20"/>
                <w:szCs w:val="20"/>
                <w:lang w:eastAsia="es-UY"/>
              </w:rPr>
              <w:t>Se activará sólo en caso de necesidad y que estén debidamente justificados.</w:t>
            </w:r>
          </w:p>
        </w:tc>
      </w:tr>
      <w:tr w:rsidR="00333829" w:rsidRPr="00B201AA" w:rsidTr="00A36EC3">
        <w:trPr>
          <w:trHeight w:val="704"/>
        </w:trPr>
        <w:tc>
          <w:tcPr>
            <w:tcW w:w="2689" w:type="dxa"/>
            <w:tcBorders>
              <w:left w:val="single" w:sz="4" w:space="0" w:color="000000"/>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b/>
                <w:sz w:val="20"/>
                <w:szCs w:val="20"/>
                <w:lang w:eastAsia="es-UY"/>
              </w:rPr>
            </w:pPr>
            <w:r w:rsidRPr="00B201AA">
              <w:rPr>
                <w:rFonts w:ascii="Arial" w:hAnsi="Arial" w:cs="Arial"/>
                <w:b/>
                <w:sz w:val="20"/>
                <w:szCs w:val="20"/>
                <w:lang w:eastAsia="es-UY"/>
              </w:rPr>
              <w:t>Observaciones:</w:t>
            </w:r>
          </w:p>
        </w:tc>
        <w:tc>
          <w:tcPr>
            <w:tcW w:w="6804" w:type="dxa"/>
            <w:tcBorders>
              <w:bottom w:val="single" w:sz="4" w:space="0" w:color="000000"/>
              <w:right w:val="single" w:sz="4" w:space="0" w:color="000000"/>
            </w:tcBorders>
            <w:shd w:val="clear" w:color="auto" w:fill="auto"/>
            <w:vAlign w:val="center"/>
          </w:tcPr>
          <w:p w:rsidR="00333829" w:rsidRPr="00B201AA" w:rsidRDefault="00333829" w:rsidP="00A36EC3">
            <w:pPr>
              <w:spacing w:line="276" w:lineRule="auto"/>
              <w:rPr>
                <w:rFonts w:ascii="Arial" w:hAnsi="Arial" w:cs="Arial"/>
                <w:sz w:val="20"/>
                <w:szCs w:val="20"/>
                <w:lang w:eastAsia="es-UY"/>
              </w:rPr>
            </w:pPr>
            <w:r w:rsidRPr="00B201AA">
              <w:rPr>
                <w:rFonts w:ascii="Arial" w:hAnsi="Arial" w:cs="Arial"/>
                <w:sz w:val="20"/>
                <w:szCs w:val="20"/>
                <w:lang w:eastAsia="es-UY"/>
              </w:rPr>
              <w:t>Se deberá incluir antecedentes, comentarios/aclaraciones, descripciones o cualquier información que se considere pertinente o sea relevante para la compresión y correcta evaluación de la meta propuesta.</w:t>
            </w:r>
          </w:p>
        </w:tc>
      </w:tr>
    </w:tbl>
    <w:p w:rsidR="00C033BD" w:rsidRPr="00333829" w:rsidRDefault="00C033BD" w:rsidP="00333829"/>
    <w:sectPr w:rsidR="00C033BD" w:rsidRPr="0033382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1AE" w:rsidRDefault="004161AE" w:rsidP="00333829">
      <w:pPr>
        <w:spacing w:after="0" w:line="240" w:lineRule="auto"/>
      </w:pPr>
      <w:r>
        <w:separator/>
      </w:r>
    </w:p>
  </w:endnote>
  <w:endnote w:type="continuationSeparator" w:id="0">
    <w:p w:rsidR="004161AE" w:rsidRDefault="004161AE" w:rsidP="0033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1AE" w:rsidRDefault="004161AE" w:rsidP="00333829">
      <w:pPr>
        <w:spacing w:after="0" w:line="240" w:lineRule="auto"/>
      </w:pPr>
      <w:r>
        <w:separator/>
      </w:r>
    </w:p>
  </w:footnote>
  <w:footnote w:type="continuationSeparator" w:id="0">
    <w:p w:rsidR="004161AE" w:rsidRDefault="004161AE" w:rsidP="00333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829" w:rsidRPr="00333829" w:rsidRDefault="00333829" w:rsidP="00333829">
    <w:pPr>
      <w:pStyle w:val="Encabezado"/>
      <w:jc w:val="center"/>
      <w:rPr>
        <w:b/>
        <w:sz w:val="28"/>
        <w:szCs w:val="28"/>
      </w:rPr>
    </w:pPr>
    <w:r w:rsidRPr="00333829">
      <w:rPr>
        <w:b/>
        <w:sz w:val="28"/>
        <w:szCs w:val="28"/>
      </w:rPr>
      <w:t>FICHA PARA META COMPROMISO DE GESTIÓN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04AFA"/>
    <w:multiLevelType w:val="multilevel"/>
    <w:tmpl w:val="2FDC704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BD"/>
    <w:rsid w:val="00333829"/>
    <w:rsid w:val="004161AE"/>
    <w:rsid w:val="007D1281"/>
    <w:rsid w:val="00C033B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E1A4"/>
  <w15:chartTrackingRefBased/>
  <w15:docId w15:val="{788E01CE-A322-4BC3-87FE-FCCABE9B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8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3829"/>
    <w:pPr>
      <w:ind w:left="720"/>
      <w:contextualSpacing/>
    </w:pPr>
  </w:style>
  <w:style w:type="paragraph" w:styleId="Encabezado">
    <w:name w:val="header"/>
    <w:basedOn w:val="Normal"/>
    <w:link w:val="EncabezadoCar"/>
    <w:uiPriority w:val="99"/>
    <w:unhideWhenUsed/>
    <w:rsid w:val="00333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3829"/>
  </w:style>
  <w:style w:type="paragraph" w:styleId="Piedepgina">
    <w:name w:val="footer"/>
    <w:basedOn w:val="Normal"/>
    <w:link w:val="PiedepginaCar"/>
    <w:uiPriority w:val="99"/>
    <w:unhideWhenUsed/>
    <w:rsid w:val="00333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4174">
      <w:bodyDiv w:val="1"/>
      <w:marLeft w:val="0"/>
      <w:marRight w:val="0"/>
      <w:marTop w:val="0"/>
      <w:marBottom w:val="0"/>
      <w:divBdr>
        <w:top w:val="none" w:sz="0" w:space="0" w:color="auto"/>
        <w:left w:val="none" w:sz="0" w:space="0" w:color="auto"/>
        <w:bottom w:val="none" w:sz="0" w:space="0" w:color="auto"/>
        <w:right w:val="none" w:sz="0" w:space="0" w:color="auto"/>
      </w:divBdr>
      <w:divsChild>
        <w:div w:id="280452327">
          <w:marLeft w:val="0"/>
          <w:marRight w:val="0"/>
          <w:marTop w:val="0"/>
          <w:marBottom w:val="0"/>
          <w:divBdr>
            <w:top w:val="none" w:sz="0" w:space="0" w:color="auto"/>
            <w:left w:val="none" w:sz="0" w:space="0" w:color="auto"/>
            <w:bottom w:val="none" w:sz="0" w:space="0" w:color="auto"/>
            <w:right w:val="none" w:sz="0" w:space="0" w:color="auto"/>
          </w:divBdr>
          <w:divsChild>
            <w:div w:id="20199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387">
      <w:bodyDiv w:val="1"/>
      <w:marLeft w:val="0"/>
      <w:marRight w:val="0"/>
      <w:marTop w:val="0"/>
      <w:marBottom w:val="0"/>
      <w:divBdr>
        <w:top w:val="none" w:sz="0" w:space="0" w:color="auto"/>
        <w:left w:val="none" w:sz="0" w:space="0" w:color="auto"/>
        <w:bottom w:val="none" w:sz="0" w:space="0" w:color="auto"/>
        <w:right w:val="none" w:sz="0" w:space="0" w:color="auto"/>
      </w:divBdr>
      <w:divsChild>
        <w:div w:id="1606159247">
          <w:marLeft w:val="0"/>
          <w:marRight w:val="0"/>
          <w:marTop w:val="0"/>
          <w:marBottom w:val="0"/>
          <w:divBdr>
            <w:top w:val="none" w:sz="0" w:space="0" w:color="auto"/>
            <w:left w:val="none" w:sz="0" w:space="0" w:color="auto"/>
            <w:bottom w:val="none" w:sz="0" w:space="0" w:color="auto"/>
            <w:right w:val="none" w:sz="0" w:space="0" w:color="auto"/>
          </w:divBdr>
          <w:divsChild>
            <w:div w:id="2124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Poli Dobarro</dc:creator>
  <cp:keywords/>
  <dc:description/>
  <cp:lastModifiedBy>Francis Poli Dobarro</cp:lastModifiedBy>
  <cp:revision>1</cp:revision>
  <dcterms:created xsi:type="dcterms:W3CDTF">2025-08-21T15:53:00Z</dcterms:created>
  <dcterms:modified xsi:type="dcterms:W3CDTF">2025-08-21T16:14:00Z</dcterms:modified>
</cp:coreProperties>
</file>