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291F" w:rsidRPr="00B0291F" w:rsidRDefault="00B0291F" w:rsidP="00B0291F">
      <w:pPr>
        <w:rPr>
          <w:rFonts w:ascii="Times New Roman" w:hAnsi="Times New Roman" w:cs="Times New Roman"/>
          <w:b/>
          <w:sz w:val="32"/>
          <w:szCs w:val="32"/>
        </w:rPr>
      </w:pPr>
      <w:r w:rsidRPr="00B0291F">
        <w:rPr>
          <w:rFonts w:ascii="Times New Roman" w:hAnsi="Times New Roman" w:cs="Times New Roman"/>
          <w:b/>
          <w:sz w:val="32"/>
          <w:szCs w:val="32"/>
        </w:rPr>
        <w:t xml:space="preserve">The Quiet Emergency in Our Data: What ECW's Numbers Taught Me </w:t>
      </w:r>
      <w:proofErr w:type="gramStart"/>
      <w:r w:rsidRPr="00B0291F">
        <w:rPr>
          <w:rFonts w:ascii="Times New Roman" w:hAnsi="Times New Roman" w:cs="Times New Roman"/>
          <w:b/>
          <w:sz w:val="32"/>
          <w:szCs w:val="32"/>
        </w:rPr>
        <w:t>About</w:t>
      </w:r>
      <w:proofErr w:type="gramEnd"/>
      <w:r w:rsidRPr="00B0291F">
        <w:rPr>
          <w:rFonts w:ascii="Times New Roman" w:hAnsi="Times New Roman" w:cs="Times New Roman"/>
          <w:b/>
          <w:sz w:val="32"/>
          <w:szCs w:val="32"/>
        </w:rPr>
        <w:t xml:space="preserve"> Lasting Change</w:t>
      </w:r>
    </w:p>
    <w:p w:rsidR="00B0291F" w:rsidRPr="00B0291F" w:rsidRDefault="00B0291F" w:rsidP="00246DC9">
      <w:pPr>
        <w:jc w:val="both"/>
        <w:rPr>
          <w:rFonts w:ascii="Times New Roman" w:hAnsi="Times New Roman" w:cs="Times New Roman"/>
          <w:sz w:val="24"/>
          <w:szCs w:val="24"/>
        </w:rPr>
      </w:pPr>
      <w:r w:rsidRPr="00B0291F">
        <w:rPr>
          <w:rFonts w:ascii="Times New Roman" w:hAnsi="Times New Roman" w:cs="Times New Roman"/>
          <w:sz w:val="24"/>
          <w:szCs w:val="24"/>
        </w:rPr>
        <w:t>There’s a certain image that conjures when we discuss education in emergencies. The rapid deployment, the temporary learning spaces, and the race against the clock. For years, this was my working mental model of impact. Until I spent a week deep-diving in the disaggregated data of Education Cannot Wait’s 2024 Annual Results Report. What I unearthed didn’t just shift my paradigm—it completely rewired my understanding of where real resilience is grown. The numbers tell a tale of quiet endurance that outlives even the loudest headlines.</w:t>
      </w:r>
    </w:p>
    <w:p w:rsidR="00B0291F" w:rsidRPr="00013756" w:rsidRDefault="00B0291F" w:rsidP="00246DC9">
      <w:pPr>
        <w:jc w:val="both"/>
        <w:rPr>
          <w:rFonts w:ascii="Times New Roman" w:hAnsi="Times New Roman" w:cs="Times New Roman"/>
          <w:b/>
          <w:sz w:val="24"/>
          <w:szCs w:val="24"/>
        </w:rPr>
      </w:pPr>
      <w:r w:rsidRPr="00013756">
        <w:rPr>
          <w:rFonts w:ascii="Times New Roman" w:hAnsi="Times New Roman" w:cs="Times New Roman"/>
          <w:b/>
          <w:sz w:val="24"/>
          <w:szCs w:val="24"/>
        </w:rPr>
        <w:t>The Temptation of Speed and the Reality of Systems</w:t>
      </w:r>
      <w:r w:rsidR="00013756">
        <w:rPr>
          <w:rFonts w:ascii="Times New Roman" w:hAnsi="Times New Roman" w:cs="Times New Roman"/>
          <w:b/>
          <w:sz w:val="24"/>
          <w:szCs w:val="24"/>
        </w:rPr>
        <w:t>.</w:t>
      </w:r>
    </w:p>
    <w:p w:rsidR="00B0291F" w:rsidRPr="00B0291F" w:rsidRDefault="00B0291F" w:rsidP="00246DC9">
      <w:pPr>
        <w:jc w:val="both"/>
        <w:rPr>
          <w:rFonts w:ascii="Times New Roman" w:hAnsi="Times New Roman" w:cs="Times New Roman"/>
          <w:sz w:val="24"/>
          <w:szCs w:val="24"/>
        </w:rPr>
      </w:pPr>
      <w:r w:rsidRPr="00B0291F">
        <w:rPr>
          <w:rFonts w:ascii="Times New Roman" w:hAnsi="Times New Roman" w:cs="Times New Roman"/>
          <w:sz w:val="24"/>
          <w:szCs w:val="24"/>
        </w:rPr>
        <w:t>The report’s headline statistics are dizzying: 8.3 million children reached. It’s a remarkable achievement. But as someone looking to build a career in M&amp;E, I know that the deepest insights lurk in the disaggregated data and the trade-offs between different approaches.</w:t>
      </w:r>
    </w:p>
    <w:p w:rsidR="00B0291F" w:rsidRPr="00B0291F" w:rsidRDefault="00B0291F" w:rsidP="00246DC9">
      <w:pPr>
        <w:jc w:val="both"/>
        <w:rPr>
          <w:rFonts w:ascii="Times New Roman" w:hAnsi="Times New Roman" w:cs="Times New Roman"/>
          <w:sz w:val="24"/>
          <w:szCs w:val="24"/>
        </w:rPr>
      </w:pPr>
      <w:r w:rsidRPr="00B0291F">
        <w:rPr>
          <w:rFonts w:ascii="Times New Roman" w:hAnsi="Times New Roman" w:cs="Times New Roman"/>
          <w:sz w:val="24"/>
          <w:szCs w:val="24"/>
        </w:rPr>
        <w:t xml:space="preserve">ECW employs two primary funding instruments: First Emergency Responses (FERs) for acute crises and Multi-Year Resilience </w:t>
      </w:r>
      <w:proofErr w:type="spellStart"/>
      <w:r w:rsidRPr="00B0291F">
        <w:rPr>
          <w:rFonts w:ascii="Times New Roman" w:hAnsi="Times New Roman" w:cs="Times New Roman"/>
          <w:sz w:val="24"/>
          <w:szCs w:val="24"/>
        </w:rPr>
        <w:t>Programmes</w:t>
      </w:r>
      <w:proofErr w:type="spellEnd"/>
      <w:r w:rsidRPr="00B0291F">
        <w:rPr>
          <w:rFonts w:ascii="Times New Roman" w:hAnsi="Times New Roman" w:cs="Times New Roman"/>
          <w:sz w:val="24"/>
          <w:szCs w:val="24"/>
        </w:rPr>
        <w:t xml:space="preserve"> (MYRPs) for chronic situations. A telling tension in the data.</w:t>
      </w:r>
    </w:p>
    <w:p w:rsidR="00B0291F" w:rsidRPr="00B0291F" w:rsidRDefault="00B0291F" w:rsidP="00246DC9">
      <w:pPr>
        <w:jc w:val="both"/>
        <w:rPr>
          <w:rFonts w:ascii="Times New Roman" w:hAnsi="Times New Roman" w:cs="Times New Roman"/>
          <w:sz w:val="24"/>
          <w:szCs w:val="24"/>
        </w:rPr>
      </w:pPr>
      <w:r w:rsidRPr="00B0291F">
        <w:rPr>
          <w:rFonts w:ascii="Times New Roman" w:hAnsi="Times New Roman" w:cs="Times New Roman"/>
          <w:sz w:val="24"/>
          <w:szCs w:val="24"/>
        </w:rPr>
        <w:t>FERs focus on speed. However, the report reveals only 10% of grants were disbursed within the crucial 12-week window. In their urgent race against time, they only transfer 16% of their budgets to local actors. In contrast, MYRPs build for the long term and invest 32%—twice as much as FERS—into local and national actors, smashing their investment target. One supports the delivery of a service to a community; the other invests in building a system with that community.</w:t>
      </w:r>
    </w:p>
    <w:p w:rsidR="00B0291F" w:rsidRPr="00B0291F" w:rsidRDefault="00B0291F" w:rsidP="00B0291F">
      <w:pPr>
        <w:rPr>
          <w:rFonts w:ascii="Times New Roman" w:hAnsi="Times New Roman" w:cs="Times New Roman"/>
          <w:sz w:val="24"/>
          <w:szCs w:val="24"/>
        </w:rPr>
      </w:pPr>
      <w:r w:rsidRPr="00B0291F">
        <w:rPr>
          <w:rFonts w:ascii="Times New Roman" w:hAnsi="Times New Roman" w:cs="Times New Roman"/>
          <w:sz w:val="24"/>
          <w:szCs w:val="24"/>
        </w:rPr>
        <w:t>This isn’t just a question of budgeting. It poses a philosophical question: Do we value how fast we can get there, or how long our impact lasts?</w:t>
      </w:r>
    </w:p>
    <w:p w:rsidR="00B0291F" w:rsidRPr="00013756" w:rsidRDefault="00B0291F" w:rsidP="00B0291F">
      <w:pPr>
        <w:rPr>
          <w:rFonts w:ascii="Times New Roman" w:hAnsi="Times New Roman" w:cs="Times New Roman"/>
          <w:b/>
          <w:sz w:val="24"/>
          <w:szCs w:val="24"/>
        </w:rPr>
      </w:pPr>
      <w:r w:rsidRPr="00013756">
        <w:rPr>
          <w:rFonts w:ascii="Times New Roman" w:hAnsi="Times New Roman" w:cs="Times New Roman"/>
          <w:b/>
          <w:sz w:val="24"/>
          <w:szCs w:val="24"/>
        </w:rPr>
        <w:t>The 41% Gap: Our Shared Blind Spot</w:t>
      </w:r>
      <w:r w:rsidR="00013756">
        <w:rPr>
          <w:rFonts w:ascii="Times New Roman" w:hAnsi="Times New Roman" w:cs="Times New Roman"/>
          <w:b/>
          <w:sz w:val="24"/>
          <w:szCs w:val="24"/>
        </w:rPr>
        <w:t>.</w:t>
      </w:r>
    </w:p>
    <w:p w:rsidR="00B0291F" w:rsidRPr="00B0291F" w:rsidRDefault="00B0291F" w:rsidP="00B0291F">
      <w:pPr>
        <w:rPr>
          <w:rFonts w:ascii="Times New Roman" w:hAnsi="Times New Roman" w:cs="Times New Roman"/>
          <w:sz w:val="24"/>
          <w:szCs w:val="24"/>
        </w:rPr>
      </w:pPr>
      <w:r w:rsidRPr="00B0291F">
        <w:rPr>
          <w:rFonts w:ascii="Times New Roman" w:hAnsi="Times New Roman" w:cs="Times New Roman"/>
          <w:sz w:val="24"/>
          <w:szCs w:val="24"/>
        </w:rPr>
        <w:t>Which brings me to the data point that haunts my nights. While 95% of programs now provide timely data on how many children access education, a glaring gap remains. Only 41% of eligible programs could report on student retention and completion rates.</w:t>
      </w:r>
    </w:p>
    <w:p w:rsidR="00B0291F" w:rsidRPr="00B0291F" w:rsidRDefault="00B0291F" w:rsidP="00B0291F">
      <w:pPr>
        <w:rPr>
          <w:rFonts w:ascii="Times New Roman" w:hAnsi="Times New Roman" w:cs="Times New Roman"/>
          <w:sz w:val="24"/>
          <w:szCs w:val="24"/>
        </w:rPr>
      </w:pPr>
      <w:r w:rsidRPr="00B0291F">
        <w:rPr>
          <w:rFonts w:ascii="Times New Roman" w:hAnsi="Times New Roman" w:cs="Times New Roman"/>
          <w:sz w:val="24"/>
          <w:szCs w:val="24"/>
        </w:rPr>
        <w:t>Let’s take a moment to reflect on that. We have fantastic data on access but devastatingly poor data on continuity. In M&amp;E speak, we’re measuring inputs but missing outputs. For a fund committed to “leaving no child behind,” this is our most pressing data emergency. Without it, how can we tell if our safe learning spaces are just a brief intermission in a continuing journey out of crisis?</w:t>
      </w:r>
    </w:p>
    <w:p w:rsidR="00B0291F" w:rsidRPr="00B0291F" w:rsidRDefault="00B0291F" w:rsidP="006155C8">
      <w:pPr>
        <w:jc w:val="both"/>
        <w:rPr>
          <w:rFonts w:ascii="Times New Roman" w:hAnsi="Times New Roman" w:cs="Times New Roman"/>
          <w:sz w:val="24"/>
          <w:szCs w:val="24"/>
        </w:rPr>
      </w:pPr>
      <w:r w:rsidRPr="00B0291F">
        <w:rPr>
          <w:rFonts w:ascii="Times New Roman" w:hAnsi="Times New Roman" w:cs="Times New Roman"/>
          <w:sz w:val="24"/>
          <w:szCs w:val="24"/>
        </w:rPr>
        <w:t>This makes visible the heart of the M&amp;E challenge: monitoring human outcomes like learning and resilience is infinitely more complex than counting inputs. There is progress—the report notes that 71% of MYRPs report on holistic learning outcomes, and ECW is preparing a Holistic Learning Outcomes Measurement Handbook. This work is dry and technical—but it’s critical. It’s the difference between looking at a</w:t>
      </w:r>
      <w:r w:rsidR="006155C8">
        <w:rPr>
          <w:rFonts w:ascii="Times New Roman" w:hAnsi="Times New Roman" w:cs="Times New Roman"/>
          <w:sz w:val="24"/>
          <w:szCs w:val="24"/>
        </w:rPr>
        <w:t xml:space="preserve"> snapshot and watching a film.</w:t>
      </w:r>
    </w:p>
    <w:p w:rsidR="00B0291F" w:rsidRPr="00013756" w:rsidRDefault="00B0291F" w:rsidP="006155C8">
      <w:pPr>
        <w:jc w:val="both"/>
        <w:rPr>
          <w:rFonts w:ascii="Times New Roman" w:hAnsi="Times New Roman" w:cs="Times New Roman"/>
          <w:b/>
          <w:sz w:val="24"/>
          <w:szCs w:val="24"/>
        </w:rPr>
      </w:pPr>
      <w:r w:rsidRPr="00013756">
        <w:rPr>
          <w:rFonts w:ascii="Times New Roman" w:hAnsi="Times New Roman" w:cs="Times New Roman"/>
          <w:b/>
          <w:sz w:val="24"/>
          <w:szCs w:val="24"/>
        </w:rPr>
        <w:t>Where I Hope to Contribute: Beyond the Spreadsheet</w:t>
      </w:r>
      <w:r w:rsidR="00013756">
        <w:rPr>
          <w:rFonts w:ascii="Times New Roman" w:hAnsi="Times New Roman" w:cs="Times New Roman"/>
          <w:b/>
          <w:sz w:val="24"/>
          <w:szCs w:val="24"/>
        </w:rPr>
        <w:t>.</w:t>
      </w:r>
    </w:p>
    <w:p w:rsidR="00B0291F" w:rsidRPr="00B0291F" w:rsidRDefault="00B0291F" w:rsidP="006155C8">
      <w:pPr>
        <w:jc w:val="both"/>
        <w:rPr>
          <w:rFonts w:ascii="Times New Roman" w:hAnsi="Times New Roman" w:cs="Times New Roman"/>
          <w:sz w:val="24"/>
          <w:szCs w:val="24"/>
        </w:rPr>
      </w:pPr>
      <w:r w:rsidRPr="00B0291F">
        <w:rPr>
          <w:rFonts w:ascii="Times New Roman" w:hAnsi="Times New Roman" w:cs="Times New Roman"/>
          <w:sz w:val="24"/>
          <w:szCs w:val="24"/>
        </w:rPr>
        <w:lastRenderedPageBreak/>
        <w:t>Synthesizing this report did more than build my analytical skills; it made clear what kind of profession I want to pursue. Beyond investigating numbers and running statistical models, I see my career as providing actionable insights into weaknesses and blind spots in our programs, and hopefully, humanizing this data in ways that encourage collective action.</w:t>
      </w:r>
    </w:p>
    <w:p w:rsidR="00B0291F" w:rsidRPr="00B0291F" w:rsidRDefault="00B0291F" w:rsidP="006155C8">
      <w:pPr>
        <w:jc w:val="both"/>
        <w:rPr>
          <w:rFonts w:ascii="Times New Roman" w:hAnsi="Times New Roman" w:cs="Times New Roman"/>
          <w:sz w:val="24"/>
          <w:szCs w:val="24"/>
        </w:rPr>
      </w:pPr>
      <w:r w:rsidRPr="00B0291F">
        <w:rPr>
          <w:rFonts w:ascii="Times New Roman" w:hAnsi="Times New Roman" w:cs="Times New Roman"/>
          <w:sz w:val="24"/>
          <w:szCs w:val="24"/>
        </w:rPr>
        <w:t>At present though, this remains an exercise in spreadsheet gymnastics for so many of us who work in M&amp;E. My hope is to contribute creatively—to tell a shared story beyond reports that overanalyze our methodologies and approach.</w:t>
      </w:r>
    </w:p>
    <w:p w:rsidR="00B0291F" w:rsidRPr="00B0291F" w:rsidRDefault="00B0291F" w:rsidP="006155C8">
      <w:pPr>
        <w:jc w:val="both"/>
        <w:rPr>
          <w:rFonts w:ascii="Times New Roman" w:hAnsi="Times New Roman" w:cs="Times New Roman"/>
          <w:sz w:val="24"/>
          <w:szCs w:val="24"/>
        </w:rPr>
      </w:pPr>
      <w:r w:rsidRPr="00B0291F">
        <w:rPr>
          <w:rFonts w:ascii="Times New Roman" w:hAnsi="Times New Roman" w:cs="Times New Roman"/>
          <w:sz w:val="24"/>
          <w:szCs w:val="24"/>
        </w:rPr>
        <w:t>Drawing up an M&amp;E framework for development funding to education emergencies is essential groundwork for any project, but only if it is an afterthought to meaningful dialogue between all stakeholders about measuring success beyond access.</w:t>
      </w:r>
    </w:p>
    <w:p w:rsidR="00B0291F" w:rsidRPr="003C2F91" w:rsidRDefault="00B0291F" w:rsidP="006155C8">
      <w:pPr>
        <w:jc w:val="both"/>
        <w:rPr>
          <w:rFonts w:ascii="Times New Roman" w:hAnsi="Times New Roman" w:cs="Times New Roman"/>
          <w:b/>
          <w:sz w:val="24"/>
          <w:szCs w:val="24"/>
        </w:rPr>
      </w:pPr>
      <w:r w:rsidRPr="003C2F91">
        <w:rPr>
          <w:rFonts w:ascii="Times New Roman" w:hAnsi="Times New Roman" w:cs="Times New Roman"/>
          <w:b/>
          <w:sz w:val="24"/>
          <w:szCs w:val="24"/>
        </w:rPr>
        <w:t>Can we draw up a roadmap with shared goals for success—centered not just around numbers but lasting change?</w:t>
      </w:r>
    </w:p>
    <w:p w:rsidR="00B0291F" w:rsidRPr="00B0291F" w:rsidRDefault="00B0291F" w:rsidP="006155C8">
      <w:pPr>
        <w:jc w:val="both"/>
        <w:rPr>
          <w:rFonts w:ascii="Times New Roman" w:hAnsi="Times New Roman" w:cs="Times New Roman"/>
          <w:sz w:val="24"/>
          <w:szCs w:val="24"/>
        </w:rPr>
      </w:pPr>
      <w:r w:rsidRPr="00B0291F">
        <w:rPr>
          <w:rFonts w:ascii="Times New Roman" w:hAnsi="Times New Roman" w:cs="Times New Roman"/>
          <w:sz w:val="24"/>
          <w:szCs w:val="24"/>
        </w:rPr>
        <w:t>Designing such a pathway will require all my skills—critical thinking, communication, creativity—but my greatest desire though is to bolster these efforts with innovative visualizations!</w:t>
      </w:r>
    </w:p>
    <w:p w:rsidR="003C2F91" w:rsidRPr="003C2F91" w:rsidRDefault="00B0291F" w:rsidP="006155C8">
      <w:pPr>
        <w:jc w:val="both"/>
        <w:rPr>
          <w:rFonts w:ascii="Times New Roman" w:hAnsi="Times New Roman" w:cs="Times New Roman"/>
          <w:sz w:val="24"/>
          <w:szCs w:val="24"/>
        </w:rPr>
      </w:pPr>
      <w:r w:rsidRPr="00B0291F">
        <w:rPr>
          <w:rFonts w:ascii="Times New Roman" w:hAnsi="Times New Roman" w:cs="Times New Roman"/>
          <w:sz w:val="24"/>
          <w:szCs w:val="24"/>
        </w:rPr>
        <w:t>My instinct is that looking at these projections across a page will put off even advanced readers.</w:t>
      </w:r>
      <w:r w:rsidR="008F41A2">
        <w:rPr>
          <w:rFonts w:ascii="Times New Roman" w:hAnsi="Times New Roman" w:cs="Times New Roman"/>
          <w:sz w:val="24"/>
          <w:szCs w:val="24"/>
        </w:rPr>
        <w:t xml:space="preserve"> </w:t>
      </w:r>
      <w:r w:rsidRPr="00B0291F">
        <w:rPr>
          <w:rFonts w:ascii="Times New Roman" w:hAnsi="Times New Roman" w:cs="Times New Roman"/>
          <w:sz w:val="24"/>
          <w:szCs w:val="24"/>
        </w:rPr>
        <w:t>What I envision will be a map—a creative interpretation of a long complicated journey to safety condensed into a pictorial overview of possible portals to new paths far removed from crises.</w:t>
      </w:r>
      <w:r w:rsidR="008F41A2">
        <w:rPr>
          <w:rFonts w:ascii="Times New Roman" w:hAnsi="Times New Roman" w:cs="Times New Roman"/>
          <w:sz w:val="24"/>
          <w:szCs w:val="24"/>
        </w:rPr>
        <w:t xml:space="preserve"> </w:t>
      </w:r>
      <w:r w:rsidRPr="00B0291F">
        <w:rPr>
          <w:rFonts w:ascii="Times New Roman" w:hAnsi="Times New Roman" w:cs="Times New Roman"/>
          <w:sz w:val="24"/>
          <w:szCs w:val="24"/>
        </w:rPr>
        <w:t>A picture may well be worth a thousand words but to be more precise, I hope it will open thousands of doors!</w:t>
      </w:r>
      <w:r w:rsidR="008F41A2">
        <w:rPr>
          <w:rFonts w:ascii="Times New Roman" w:hAnsi="Times New Roman" w:cs="Times New Roman"/>
          <w:sz w:val="24"/>
          <w:szCs w:val="24"/>
        </w:rPr>
        <w:t xml:space="preserve">. </w:t>
      </w:r>
      <w:r w:rsidR="003C2F91">
        <w:rPr>
          <w:rFonts w:ascii="Times New Roman" w:hAnsi="Times New Roman" w:cs="Times New Roman"/>
          <w:sz w:val="24"/>
          <w:szCs w:val="24"/>
        </w:rPr>
        <w:t xml:space="preserve">I </w:t>
      </w:r>
      <w:r w:rsidR="003C2F91" w:rsidRPr="003C2F91">
        <w:rPr>
          <w:rFonts w:ascii="Times New Roman" w:hAnsi="Times New Roman" w:cs="Times New Roman"/>
          <w:sz w:val="24"/>
          <w:szCs w:val="24"/>
        </w:rPr>
        <w:t>see myself contributing in two ways, both of which are highlighted in the report:</w:t>
      </w:r>
    </w:p>
    <w:p w:rsidR="003C2F91" w:rsidRPr="003C2F91" w:rsidRDefault="003C2F91" w:rsidP="006155C8">
      <w:pPr>
        <w:jc w:val="both"/>
        <w:rPr>
          <w:rFonts w:ascii="Times New Roman" w:hAnsi="Times New Roman" w:cs="Times New Roman"/>
          <w:sz w:val="24"/>
          <w:szCs w:val="24"/>
        </w:rPr>
      </w:pPr>
      <w:r w:rsidRPr="003C2F91">
        <w:rPr>
          <w:rFonts w:ascii="Times New Roman" w:hAnsi="Times New Roman" w:cs="Times New Roman"/>
          <w:sz w:val="24"/>
          <w:szCs w:val="24"/>
        </w:rPr>
        <w:t>First, as a champion of the “41% gap.” I want to help close it. My mixed-methods research training is intended for exactly this—to not just make sense of the quantitative data on enrollment numbers but to help devise the qualitative instruments which will allow us to understand the </w:t>
      </w:r>
      <w:r w:rsidRPr="003C2F91">
        <w:rPr>
          <w:rFonts w:ascii="Times New Roman" w:hAnsi="Times New Roman" w:cs="Times New Roman"/>
          <w:i/>
          <w:iCs/>
          <w:sz w:val="24"/>
          <w:szCs w:val="24"/>
        </w:rPr>
        <w:t>why</w:t>
      </w:r>
      <w:r w:rsidRPr="003C2F91">
        <w:rPr>
          <w:rFonts w:ascii="Times New Roman" w:hAnsi="Times New Roman" w:cs="Times New Roman"/>
          <w:sz w:val="24"/>
          <w:szCs w:val="24"/>
        </w:rPr>
        <w:t> of a child having stayed or having left. I want to help make the future </w:t>
      </w:r>
      <w:r w:rsidRPr="003C2F91">
        <w:rPr>
          <w:rFonts w:ascii="Times New Roman" w:hAnsi="Times New Roman" w:cs="Times New Roman"/>
          <w:b/>
          <w:bCs/>
          <w:sz w:val="24"/>
          <w:szCs w:val="24"/>
        </w:rPr>
        <w:t>Holistic Learning Handbook</w:t>
      </w:r>
      <w:r w:rsidRPr="003C2F91">
        <w:rPr>
          <w:rFonts w:ascii="Times New Roman" w:hAnsi="Times New Roman" w:cs="Times New Roman"/>
          <w:sz w:val="24"/>
          <w:szCs w:val="24"/>
        </w:rPr>
        <w:t> not just an inspired document but one that becomes an actual practice across grantees so that we measure not just enrollment but what matters the most: enduring learning.</w:t>
      </w:r>
    </w:p>
    <w:p w:rsidR="003C2F91" w:rsidRPr="003C2F91" w:rsidRDefault="003C2F91" w:rsidP="006155C8">
      <w:pPr>
        <w:jc w:val="both"/>
        <w:rPr>
          <w:rFonts w:ascii="Times New Roman" w:hAnsi="Times New Roman" w:cs="Times New Roman"/>
          <w:sz w:val="24"/>
          <w:szCs w:val="24"/>
        </w:rPr>
      </w:pPr>
      <w:r w:rsidRPr="003C2F91">
        <w:rPr>
          <w:rFonts w:ascii="Times New Roman" w:hAnsi="Times New Roman" w:cs="Times New Roman"/>
          <w:sz w:val="24"/>
          <w:szCs w:val="24"/>
        </w:rPr>
        <w:t>Second, by helping to tell the story of the evidence. The report demonstrates </w:t>
      </w:r>
      <w:r w:rsidRPr="003C2F91">
        <w:rPr>
          <w:rFonts w:ascii="Times New Roman" w:hAnsi="Times New Roman" w:cs="Times New Roman"/>
          <w:b/>
          <w:bCs/>
          <w:sz w:val="24"/>
          <w:szCs w:val="24"/>
        </w:rPr>
        <w:t>88% of reporting MYRPs improved learning outcomes</w:t>
      </w:r>
      <w:r w:rsidRPr="003C2F91">
        <w:rPr>
          <w:rFonts w:ascii="Times New Roman" w:hAnsi="Times New Roman" w:cs="Times New Roman"/>
          <w:sz w:val="24"/>
          <w:szCs w:val="24"/>
        </w:rPr>
        <w:t>. That’s a story of systemic change that needs to be told. As an intern, I would not just be a data grunt for the next annual report but be helping to craft the learning briefs, the narratives that show to donors and policy-makers in a way that no data point can that it is the MYRP model with its deep localization and long term vision that is where investment goes the farthest. It’s about translating that </w:t>
      </w:r>
      <w:r w:rsidRPr="003C2F91">
        <w:rPr>
          <w:rFonts w:ascii="Times New Roman" w:hAnsi="Times New Roman" w:cs="Times New Roman"/>
          <w:b/>
          <w:bCs/>
          <w:sz w:val="24"/>
          <w:szCs w:val="24"/>
        </w:rPr>
        <w:t>32%</w:t>
      </w:r>
      <w:r w:rsidRPr="003C2F91">
        <w:rPr>
          <w:rFonts w:ascii="Times New Roman" w:hAnsi="Times New Roman" w:cs="Times New Roman"/>
          <w:sz w:val="24"/>
          <w:szCs w:val="24"/>
        </w:rPr>
        <w:t xml:space="preserve"> localization data point into a case for sustained investment.</w:t>
      </w:r>
    </w:p>
    <w:p w:rsidR="003C2F91" w:rsidRPr="003C2F91" w:rsidRDefault="003C2F91" w:rsidP="003C2F91">
      <w:pPr>
        <w:rPr>
          <w:rFonts w:ascii="Times New Roman" w:hAnsi="Times New Roman" w:cs="Times New Roman"/>
          <w:sz w:val="24"/>
          <w:szCs w:val="24"/>
        </w:rPr>
      </w:pPr>
      <w:r w:rsidRPr="003C2F91">
        <w:rPr>
          <w:rFonts w:ascii="Times New Roman" w:hAnsi="Times New Roman" w:cs="Times New Roman"/>
          <w:b/>
          <w:bCs/>
          <w:sz w:val="24"/>
          <w:szCs w:val="24"/>
        </w:rPr>
        <w:t>A Conclusion, and a Beginning</w:t>
      </w:r>
    </w:p>
    <w:p w:rsidR="003C2F91" w:rsidRPr="003C2F91" w:rsidRDefault="003C2F91" w:rsidP="00310DFE">
      <w:pPr>
        <w:jc w:val="both"/>
        <w:rPr>
          <w:rFonts w:ascii="Times New Roman" w:hAnsi="Times New Roman" w:cs="Times New Roman"/>
          <w:sz w:val="24"/>
          <w:szCs w:val="24"/>
        </w:rPr>
      </w:pPr>
      <w:r w:rsidRPr="003C2F91">
        <w:rPr>
          <w:rFonts w:ascii="Times New Roman" w:hAnsi="Times New Roman" w:cs="Times New Roman"/>
          <w:sz w:val="24"/>
          <w:szCs w:val="24"/>
        </w:rPr>
        <w:t>My week of data has stripped away the layers of emergency response. The loud emergency response needs tents, textbooks, teachers now. The </w:t>
      </w:r>
      <w:r w:rsidRPr="003C2F91">
        <w:rPr>
          <w:rFonts w:ascii="Times New Roman" w:hAnsi="Times New Roman" w:cs="Times New Roman"/>
          <w:b/>
          <w:bCs/>
          <w:sz w:val="24"/>
          <w:szCs w:val="24"/>
        </w:rPr>
        <w:t>quiet emergency</w:t>
      </w:r>
      <w:r w:rsidRPr="003C2F91">
        <w:rPr>
          <w:rFonts w:ascii="Times New Roman" w:hAnsi="Times New Roman" w:cs="Times New Roman"/>
          <w:sz w:val="24"/>
          <w:szCs w:val="24"/>
        </w:rPr>
        <w:t> needs robust data ecosystems, local capacity and the willingness to follow the journey of a child for years.</w:t>
      </w:r>
    </w:p>
    <w:p w:rsidR="003C2F91" w:rsidRPr="003C2F91" w:rsidRDefault="003C2F91" w:rsidP="00E419B6">
      <w:pPr>
        <w:jc w:val="both"/>
        <w:rPr>
          <w:rFonts w:ascii="Times New Roman" w:hAnsi="Times New Roman" w:cs="Times New Roman"/>
          <w:sz w:val="24"/>
          <w:szCs w:val="24"/>
        </w:rPr>
      </w:pPr>
      <w:r w:rsidRPr="003C2F91">
        <w:rPr>
          <w:rFonts w:ascii="Times New Roman" w:hAnsi="Times New Roman" w:cs="Times New Roman"/>
          <w:sz w:val="24"/>
          <w:szCs w:val="24"/>
        </w:rPr>
        <w:t>It is the level of complexity this entails, this systems-level thinking and intervention, which draws me. The data of ECW show that while rapid response saves lives it is </w:t>
      </w:r>
      <w:r w:rsidRPr="003C2F91">
        <w:rPr>
          <w:rFonts w:ascii="Times New Roman" w:hAnsi="Times New Roman" w:cs="Times New Roman"/>
          <w:b/>
          <w:bCs/>
          <w:sz w:val="24"/>
          <w:szCs w:val="24"/>
        </w:rPr>
        <w:t xml:space="preserve">patient, principled and </w:t>
      </w:r>
      <w:bookmarkStart w:id="0" w:name="_GoBack"/>
      <w:r w:rsidRPr="003C2F91">
        <w:rPr>
          <w:rFonts w:ascii="Times New Roman" w:hAnsi="Times New Roman" w:cs="Times New Roman"/>
          <w:b/>
          <w:bCs/>
          <w:sz w:val="24"/>
          <w:szCs w:val="24"/>
        </w:rPr>
        <w:lastRenderedPageBreak/>
        <w:t>locally-led investment</w:t>
      </w:r>
      <w:r w:rsidRPr="003C2F91">
        <w:rPr>
          <w:rFonts w:ascii="Times New Roman" w:hAnsi="Times New Roman" w:cs="Times New Roman"/>
          <w:sz w:val="24"/>
          <w:szCs w:val="24"/>
        </w:rPr>
        <w:t> that builds futures. As an M&amp;E intern my focus would be ensuring that our data, our narratives never lose sight of that deeper, quieter need—that we measure not just the spark of an intervention but the enduring flame of resilience.</w:t>
      </w:r>
    </w:p>
    <w:p w:rsidR="003C2F91" w:rsidRPr="003C2F91" w:rsidRDefault="003C2F91" w:rsidP="00E419B6">
      <w:pPr>
        <w:jc w:val="both"/>
        <w:rPr>
          <w:rFonts w:ascii="Times New Roman" w:hAnsi="Times New Roman" w:cs="Times New Roman"/>
          <w:sz w:val="24"/>
          <w:szCs w:val="24"/>
        </w:rPr>
      </w:pPr>
      <w:r w:rsidRPr="003C2F91">
        <w:rPr>
          <w:rFonts w:ascii="Times New Roman" w:hAnsi="Times New Roman" w:cs="Times New Roman"/>
          <w:sz w:val="24"/>
          <w:szCs w:val="24"/>
        </w:rPr>
        <w:t>It is more than an application. It is a pledge. A pledge to dedicate myself to data so that others do not have to, to spot the insights so that the story can be told, to plead the cause of metrics that really matter, to ensure that with the help of a dedicated team of folks we build not just an evidence base but one that demonstrates that the most powerful thing we can give in a crisis is an </w:t>
      </w:r>
      <w:r w:rsidRPr="003C2F91">
        <w:rPr>
          <w:rFonts w:ascii="Times New Roman" w:hAnsi="Times New Roman" w:cs="Times New Roman"/>
          <w:b/>
          <w:bCs/>
          <w:sz w:val="24"/>
          <w:szCs w:val="24"/>
        </w:rPr>
        <w:t>education that lasts</w:t>
      </w:r>
      <w:bookmarkEnd w:id="0"/>
      <w:r w:rsidRPr="003C2F91">
        <w:rPr>
          <w:rFonts w:ascii="Times New Roman" w:hAnsi="Times New Roman" w:cs="Times New Roman"/>
          <w:sz w:val="24"/>
          <w:szCs w:val="24"/>
        </w:rPr>
        <w:t>.</w:t>
      </w:r>
    </w:p>
    <w:p w:rsidR="00BE616B" w:rsidRPr="002174C4" w:rsidRDefault="00BE616B" w:rsidP="003C2F91">
      <w:pPr>
        <w:rPr>
          <w:rFonts w:ascii="Times New Roman" w:hAnsi="Times New Roman" w:cs="Times New Roman"/>
          <w:sz w:val="24"/>
          <w:szCs w:val="24"/>
        </w:rPr>
      </w:pPr>
    </w:p>
    <w:sectPr w:rsidR="00BE616B" w:rsidRPr="002174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C28"/>
    <w:rsid w:val="00013756"/>
    <w:rsid w:val="002174C4"/>
    <w:rsid w:val="00246DC9"/>
    <w:rsid w:val="00310DFE"/>
    <w:rsid w:val="003C2F91"/>
    <w:rsid w:val="006155C8"/>
    <w:rsid w:val="008F41A2"/>
    <w:rsid w:val="00966C28"/>
    <w:rsid w:val="00B0291F"/>
    <w:rsid w:val="00BE616B"/>
    <w:rsid w:val="00C8292E"/>
    <w:rsid w:val="00D56ADF"/>
    <w:rsid w:val="00E419B6"/>
    <w:rsid w:val="00E67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8E69E4-E3C7-4A07-AA08-962B0B27E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077258">
      <w:bodyDiv w:val="1"/>
      <w:marLeft w:val="0"/>
      <w:marRight w:val="0"/>
      <w:marTop w:val="0"/>
      <w:marBottom w:val="0"/>
      <w:divBdr>
        <w:top w:val="none" w:sz="0" w:space="0" w:color="auto"/>
        <w:left w:val="none" w:sz="0" w:space="0" w:color="auto"/>
        <w:bottom w:val="none" w:sz="0" w:space="0" w:color="auto"/>
        <w:right w:val="none" w:sz="0" w:space="0" w:color="auto"/>
      </w:divBdr>
    </w:div>
    <w:div w:id="1036586996">
      <w:bodyDiv w:val="1"/>
      <w:marLeft w:val="0"/>
      <w:marRight w:val="0"/>
      <w:marTop w:val="0"/>
      <w:marBottom w:val="0"/>
      <w:divBdr>
        <w:top w:val="none" w:sz="0" w:space="0" w:color="auto"/>
        <w:left w:val="none" w:sz="0" w:space="0" w:color="auto"/>
        <w:bottom w:val="none" w:sz="0" w:space="0" w:color="auto"/>
        <w:right w:val="none" w:sz="0" w:space="0" w:color="auto"/>
      </w:divBdr>
      <w:divsChild>
        <w:div w:id="294990282">
          <w:marLeft w:val="0"/>
          <w:marRight w:val="0"/>
          <w:marTop w:val="0"/>
          <w:marBottom w:val="0"/>
          <w:divBdr>
            <w:top w:val="none" w:sz="0" w:space="0" w:color="auto"/>
            <w:left w:val="none" w:sz="0" w:space="0" w:color="auto"/>
            <w:bottom w:val="none" w:sz="0" w:space="0" w:color="auto"/>
            <w:right w:val="none" w:sz="0" w:space="0" w:color="auto"/>
          </w:divBdr>
          <w:divsChild>
            <w:div w:id="134651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1022</Words>
  <Characters>5830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2025-12-18T13:52:00Z</dcterms:created>
  <dcterms:modified xsi:type="dcterms:W3CDTF">2026-01-22T12:04:00Z</dcterms:modified>
</cp:coreProperties>
</file>