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Noun Extraction for Ambulance Rostering</w:t>
      </w:r>
    </w:p>
    <w:p>
      <w:r>
        <w:t>The extracted nouns and noun phrases support the 12 domain classes in Main Class Table.docx. The tables trace those classes to Final Use Case.docx and explain how the remaining candidates become attributes, roles, results, interface responsibilities or infrastructure.</w:t>
      </w:r>
    </w:p>
    <w:p>
      <w:r>
        <w:t>Source key: Name = Use case name; D = Description; PA = Primary Actor; SA = Secondary Actors; Pre = Preconditions; T = Trigger; M = Main Success Scenario step; A = Alternative Scenario step; Post = Postconditions; Rel = Relationships. References retain the source step labels. Repeated mentions within the same step or section share one reference.</w:t>
      </w:r>
    </w:p>
    <w:p>
      <w:pPr>
        <w:pStyle w:val="Heading1"/>
      </w:pPr>
      <w:r>
        <w:t>Nouns supporting the main class 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2189"/>
        <w:gridCol w:w="2275"/>
        <w:gridCol w:w="1440"/>
        <w:gridCol w:w="2794"/>
      </w:tblGrid>
      <w:tr>
        <w:trPr>
          <w:tblHeader/>
        </w:trPr>
        <w:tc>
          <w:tcPr>
            <w:tcW w:type="dxa" w:w="1757"/>
            <w:shd w:fill="DCE6EE"/>
            <w:vAlign w:val="center"/>
            <w:tcMar>
              <w:top w:w="70" w:type="dxa"/>
              <w:bottom w:w="70" w:type="dxa"/>
              <w:left w:w="85" w:type="dxa"/>
              <w:right w:w="85" w:type="dxa"/>
            </w:tcMar>
          </w:tcPr>
          <w:p>
            <w:pPr>
              <w:spacing w:before="0" w:after="0" w:line="259" w:lineRule="auto"/>
              <w:jc w:val="left"/>
            </w:pPr>
            <w:r>
              <w:rPr>
                <w:rFonts w:ascii="Arial" w:hAnsi="Arial"/>
                <w:b/>
                <w:color w:val="000000"/>
                <w:sz w:val="19"/>
              </w:rPr>
              <w:t>Source noun/phrase</w:t>
            </w:r>
          </w:p>
        </w:tc>
        <w:tc>
          <w:tcPr>
            <w:tcW w:type="dxa" w:w="2189"/>
            <w:shd w:fill="DCE6EE"/>
            <w:vAlign w:val="center"/>
            <w:tcMar>
              <w:top w:w="70" w:type="dxa"/>
              <w:bottom w:w="70" w:type="dxa"/>
              <w:left w:w="85" w:type="dxa"/>
              <w:right w:w="85" w:type="dxa"/>
            </w:tcMar>
          </w:tcPr>
          <w:p>
            <w:pPr>
              <w:spacing w:before="0" w:after="0" w:line="259" w:lineRule="auto"/>
              <w:jc w:val="left"/>
            </w:pPr>
            <w:r>
              <w:rPr>
                <w:rFonts w:ascii="Arial" w:hAnsi="Arial"/>
                <w:b/>
                <w:color w:val="000000"/>
                <w:sz w:val="19"/>
              </w:rPr>
              <w:t>UC and step/section</w:t>
            </w:r>
          </w:p>
        </w:tc>
        <w:tc>
          <w:tcPr>
            <w:tcW w:type="dxa" w:w="2275"/>
            <w:shd w:fill="DCE6EE"/>
            <w:vAlign w:val="center"/>
            <w:tcMar>
              <w:top w:w="70" w:type="dxa"/>
              <w:bottom w:w="70" w:type="dxa"/>
              <w:left w:w="85" w:type="dxa"/>
              <w:right w:w="85" w:type="dxa"/>
            </w:tcMar>
          </w:tcPr>
          <w:p>
            <w:pPr>
              <w:spacing w:before="0" w:after="0" w:line="259" w:lineRule="auto"/>
              <w:jc w:val="left"/>
            </w:pPr>
            <w:r>
              <w:rPr>
                <w:rFonts w:ascii="Arial" w:hAnsi="Arial"/>
                <w:b/>
                <w:color w:val="000000"/>
                <w:sz w:val="19"/>
              </w:rPr>
              <w:t>Normalized term</w:t>
            </w:r>
          </w:p>
        </w:tc>
        <w:tc>
          <w:tcPr>
            <w:tcW w:type="dxa" w:w="1440"/>
            <w:shd w:fill="DCE6EE"/>
            <w:vAlign w:val="center"/>
            <w:tcMar>
              <w:top w:w="70" w:type="dxa"/>
              <w:bottom w:w="70" w:type="dxa"/>
              <w:left w:w="85" w:type="dxa"/>
              <w:right w:w="85" w:type="dxa"/>
            </w:tcMar>
          </w:tcPr>
          <w:p>
            <w:pPr>
              <w:spacing w:before="0" w:after="0" w:line="259" w:lineRule="auto"/>
              <w:jc w:val="left"/>
            </w:pPr>
            <w:r>
              <w:rPr>
                <w:rFonts w:ascii="Arial" w:hAnsi="Arial"/>
                <w:b/>
                <w:color w:val="000000"/>
                <w:sz w:val="19"/>
              </w:rPr>
              <w:t>Classification/decision</w:t>
            </w:r>
          </w:p>
        </w:tc>
        <w:tc>
          <w:tcPr>
            <w:tcW w:type="dxa" w:w="2794"/>
            <w:shd w:fill="DCE6EE"/>
            <w:vAlign w:val="center"/>
            <w:tcMar>
              <w:top w:w="70" w:type="dxa"/>
              <w:bottom w:w="70" w:type="dxa"/>
              <w:left w:w="85" w:type="dxa"/>
              <w:right w:w="85" w:type="dxa"/>
            </w:tcMar>
          </w:tcPr>
          <w:p>
            <w:pPr>
              <w:spacing w:before="0" w:after="0" w:line="259" w:lineRule="auto"/>
              <w:jc w:val="left"/>
            </w:pPr>
            <w:r>
              <w:rPr>
                <w:rFonts w:ascii="Arial" w:hAnsi="Arial"/>
                <w:b/>
                <w:color w:val="000000"/>
                <w:sz w:val="19"/>
              </w:rPr>
              <w:t>Rationale and destination</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Account; staff and manager accounts; existing account; new account; deactivated account</w:t>
            </w:r>
          </w:p>
        </w:tc>
        <w:tc>
          <w:tcPr>
            <w:tcW w:type="dxa" w:w="2189"/>
            <w:vAlign w:val="center"/>
            <w:tcMar>
              <w:top w:w="70" w:type="dxa"/>
              <w:bottom w:w="70" w:type="dxa"/>
              <w:left w:w="85" w:type="dxa"/>
              <w:right w:w="85" w:type="dxa"/>
            </w:tcMar>
          </w:tcPr>
          <w:p>
            <w:pPr>
              <w:spacing w:before="0" w:after="0" w:line="259" w:lineRule="auto"/>
              <w:jc w:val="left"/>
            </w:pPr>
            <w:r>
              <w:rPr>
                <w:rFonts w:ascii="Arial" w:hAnsi="Arial"/>
                <w:color w:val="000000"/>
                <w:sz w:val="19"/>
              </w:rPr>
              <w:t>UC-01: Name, D, M1, M4, A1a, A1a1, A1a2, A1b, A1b1, A1b3, A3a1, Post</w:t>
            </w:r>
          </w:p>
        </w:tc>
        <w:tc>
          <w:tcPr>
            <w:tcW w:type="dxa" w:w="2275"/>
            <w:vAlign w:val="center"/>
            <w:tcMar>
              <w:top w:w="70" w:type="dxa"/>
              <w:bottom w:w="70" w:type="dxa"/>
              <w:left w:w="85" w:type="dxa"/>
              <w:right w:w="85" w:type="dxa"/>
            </w:tcMar>
          </w:tcPr>
          <w:p>
            <w:pPr>
              <w:spacing w:before="0" w:after="0" w:line="259" w:lineRule="auto"/>
              <w:jc w:val="left"/>
            </w:pPr>
            <w:r>
              <w:rPr>
                <w:rFonts w:ascii="Arial" w:hAnsi="Arial"/>
                <w:b/>
                <w:color w:val="000000"/>
                <w:sz w:val="19"/>
              </w:rPr>
              <w:t>UserAccount</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Entity retained</w:t>
            </w:r>
          </w:p>
        </w:tc>
        <w:tc>
          <w:tcPr>
            <w:tcW w:type="dxa" w:w="2794"/>
            <w:vAlign w:val="center"/>
            <w:tcMar>
              <w:top w:w="70" w:type="dxa"/>
              <w:bottom w:w="70" w:type="dxa"/>
              <w:left w:w="85" w:type="dxa"/>
              <w:right w:w="85" w:type="dxa"/>
            </w:tcMar>
          </w:tcPr>
          <w:p>
            <w:pPr>
              <w:spacing w:before="0" w:after="0" w:line="259" w:lineRule="auto"/>
              <w:jc w:val="left"/>
            </w:pPr>
            <w:r>
              <w:rPr>
                <w:rFonts w:ascii="Arial" w:hAnsi="Arial"/>
                <w:color w:val="000000"/>
                <w:sz w:val="19"/>
              </w:rPr>
              <w:t>UserAccount stores account details, staff ID uniqueness and active or deactivated status. Account changes and retained past records establish its lifecycle.</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staff; staff member; replacement staff member; standby staff member; staff members</w:t>
            </w:r>
          </w:p>
        </w:tc>
        <w:tc>
          <w:tcPr>
            <w:tcW w:type="dxa" w:w="2189"/>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UC-01: D</w:t>
              <w:br/>
              <w:t>UC-02: D, PA, Pre, T, M1-4, Post</w:t>
              <w:br/>
              <w:t>UC-03: D, PA, Pre, T, M1-3, A2a, A2a1</w:t>
              <w:br/>
              <w:t>UC-04: D, M2, M8, A5a, A5a1, A8a, Post</w:t>
              <w:br/>
              <w:t>UC-05: D, M4, Post</w:t>
              <w:br/>
              <w:t>UC-06: SA, M4, M8, A2a, A2a2, Post</w:t>
              <w:br/>
              <w:t>UC-07: D, PA, Pre, T, M1-4, A3a</w:t>
              <w:br/>
              <w:t>UC-08: D, SA, M2, M7, A1a, A1a2, A2a, Post</w:t>
            </w:r>
          </w:p>
        </w:tc>
        <w:tc>
          <w:tcPr>
            <w:tcW w:type="dxa" w:w="227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Staff</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Entity retained</w:t>
            </w:r>
          </w:p>
        </w:tc>
        <w:tc>
          <w:tcPr>
            <w:tcW w:type="dxa" w:w="2794"/>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Staff holds qualifications and the assignment relationships needed for conflict, rest and workload checks. A candidate or standby replacement is a role played by Staff.</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Same source phrases</w:t>
            </w:r>
          </w:p>
        </w:tc>
        <w:tc>
          <w:tcPr>
            <w:tcW w:type="dxa" w:w="2189"/>
            <w:vAlign w:val="center"/>
            <w:tcMar>
              <w:top w:w="70" w:type="dxa"/>
              <w:bottom w:w="70" w:type="dxa"/>
              <w:left w:w="85" w:type="dxa"/>
              <w:right w:w="85" w:type="dxa"/>
            </w:tcMar>
          </w:tcPr>
          <w:p>
            <w:pPr>
              <w:spacing w:before="0" w:after="0" w:line="259" w:lineRule="auto"/>
              <w:jc w:val="left"/>
            </w:pPr>
            <w:r>
              <w:rPr>
                <w:rFonts w:ascii="Arial" w:hAnsi="Arial"/>
                <w:color w:val="000000"/>
                <w:sz w:val="19"/>
              </w:rPr>
              <w:t>UC-09: D, PA, Pre, T, M1-3, A2a, A3a, A3a1, Post</w:t>
              <w:br/>
              <w:t>UC-10: M2-5, A3a, A3a1, Post</w:t>
              <w:br/>
              <w:t>UC-12: A2b</w:t>
              <w:br/>
              <w:t>UC-13: D, Pre, T, M1-2, M4-5, A1a, A2a, A4a, A5a</w:t>
              <w:br/>
              <w:t>UC-14: D, PA, Pre, T, M1, M3, M5, A3a, A4a, A4a1, Post</w:t>
            </w:r>
          </w:p>
        </w:tc>
        <w:tc>
          <w:tcPr>
            <w:tcW w:type="dxa" w:w="2275"/>
            <w:vAlign w:val="center"/>
            <w:tcMar>
              <w:top w:w="70" w:type="dxa"/>
              <w:bottom w:w="70" w:type="dxa"/>
              <w:left w:w="85" w:type="dxa"/>
              <w:right w:w="85" w:type="dxa"/>
            </w:tcMar>
          </w:tcPr>
          <w:p>
            <w:pPr>
              <w:spacing w:before="0" w:after="0" w:line="259" w:lineRule="auto"/>
              <w:jc w:val="left"/>
            </w:pPr>
            <w:r>
              <w:rPr>
                <w:rFonts w:ascii="Arial" w:hAnsi="Arial"/>
                <w:b/>
                <w:color w:val="000000"/>
                <w:sz w:val="19"/>
              </w:rPr>
              <w:t>Staff</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Evidence continued</w:t>
            </w:r>
          </w:p>
        </w:tc>
        <w:tc>
          <w:tcPr>
            <w:tcW w:type="dxa" w:w="2794"/>
            <w:vAlign w:val="center"/>
            <w:tcMar>
              <w:top w:w="70" w:type="dxa"/>
              <w:bottom w:w="70" w:type="dxa"/>
              <w:left w:w="85" w:type="dxa"/>
              <w:right w:w="85" w:type="dxa"/>
            </w:tcMar>
          </w:tcPr>
          <w:p>
            <w:pPr>
              <w:spacing w:before="0" w:after="0" w:line="259" w:lineRule="auto"/>
              <w:jc w:val="left"/>
            </w:pPr>
            <w:r>
              <w:rPr>
                <w:rFonts w:ascii="Arial" w:hAnsi="Arial"/>
                <w:color w:val="000000"/>
                <w:sz w:val="19"/>
              </w:rPr>
              <w:t>Additional occurrences of the same normalized candidate. The selection decision and destination are unchanged.</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Availability; own availability; saved availability; submitted availability; Staff availability</w:t>
            </w:r>
          </w:p>
        </w:tc>
        <w:tc>
          <w:tcPr>
            <w:tcW w:type="dxa" w:w="2189"/>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UC-02: Name, D, T, M1-2, M4-8, A5a, A5a2, Post</w:t>
              <w:br/>
              <w:t>UC-04: M6, Post</w:t>
              <w:br/>
              <w:t>UC-06: M3</w:t>
              <w:br/>
              <w:t>UC-08: M2-3</w:t>
            </w:r>
          </w:p>
        </w:tc>
        <w:tc>
          <w:tcPr>
            <w:tcW w:type="dxa" w:w="227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StaffAvailability</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Entity retained</w:t>
            </w:r>
          </w:p>
        </w:tc>
        <w:tc>
          <w:tcPr>
            <w:tcW w:type="dxa" w:w="2794"/>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StaffAvailability records one staff member’s availability for individual shifts. Keep it separate from ambulance availability; lateFlag identifies affected roster weeks.</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Job Preference; preferences; no preference; job preferences</w:t>
            </w:r>
          </w:p>
        </w:tc>
        <w:tc>
          <w:tcPr>
            <w:tcW w:type="dxa" w:w="2189"/>
            <w:vAlign w:val="center"/>
            <w:tcMar>
              <w:top w:w="70" w:type="dxa"/>
              <w:bottom w:w="70" w:type="dxa"/>
              <w:left w:w="85" w:type="dxa"/>
              <w:right w:w="85" w:type="dxa"/>
            </w:tcMar>
          </w:tcPr>
          <w:p>
            <w:pPr>
              <w:spacing w:before="0" w:after="0" w:line="259" w:lineRule="auto"/>
              <w:jc w:val="left"/>
            </w:pPr>
            <w:r>
              <w:rPr>
                <w:rFonts w:ascii="Arial" w:hAnsi="Arial"/>
                <w:color w:val="000000"/>
                <w:sz w:val="19"/>
              </w:rPr>
              <w:t>UC-03: Name, T, M1, M3-4, A2a, A2a1, Post</w:t>
              <w:br/>
              <w:t>UC-04: M6</w:t>
              <w:br/>
              <w:t>UC-06: M3</w:t>
              <w:br/>
              <w:t>UC-08: M3</w:t>
            </w:r>
          </w:p>
        </w:tc>
        <w:tc>
          <w:tcPr>
            <w:tcW w:type="dxa" w:w="2275"/>
            <w:vAlign w:val="center"/>
            <w:tcMar>
              <w:top w:w="70" w:type="dxa"/>
              <w:bottom w:w="70" w:type="dxa"/>
              <w:left w:w="85" w:type="dxa"/>
              <w:right w:w="85" w:type="dxa"/>
            </w:tcMar>
          </w:tcPr>
          <w:p>
            <w:pPr>
              <w:spacing w:before="0" w:after="0" w:line="259" w:lineRule="auto"/>
              <w:jc w:val="left"/>
            </w:pPr>
            <w:r>
              <w:rPr>
                <w:rFonts w:ascii="Arial" w:hAnsi="Arial"/>
                <w:b/>
                <w:color w:val="000000"/>
                <w:sz w:val="19"/>
              </w:rPr>
              <w:t>JobPreference</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Entity retained</w:t>
            </w:r>
          </w:p>
        </w:tc>
        <w:tc>
          <w:tcPr>
            <w:tcW w:type="dxa" w:w="2794"/>
            <w:vAlign w:val="center"/>
            <w:tcMar>
              <w:top w:w="70" w:type="dxa"/>
              <w:bottom w:w="70" w:type="dxa"/>
              <w:left w:w="85" w:type="dxa"/>
              <w:right w:w="85" w:type="dxa"/>
            </w:tcMar>
          </w:tcPr>
          <w:p>
            <w:pPr>
              <w:spacing w:before="0" w:after="0" w:line="259" w:lineRule="auto"/>
              <w:jc w:val="left"/>
            </w:pPr>
            <w:r>
              <w:rPr>
                <w:rFonts w:ascii="Arial" w:hAnsi="Arial"/>
                <w:color w:val="000000"/>
                <w:sz w:val="19"/>
              </w:rPr>
              <w:t>JobPreference records optional shift type and station preferences for a staff member and roster week. Blank input means no preference rather than a new class.</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published roster; roster; Weekly Roster; draft roster; current roster; full team roster</w:t>
            </w:r>
          </w:p>
        </w:tc>
        <w:tc>
          <w:tcPr>
            <w:tcW w:type="dxa" w:w="2189"/>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UC-01: A1b5</w:t>
              <w:br/>
              <w:t>UC-02: D, Post</w:t>
              <w:br/>
              <w:t>UC-04: Name, D, M2, M10, A1a, A1a1, A1a2, A5a, Post</w:t>
              <w:br/>
              <w:t>UC-05: Name, D, Pre, M2-3, A2a2, Post</w:t>
              <w:br/>
              <w:t>UC-06: Name, D, Pre, T, M1, A2a3, A7a1, A7a2, Post</w:t>
              <w:br/>
              <w:t>UC-07: Pre, M1, A5a1</w:t>
              <w:br/>
              <w:t>UC-08: D, Rel, Pre, T, A2a2</w:t>
              <w:br/>
              <w:t>UC-09: Name, A3a1</w:t>
              <w:br/>
              <w:t>UC-11: M2</w:t>
              <w:br/>
              <w:t>UC-12: A2b4</w:t>
              <w:br/>
              <w:t>UC-13: Rel</w:t>
            </w:r>
          </w:p>
        </w:tc>
        <w:tc>
          <w:tcPr>
            <w:tcW w:type="dxa" w:w="227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WeeklyRoster</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Entity retained</w:t>
            </w:r>
          </w:p>
        </w:tc>
        <w:tc>
          <w:tcPr>
            <w:tcW w:type="dxa" w:w="2794"/>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WeeklyRoster represents the roster for a week. Draft and published are values of status, rather than separate classes; publication and amendment belong to this concept.</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Same source phrases</w:t>
            </w:r>
          </w:p>
        </w:tc>
        <w:tc>
          <w:tcPr>
            <w:tcW w:type="dxa" w:w="2189"/>
            <w:vAlign w:val="center"/>
            <w:tcMar>
              <w:top w:w="70" w:type="dxa"/>
              <w:bottom w:w="70" w:type="dxa"/>
              <w:left w:w="85" w:type="dxa"/>
              <w:right w:w="85" w:type="dxa"/>
            </w:tcMar>
          </w:tcPr>
          <w:p>
            <w:pPr>
              <w:spacing w:before="0" w:after="0" w:line="259" w:lineRule="auto"/>
              <w:jc w:val="left"/>
            </w:pPr>
            <w:r>
              <w:rPr>
                <w:rFonts w:ascii="Arial" w:hAnsi="Arial"/>
                <w:color w:val="000000"/>
                <w:sz w:val="19"/>
              </w:rPr>
              <w:t>UC-14: M5</w:t>
            </w:r>
          </w:p>
        </w:tc>
        <w:tc>
          <w:tcPr>
            <w:tcW w:type="dxa" w:w="2275"/>
            <w:vAlign w:val="center"/>
            <w:tcMar>
              <w:top w:w="70" w:type="dxa"/>
              <w:bottom w:w="70" w:type="dxa"/>
              <w:left w:w="85" w:type="dxa"/>
              <w:right w:w="85" w:type="dxa"/>
            </w:tcMar>
          </w:tcPr>
          <w:p>
            <w:pPr>
              <w:spacing w:before="0" w:after="0" w:line="259" w:lineRule="auto"/>
              <w:jc w:val="left"/>
            </w:pPr>
            <w:r>
              <w:rPr>
                <w:rFonts w:ascii="Arial" w:hAnsi="Arial"/>
                <w:b/>
                <w:color w:val="000000"/>
                <w:sz w:val="19"/>
              </w:rPr>
              <w:t>WeeklyRoster</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Evidence continued</w:t>
            </w:r>
          </w:p>
        </w:tc>
        <w:tc>
          <w:tcPr>
            <w:tcW w:type="dxa" w:w="2794"/>
            <w:vAlign w:val="center"/>
            <w:tcMar>
              <w:top w:w="70" w:type="dxa"/>
              <w:bottom w:w="70" w:type="dxa"/>
              <w:left w:w="85" w:type="dxa"/>
              <w:right w:w="85" w:type="dxa"/>
            </w:tcMar>
          </w:tcPr>
          <w:p>
            <w:pPr>
              <w:spacing w:before="0" w:after="0" w:line="259" w:lineRule="auto"/>
              <w:jc w:val="left"/>
            </w:pPr>
            <w:r>
              <w:rPr>
                <w:rFonts w:ascii="Arial" w:hAnsi="Arial"/>
                <w:color w:val="000000"/>
                <w:sz w:val="19"/>
              </w:rPr>
              <w:t>Additional occurrences of the same normalized candidate. The selection decision and destination are unchanged.</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12-hour shifts; 12-hour day and night shifts; shifts; 12-hour shift; shift; assigned shift; duties; assigned shifts; roster shift; roster shifts</w:t>
            </w:r>
          </w:p>
        </w:tc>
        <w:tc>
          <w:tcPr>
            <w:tcW w:type="dxa" w:w="2189"/>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UC-02: D, M2-3</w:t>
              <w:br/>
              <w:t>UC-04: D, M3-4, A4a, A4a2, Post</w:t>
              <w:br/>
              <w:t>UC-05: M2, A2a, A2a1</w:t>
              <w:br/>
              <w:t>UC-06: A2a3</w:t>
              <w:br/>
              <w:t>UC-07: T, A5a</w:t>
              <w:br/>
              <w:t>UC-08: M2</w:t>
              <w:br/>
              <w:t>UC-09: A3a1</w:t>
              <w:br/>
              <w:t>UC-11: M2-3</w:t>
              <w:br/>
              <w:t>UC-12: T, A2a, A2a2, A2b, A2b2, Post</w:t>
              <w:br/>
              <w:t>UC-13: M2-4, A2a, A3a, A4a</w:t>
            </w:r>
          </w:p>
        </w:tc>
        <w:tc>
          <w:tcPr>
            <w:tcW w:type="dxa" w:w="227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Shift</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Entity retained</w:t>
            </w:r>
          </w:p>
        </w:tc>
        <w:tc>
          <w:tcPr>
            <w:tcW w:type="dxa" w:w="2794"/>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Shift represents a dated 12-hour day or night period. Its date and start and end times support conflict, rest, workload and utilisation calculations.</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slots; slot; roster slots; roster slot; affected roster slot</w:t>
            </w:r>
          </w:p>
        </w:tc>
        <w:tc>
          <w:tcPr>
            <w:tcW w:type="dxa" w:w="2189"/>
            <w:vAlign w:val="center"/>
            <w:tcMar>
              <w:top w:w="70" w:type="dxa"/>
              <w:bottom w:w="70" w:type="dxa"/>
              <w:left w:w="85" w:type="dxa"/>
              <w:right w:w="85" w:type="dxa"/>
            </w:tcMar>
          </w:tcPr>
          <w:p>
            <w:pPr>
              <w:spacing w:before="0" w:after="0" w:line="259" w:lineRule="auto"/>
              <w:jc w:val="left"/>
            </w:pPr>
            <w:r>
              <w:rPr>
                <w:rFonts w:ascii="Arial" w:hAnsi="Arial"/>
                <w:color w:val="000000"/>
                <w:sz w:val="19"/>
              </w:rPr>
              <w:t>UC-04: D, M2-4, M9, A4a2, Post</w:t>
              <w:br/>
              <w:t>UC-06: A7a, A7a1, A7a2</w:t>
              <w:br/>
              <w:t>UC-07: M5</w:t>
              <w:br/>
              <w:t>UC-11: D, M4, A4a, A4a1, Post</w:t>
              <w:br/>
              <w:t>UC-13: D, Pre, M2-3, A2a, A3a</w:t>
            </w:r>
          </w:p>
        </w:tc>
        <w:tc>
          <w:tcPr>
            <w:tcW w:type="dxa" w:w="2275"/>
            <w:vAlign w:val="center"/>
            <w:tcMar>
              <w:top w:w="70" w:type="dxa"/>
              <w:bottom w:w="70" w:type="dxa"/>
              <w:left w:w="85" w:type="dxa"/>
              <w:right w:w="85" w:type="dxa"/>
            </w:tcMar>
          </w:tcPr>
          <w:p>
            <w:pPr>
              <w:spacing w:before="0" w:after="0" w:line="259" w:lineRule="auto"/>
              <w:jc w:val="left"/>
            </w:pPr>
            <w:r>
              <w:rPr>
                <w:rFonts w:ascii="Arial" w:hAnsi="Arial"/>
                <w:b/>
                <w:color w:val="000000"/>
                <w:sz w:val="19"/>
              </w:rPr>
              <w:t>RosterSlot</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Entity retained</w:t>
            </w:r>
          </w:p>
        </w:tc>
        <w:tc>
          <w:tcPr>
            <w:tcW w:type="dxa" w:w="2794"/>
            <w:vAlign w:val="center"/>
            <w:tcMar>
              <w:top w:w="70" w:type="dxa"/>
              <w:bottom w:w="70" w:type="dxa"/>
              <w:left w:w="85" w:type="dxa"/>
              <w:right w:w="85" w:type="dxa"/>
            </w:tcMar>
          </w:tcPr>
          <w:p>
            <w:pPr>
              <w:spacing w:before="0" w:after="0" w:line="259" w:lineRule="auto"/>
              <w:jc w:val="left"/>
            </w:pPr>
            <w:r>
              <w:rPr>
                <w:rFonts w:ascii="Arial" w:hAnsi="Arial"/>
                <w:color w:val="000000"/>
                <w:sz w:val="19"/>
              </w:rPr>
              <w:t>RosterSlot represents one ambulance in one shift. Assignment relationships determine missing roles, staff required and whether the slot is fully staffed.</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assignments; published assignment; staff assignment; assignment; staff assignments; job; pending assignment; proposed assignment; jobs</w:t>
            </w:r>
          </w:p>
        </w:tc>
        <w:tc>
          <w:tcPr>
            <w:tcW w:type="dxa" w:w="2189"/>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UC-01: A1b5, Post</w:t>
              <w:br/>
              <w:t>UC-02: M6, Post</w:t>
              <w:br/>
              <w:t>UC-04: M8-9, A5a, A8a, A8a1, Post</w:t>
              <w:br/>
              <w:t>UC-05: D, M4</w:t>
              <w:br/>
              <w:t>UC-06: D, T, M1, M5, A5a, A5b1</w:t>
              <w:br/>
              <w:t>UC-07: Name, D, Pre, M1-2, A3a1</w:t>
              <w:br/>
              <w:t>UC-08: M5-6, A1a2, A5a, A5a1, Post</w:t>
              <w:br/>
              <w:t>UC-09: D, T, M2, A2a, A2a1, Post</w:t>
              <w:br/>
              <w:t>UC-10: D, M2</w:t>
            </w:r>
          </w:p>
        </w:tc>
        <w:tc>
          <w:tcPr>
            <w:tcW w:type="dxa" w:w="227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Assignment</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Entity retained</w:t>
            </w:r>
          </w:p>
        </w:tc>
        <w:tc>
          <w:tcPr>
            <w:tcW w:type="dxa" w:w="2794"/>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Assignment links Staff to RosterSlot and fulfilled roles. The pending, confirmed, removed and rejected outcomes justify assignment state and behaviour.</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Same source phrases</w:t>
            </w:r>
          </w:p>
        </w:tc>
        <w:tc>
          <w:tcPr>
            <w:tcW w:type="dxa" w:w="2189"/>
            <w:vAlign w:val="center"/>
            <w:tcMar>
              <w:top w:w="70" w:type="dxa"/>
              <w:bottom w:w="70" w:type="dxa"/>
              <w:left w:w="85" w:type="dxa"/>
              <w:right w:w="85" w:type="dxa"/>
            </w:tcMar>
          </w:tcPr>
          <w:p>
            <w:pPr>
              <w:spacing w:before="0" w:after="0" w:line="259" w:lineRule="auto"/>
              <w:jc w:val="left"/>
            </w:pPr>
            <w:r>
              <w:rPr>
                <w:rFonts w:ascii="Arial" w:hAnsi="Arial"/>
                <w:color w:val="000000"/>
                <w:sz w:val="19"/>
              </w:rPr>
              <w:t>UC-12: A2b3</w:t>
              <w:br/>
              <w:t>UC-13: D, M4-6, A1a1, A2a1, A3a1, A4a, A4a1, A5a, A5a2, Post</w:t>
              <w:br/>
              <w:t>UC-14: Name, M2-5, A3a1, A4a</w:t>
            </w:r>
          </w:p>
        </w:tc>
        <w:tc>
          <w:tcPr>
            <w:tcW w:type="dxa" w:w="2275"/>
            <w:vAlign w:val="center"/>
            <w:tcMar>
              <w:top w:w="70" w:type="dxa"/>
              <w:bottom w:w="70" w:type="dxa"/>
              <w:left w:w="85" w:type="dxa"/>
              <w:right w:w="85" w:type="dxa"/>
            </w:tcMar>
          </w:tcPr>
          <w:p>
            <w:pPr>
              <w:spacing w:before="0" w:after="0" w:line="259" w:lineRule="auto"/>
              <w:jc w:val="left"/>
            </w:pPr>
            <w:r>
              <w:rPr>
                <w:rFonts w:ascii="Arial" w:hAnsi="Arial"/>
                <w:b/>
                <w:color w:val="000000"/>
                <w:sz w:val="19"/>
              </w:rPr>
              <w:t>Assignment</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Evidence continued</w:t>
            </w:r>
          </w:p>
        </w:tc>
        <w:tc>
          <w:tcPr>
            <w:tcW w:type="dxa" w:w="2794"/>
            <w:vAlign w:val="center"/>
            <w:tcMar>
              <w:top w:w="70" w:type="dxa"/>
              <w:bottom w:w="70" w:type="dxa"/>
              <w:left w:w="85" w:type="dxa"/>
              <w:right w:w="85" w:type="dxa"/>
            </w:tcMar>
          </w:tcPr>
          <w:p>
            <w:pPr>
              <w:spacing w:before="0" w:after="0" w:line="259" w:lineRule="auto"/>
              <w:jc w:val="left"/>
            </w:pPr>
            <w:r>
              <w:rPr>
                <w:rFonts w:ascii="Arial" w:hAnsi="Arial"/>
                <w:color w:val="000000"/>
                <w:sz w:val="19"/>
              </w:rPr>
              <w:t>Additional occurrences of the same normalized candidate. The selection decision and destination are unchanged.</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ambulance; ambulances; available ambulances; ambulance records; rostered ambulances; Ambulance Record; active ambulances</w:t>
            </w:r>
          </w:p>
        </w:tc>
        <w:tc>
          <w:tcPr>
            <w:tcW w:type="dxa" w:w="2189"/>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UC-04: D, M2, M4-5, A4a, A4a1, A9a, Post</w:t>
              <w:br/>
              <w:t>UC-05: M2, A2a</w:t>
              <w:br/>
              <w:t>UC-06: A2a3, A7a</w:t>
              <w:br/>
              <w:t>UC-07: A5a</w:t>
              <w:br/>
              <w:t>UC-08: A2a2</w:t>
              <w:br/>
              <w:t>UC-09: M2</w:t>
              <w:br/>
              <w:t>UC-11: D, M2-3, Post</w:t>
              <w:br/>
              <w:t>UC-12: Name, D, T, M2, M4, A2a, A2a2, A2b, A2b2, Post</w:t>
              <w:br/>
              <w:t>UC-13: M3, A3a</w:t>
              <w:br/>
              <w:t>UC-14: M2</w:t>
            </w:r>
          </w:p>
        </w:tc>
        <w:tc>
          <w:tcPr>
            <w:tcW w:type="dxa" w:w="227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Ambulance</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Entity retained</w:t>
            </w:r>
          </w:p>
        </w:tc>
        <w:tc>
          <w:tcPr>
            <w:tcW w:type="dxa" w:w="2794"/>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Ambulance represents a fleet vehicle and its active status. Records can be added, edited, deactivated or reactivated; availability is tracked separately by shift.</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ambulance availability; unavailability</w:t>
            </w:r>
          </w:p>
        </w:tc>
        <w:tc>
          <w:tcPr>
            <w:tcW w:type="dxa" w:w="2189"/>
            <w:vAlign w:val="center"/>
            <w:tcMar>
              <w:top w:w="70" w:type="dxa"/>
              <w:bottom w:w="70" w:type="dxa"/>
              <w:left w:w="85" w:type="dxa"/>
              <w:right w:w="85" w:type="dxa"/>
            </w:tcMar>
          </w:tcPr>
          <w:p>
            <w:pPr>
              <w:spacing w:before="0" w:after="0" w:line="259" w:lineRule="auto"/>
              <w:jc w:val="left"/>
            </w:pPr>
            <w:r>
              <w:rPr>
                <w:rFonts w:ascii="Arial" w:hAnsi="Arial"/>
                <w:color w:val="000000"/>
                <w:sz w:val="19"/>
              </w:rPr>
              <w:t>UC-12: D, A2a1</w:t>
            </w:r>
          </w:p>
        </w:tc>
        <w:tc>
          <w:tcPr>
            <w:tcW w:type="dxa" w:w="2275"/>
            <w:vAlign w:val="center"/>
            <w:tcMar>
              <w:top w:w="70" w:type="dxa"/>
              <w:bottom w:w="70" w:type="dxa"/>
              <w:left w:w="85" w:type="dxa"/>
              <w:right w:w="85" w:type="dxa"/>
            </w:tcMar>
          </w:tcPr>
          <w:p>
            <w:pPr>
              <w:spacing w:before="0" w:after="0" w:line="259" w:lineRule="auto"/>
              <w:jc w:val="left"/>
            </w:pPr>
            <w:r>
              <w:rPr>
                <w:rFonts w:ascii="Arial" w:hAnsi="Arial"/>
                <w:b/>
                <w:color w:val="000000"/>
                <w:sz w:val="19"/>
              </w:rPr>
              <w:t>AmbulanceAvailability</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Entity retained</w:t>
            </w:r>
          </w:p>
        </w:tc>
        <w:tc>
          <w:tcPr>
            <w:tcW w:type="dxa" w:w="2794"/>
            <w:vAlign w:val="center"/>
            <w:tcMar>
              <w:top w:w="70" w:type="dxa"/>
              <w:bottom w:w="70" w:type="dxa"/>
              <w:left w:w="85" w:type="dxa"/>
              <w:right w:w="85" w:type="dxa"/>
            </w:tcMar>
          </w:tcPr>
          <w:p>
            <w:pPr>
              <w:spacing w:before="0" w:after="0" w:line="259" w:lineRule="auto"/>
              <w:jc w:val="left"/>
            </w:pPr>
            <w:r>
              <w:rPr>
                <w:rFonts w:ascii="Arial" w:hAnsi="Arial"/>
                <w:color w:val="000000"/>
                <w:sz w:val="19"/>
              </w:rPr>
              <w:t>AmbulanceAvailability records availability of an Ambulance for individual shifts. It supports excluding unavailable vehicles and identifying affected assignments.</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station(s); station</w:t>
            </w:r>
          </w:p>
        </w:tc>
        <w:tc>
          <w:tcPr>
            <w:tcW w:type="dxa" w:w="2189"/>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UC-03: D, M2</w:t>
              <w:br/>
              <w:t>UC-09: M2</w:t>
              <w:br/>
              <w:t>UC-14: M2</w:t>
            </w:r>
          </w:p>
        </w:tc>
        <w:tc>
          <w:tcPr>
            <w:tcW w:type="dxa" w:w="227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Station</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Entity retained</w:t>
            </w:r>
          </w:p>
        </w:tc>
        <w:tc>
          <w:tcPr>
            <w:tcW w:type="dxa" w:w="2794"/>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Station identifies a place referenced by preferences and assignment details. Use associations to Station rather than copying a station’s full state. The main table names its identifying attribute stationName.</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audit log; availability change; audit record; event; rejection</w:t>
            </w:r>
          </w:p>
        </w:tc>
        <w:tc>
          <w:tcPr>
            <w:tcW w:type="dxa" w:w="2189"/>
            <w:vAlign w:val="center"/>
            <w:tcMar>
              <w:top w:w="70" w:type="dxa"/>
              <w:bottom w:w="70" w:type="dxa"/>
              <w:left w:w="85" w:type="dxa"/>
              <w:right w:w="85" w:type="dxa"/>
            </w:tcMar>
          </w:tcPr>
          <w:p>
            <w:pPr>
              <w:spacing w:before="0" w:after="0" w:line="259" w:lineRule="auto"/>
              <w:jc w:val="left"/>
            </w:pPr>
            <w:r>
              <w:rPr>
                <w:rFonts w:ascii="Arial" w:hAnsi="Arial"/>
                <w:color w:val="000000"/>
                <w:sz w:val="19"/>
              </w:rPr>
              <w:t>UC-01: M4, A1a3, A1b3</w:t>
              <w:br/>
              <w:t>UC-02: M7, A5a2, Post</w:t>
              <w:br/>
              <w:t>UC-04: M9, Post</w:t>
              <w:br/>
              <w:t>UC-05: M3</w:t>
              <w:br/>
              <w:t>UC-06: M7, A2a2, Post</w:t>
              <w:br/>
              <w:t>UC-07: M5</w:t>
              <w:br/>
              <w:t>UC-08: M6, A1a2</w:t>
              <w:br/>
              <w:t>UC-12: M3, A2a1, A2b1</w:t>
              <w:br/>
              <w:t>UC-14: M4, A3a1</w:t>
            </w:r>
          </w:p>
        </w:tc>
        <w:tc>
          <w:tcPr>
            <w:tcW w:type="dxa" w:w="2275"/>
            <w:vAlign w:val="center"/>
            <w:tcMar>
              <w:top w:w="70" w:type="dxa"/>
              <w:bottom w:w="70" w:type="dxa"/>
              <w:left w:w="85" w:type="dxa"/>
              <w:right w:w="85" w:type="dxa"/>
            </w:tcMar>
          </w:tcPr>
          <w:p>
            <w:pPr>
              <w:spacing w:before="0" w:after="0" w:line="259" w:lineRule="auto"/>
              <w:jc w:val="left"/>
            </w:pPr>
            <w:r>
              <w:rPr>
                <w:rFonts w:ascii="Arial" w:hAnsi="Arial"/>
                <w:b/>
                <w:color w:val="000000"/>
                <w:sz w:val="19"/>
              </w:rPr>
              <w:t>AuditEntry</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Entity retained</w:t>
            </w:r>
          </w:p>
        </w:tc>
        <w:tc>
          <w:tcPr>
            <w:tcW w:type="dxa" w:w="2794"/>
            <w:vAlign w:val="center"/>
            <w:tcMar>
              <w:top w:w="70" w:type="dxa"/>
              <w:bottom w:w="70" w:type="dxa"/>
              <w:left w:w="85" w:type="dxa"/>
              <w:right w:w="85" w:type="dxa"/>
            </w:tcMar>
          </w:tcPr>
          <w:p>
            <w:pPr>
              <w:spacing w:before="0" w:after="0" w:line="259" w:lineRule="auto"/>
              <w:jc w:val="left"/>
            </w:pPr>
            <w:r>
              <w:rPr>
                <w:rFonts w:ascii="Arial" w:hAnsi="Arial"/>
                <w:color w:val="000000"/>
                <w:sz w:val="19"/>
              </w:rPr>
              <w:t>AuditEntry represents an individual recorded change or event. The audit log is a collection of these entries; acting user, timestamp, values and reason describe an entry where applicable.</w:t>
            </w:r>
          </w:p>
        </w:tc>
      </w:tr>
    </w:tbl>
    <w:p>
      <w:pPr>
        <w:pStyle w:val="Heading1"/>
      </w:pPr>
      <w:r>
        <w:t>Other noun candidates and selection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2477"/>
        <w:gridCol w:w="1555"/>
        <w:gridCol w:w="1440"/>
        <w:gridCol w:w="3226"/>
      </w:tblGrid>
      <w:tr>
        <w:trPr>
          <w:tblHeader/>
        </w:trPr>
        <w:tc>
          <w:tcPr>
            <w:tcW w:type="dxa" w:w="1757"/>
            <w:shd w:fill="DCE6EE"/>
            <w:vAlign w:val="center"/>
            <w:tcMar>
              <w:top w:w="70" w:type="dxa"/>
              <w:bottom w:w="70" w:type="dxa"/>
              <w:left w:w="85" w:type="dxa"/>
              <w:right w:w="85" w:type="dxa"/>
            </w:tcMar>
          </w:tcPr>
          <w:p>
            <w:pPr>
              <w:spacing w:before="0" w:after="0" w:line="259" w:lineRule="auto"/>
              <w:jc w:val="left"/>
            </w:pPr>
            <w:r>
              <w:rPr>
                <w:rFonts w:ascii="Arial" w:hAnsi="Arial"/>
                <w:b/>
                <w:color w:val="000000"/>
                <w:sz w:val="19"/>
              </w:rPr>
              <w:t>Source noun/phrase</w:t>
            </w:r>
          </w:p>
        </w:tc>
        <w:tc>
          <w:tcPr>
            <w:tcW w:type="dxa" w:w="2477"/>
            <w:shd w:fill="DCE6EE"/>
            <w:vAlign w:val="center"/>
            <w:tcMar>
              <w:top w:w="70" w:type="dxa"/>
              <w:bottom w:w="70" w:type="dxa"/>
              <w:left w:w="85" w:type="dxa"/>
              <w:right w:w="85" w:type="dxa"/>
            </w:tcMar>
          </w:tcPr>
          <w:p>
            <w:pPr>
              <w:spacing w:before="0" w:after="0" w:line="259" w:lineRule="auto"/>
              <w:jc w:val="left"/>
            </w:pPr>
            <w:r>
              <w:rPr>
                <w:rFonts w:ascii="Arial" w:hAnsi="Arial"/>
                <w:b/>
                <w:color w:val="000000"/>
                <w:sz w:val="19"/>
              </w:rPr>
              <w:t>UC and step/section</w:t>
            </w:r>
          </w:p>
        </w:tc>
        <w:tc>
          <w:tcPr>
            <w:tcW w:type="dxa" w:w="1555"/>
            <w:shd w:fill="DCE6EE"/>
            <w:vAlign w:val="center"/>
            <w:tcMar>
              <w:top w:w="70" w:type="dxa"/>
              <w:bottom w:w="70" w:type="dxa"/>
              <w:left w:w="85" w:type="dxa"/>
              <w:right w:w="85" w:type="dxa"/>
            </w:tcMar>
          </w:tcPr>
          <w:p>
            <w:pPr>
              <w:spacing w:before="0" w:after="0" w:line="259" w:lineRule="auto"/>
              <w:jc w:val="left"/>
            </w:pPr>
            <w:r>
              <w:rPr>
                <w:rFonts w:ascii="Arial" w:hAnsi="Arial"/>
                <w:b/>
                <w:color w:val="000000"/>
                <w:sz w:val="19"/>
              </w:rPr>
              <w:t>Normalized term</w:t>
            </w:r>
          </w:p>
        </w:tc>
        <w:tc>
          <w:tcPr>
            <w:tcW w:type="dxa" w:w="1440"/>
            <w:shd w:fill="DCE6EE"/>
            <w:vAlign w:val="center"/>
            <w:tcMar>
              <w:top w:w="70" w:type="dxa"/>
              <w:bottom w:w="70" w:type="dxa"/>
              <w:left w:w="85" w:type="dxa"/>
              <w:right w:w="85" w:type="dxa"/>
            </w:tcMar>
          </w:tcPr>
          <w:p>
            <w:pPr>
              <w:spacing w:before="0" w:after="0" w:line="259" w:lineRule="auto"/>
              <w:jc w:val="left"/>
            </w:pPr>
            <w:r>
              <w:rPr>
                <w:rFonts w:ascii="Arial" w:hAnsi="Arial"/>
                <w:b/>
                <w:color w:val="000000"/>
                <w:sz w:val="19"/>
              </w:rPr>
              <w:t>Classification/decision</w:t>
            </w:r>
          </w:p>
        </w:tc>
        <w:tc>
          <w:tcPr>
            <w:tcW w:type="dxa" w:w="3226"/>
            <w:shd w:fill="DCE6EE"/>
            <w:vAlign w:val="center"/>
            <w:tcMar>
              <w:top w:w="70" w:type="dxa"/>
              <w:bottom w:w="70" w:type="dxa"/>
              <w:left w:w="85" w:type="dxa"/>
              <w:right w:w="85" w:type="dxa"/>
            </w:tcMar>
          </w:tcPr>
          <w:p>
            <w:pPr>
              <w:spacing w:before="0" w:after="0" w:line="259" w:lineRule="auto"/>
              <w:jc w:val="left"/>
            </w:pPr>
            <w:r>
              <w:rPr>
                <w:rFonts w:ascii="Arial" w:hAnsi="Arial"/>
                <w:b/>
                <w:color w:val="000000"/>
                <w:sz w:val="19"/>
              </w:rPr>
              <w:t>Rationale and destination</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full name</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UC-01: M2</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Full name</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Attribute</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UserAccount.fullName. A person’s name is account data rather than a separate domain object.</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staff ID</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UC-01: M2-3, A1a2, A3b, A3b1</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Staff ID</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Attribute</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UserAccount.staffID, matching the main table. UC-01 requires uniqueness across accounts; the identifier is not a separate class.</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contact details</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UC-01: M2</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Contact details</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Attribute</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UserAccount.contactDetails. The use case supplies contact information without a separately described lifecycle.</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start date</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UC-01: M2</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Start date</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Attribute</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UserAccount.startDate. This is the account holder’s start date, distinct from the date of a shift.</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role qualification(s)</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UC-01: T, M2, A1a1, Post</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Role qualification</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Attribute</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Staff.qualifiedRoles in the main table. UC-01 maintains the qualifications alongside account details; UC-13 checks them for eligibility.</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weeks; submitted roster week; submitted roster weeks; affected roster weeks; roster week; week; selected week; selected roster week</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UC-02: D, M5, A5a, A5a1</w:t>
              <w:br/>
              <w:t>UC-03: D, T, M1, A2a1, Post</w:t>
              <w:br/>
              <w:t>UC-04: T, M1-2, A1a, Post</w:t>
              <w:br/>
              <w:t>UC-05: Pre, T, M1-2</w:t>
              <w:br/>
              <w:t>UC-06: Pre, M3</w:t>
              <w:br/>
              <w:t>UC-08: M3</w:t>
              <w:br/>
              <w:t>UC-09: D, M1-2, A2a, A2a1</w:t>
              <w:br/>
              <w:t>UC-10: M2, M4</w:t>
              <w:br/>
              <w:t>UC-13: M5, A5a</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Roster week</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Attribute and period</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WeeklyRoster.rosterWeek and JobPreference.rosterWeek. Shift dates place availability and assignments in the relevant week; no separate RosterWeek entity is selected.</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five-week planning period</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UC-02: M2, Post</w:t>
              <w:br/>
              <w:t>UC-04: M1</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Planning period</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Time constraint</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The planning horizon constrains StaffAvailability and roster planning. It is a five-week period rather than a single roster week or a separate entity.</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day and night; preferred shift type; day or night</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UC-02: M2</w:t>
              <w:br/>
              <w:t>UC-03: D, M2</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Shift type</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Attribute or type</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Shift.shiftType and JobPreference.preferredShiftType. Day and night are values; no distinct subclass behaviour is described.</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preferred station(s)</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UC-03: M2</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Preferred station</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Association selection</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JobPreference.preferredStations, referencing Station. Preferences do not create a second kind of station.</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date</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UC-04: M6</w:t>
              <w:br/>
              <w:t>UC-06: M3</w:t>
              <w:br/>
              <w:t>UC-08: M3</w:t>
              <w:br/>
              <w:t>UC-09: M2</w:t>
              <w:br/>
              <w:t>UC-14: M2</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Date</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Attribute or query value</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Shift.date for assignment details. Candidate location is also date-specific, but its data source remains unresolved; a Date entity is not in the main list.</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shift start and end times</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UC-09: M2</w:t>
              <w:br/>
              <w:t>UC-14: M2</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Shift times</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Attributes</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Shift.startTime and endTime. The assignment presents its shift timing through the roster slot relationship.</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assigned hours; total assigned hours; workload; Staff Workload; lowest-workload list; weekly and monthly workload</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UC-04: M6</w:t>
              <w:br/>
              <w:t>UC-06: M3</w:t>
              <w:br/>
              <w:t>UC-08: M3</w:t>
              <w:br/>
              <w:t>UC-09: D, T, M3, Post</w:t>
              <w:br/>
              <w:t>UC-10: Name, D, T, M2-5, A3a1, Post</w:t>
              <w:br/>
              <w:t>UC-13: M5, A5a</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Assigned hours</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Derived result</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Staff./weeklyAssignedHours and /monthlyAssignedHours, derived from assignments and shift duration for the relevant period. Workload displays and rankings are query results.</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calendar month; selected calendar month</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UC-09: D, M3, A3a1</w:t>
              <w:br/>
              <w:t>UC-10: M5</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Calendar month</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Reporting period</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Use as the period for Staff./monthlyAssignedHours and monthly assignment queries. A calendar month is not a separate entity in this class list.</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roles; crew role; assigned role; role; crew roles; missing roles; role fulfilled; unassigned role; unfilled role; missing role; selected role</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UC-04: D, M2, M5, A5a1, A5a2, Post</w:t>
              <w:br/>
              <w:t>UC-05: A2a1</w:t>
              <w:br/>
              <w:t>UC-06: D, Rel, M7, A2a3, A2a4, A3a2</w:t>
              <w:br/>
              <w:t>UC-07: M5, A5a1, Post</w:t>
              <w:br/>
              <w:t>UC-08: D, Rel, Pre, M1-2, M8, A1a, A2a2</w:t>
              <w:br/>
              <w:t>UC-09: M2</w:t>
              <w:br/>
              <w:t>UC-11: M4</w:t>
              <w:br/>
              <w:t>UC-13: D, Pre, T, M1, A1a</w:t>
              <w:br/>
              <w:t>UC-14: M2, M4, Post</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Crew role</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Attribute and rule input</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Assignment.fulfilledRoles and Staff.qualifiedRoles. Required versus fulfilled roles determine RosterSlot./missingRoles; a separate Role class is not in the main list.</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awaiting confirmation; declined; pending confirmation; confirmed</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UC-08: Pre, M6, M8, A5a1, Post</w:t>
              <w:br/>
              <w:t>UC-14: SA, Pre, M1, Post</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Pending confirmation</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State</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Assignment.confirmationStatus. A pending assignment does not fill the vacancy; confirmation fills it, while withdrawal or decline removes the pending assignment.</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manpower; fully staffed; ambulance shortfall; shortfall; vacancy; manpower shortfalls; number of staff required</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UC-04: M2, A5a2, Post</w:t>
              <w:br/>
              <w:t>UC-05: M2, A2a, A2a1</w:t>
              <w:br/>
              <w:t>UC-06: A2a3</w:t>
              <w:br/>
              <w:t>UC-07: A5a, A5a1</w:t>
              <w:br/>
              <w:t>UC-08: D, T, M8, A2a2, Post</w:t>
              <w:br/>
              <w:t>UC-11: D, T, M4, A4a, A4a1, Post</w:t>
              <w:br/>
              <w:t>UC-14: D, M4, A3a2, Post</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Vacancy</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Derived result</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RosterSlot./missingRoles, /staffRequired and /isFullyStaffed; WeeklyRoster derives the shift shortfall. These are outcomes of staffing and availability, not separate classes.</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fleet; active fleet size; list of active ambulances</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UC-11: M3, Post</w:t>
              <w:br/>
              <w:t>UC-12: T, M1, M4</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Fleet</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Collection and count</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the collection of Ambulance objects. Active fleet size is calculated from active Ambulance records; a Fleet entity is not needed by the current list.</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Ambulance Utilisation; scheduled utilisation; scheduled in-service hours; total shift hours; in-service hours; utilisation of each ambulance</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UC-11: Name, T, M2, Post</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Scheduled utilisation</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Derived result</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Ambulance./scheduledUtilisation. UC-11 divides scheduled in-service hours by total shift hours, counting at most 11 in-service hours per rostered 12-hour shift.</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fleet utilisation; number of rostered ambulances</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UC-11: M3</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Fleet utilisation</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Derived result</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WeeklyRoster calculation by roster shift. UC-11 divides the number of rostered ambulances by active fleet size; no independent Utilisation class is selected.</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12 hours of rest</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UC-08: M2</w:t>
              <w:br/>
              <w:t>UC-13: M4, A4a</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Rest interval</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Derived rule input</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Derive from Staff assignments and Shift timing. UC-13 blocks an assignment leaving less than 12 hours of rest; no Rest entity is selected.</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Wednesday cut-off</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UC-02: M5, A5a</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Wednesday cut off</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Rule criterion</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the cut-off check that determines StaffAvailability.lateFlag. It is a rule value, not a domain entity; no exact Wednesday time is supplied in the use case text.</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cut-off; three lowest values; value</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UC-10: A3a, A3a1</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Workload ranking cut off</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Query criterion</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the Staff workload ranking result. UC-10 includes all staff tied at the cut-off for the three lowest values; this is distinct from the availability submission deadline.</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reason; reason for the change</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UC-04: A8a2</w:t>
              <w:br/>
              <w:t>UC-06: M6-7, A2a1, A5a1, Post</w:t>
              <w:br/>
              <w:t>UC-07: D, M3, M5, A4a, A4a1</w:t>
              <w:br/>
              <w:t>UC-08: A5a2</w:t>
              <w:br/>
              <w:t>UC-13: A1a1, A2a1, A3a1, A4a1</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Reason</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Attribute or output</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AuditEntry.reason for a change or rejection. An assignment validation reason is an actor-facing result, not automatically a stored audit reason.</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previous and new values; previous value; new value</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UC-01: A1a3</w:t>
              <w:br/>
              <w:t>UC-06: M7</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Audit values</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Attributes</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AuditEntry.previousValue and newValue. The values record a change rather than introducing separate entity classes.</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acting user</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UC-06: M7</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Acting user</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Attribute or reference</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AuditEntry.actingUser, identifying the account responsible for the change. Do not treat the acting-user role as a new class.</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timestamp</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UC-06: M7</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Timestamp</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Attribute</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AuditEntry.timestamp. This is the time of the recorded change, rather than a Shift date or time.</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manager; managers; authorised manager</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UC-01: D, A1b5, Post</w:t>
              <w:br/>
              <w:t>UC-02: D, SA, M7, A5a2, A5a3, Post</w:t>
              <w:br/>
              <w:t>UC-03: D, Post</w:t>
              <w:br/>
              <w:t>UC-04: D, PA, Pre, T, M1, M3, M5, M7, M10, A4a1, A4a2, A5a, A5a1, A9a1, Post</w:t>
              <w:br/>
              <w:t>UC-05: D, PA, Pre, T, M1, A2a2</w:t>
              <w:br/>
              <w:t>UC-06: D, PA, Pre, M1-2, M4, M6, A2a, A2a1, A2a4, A3a1, A3a2, A5b, A7a1, A7a2</w:t>
              <w:br/>
              <w:t>UC-07: D, SA, M2, M6, Post</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Manager</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Actor role</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The manager plans, publishes and amends rosters and reviews information. UserAccount maintains manager accounts; the use cases do not justify a separate Manager domain class in this list.</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Same source phrases</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UC-08: D, PA, Pre, T, M1, M4, A1a1, A1a3</w:t>
              <w:br/>
              <w:t>UC-10: D, PA, Pre, T, M1, M5, Post</w:t>
              <w:br/>
              <w:t>UC-11: D, PA, Pre, T, M1, Post</w:t>
              <w:br/>
              <w:t>UC-12: D, PA, Pre, M1-2, A2a, A2b, A2b3, A2b4</w:t>
              <w:br/>
              <w:t>UC-13: PA, T, A5a1, A5a2</w:t>
              <w:br/>
              <w:t>UC-14: SA, M5, A3a2, Post</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Manager</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Evidence continued</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Additional occurrences of the same normalized candidate. The selection decision and destination are unchanged.</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IT Administrator</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UC-01: D, PA, Pre, T, M1-2, A1a, A1a1, A1b, A1b1, A1b2</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IT Administrator</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Actor role</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The role maintains user accounts. A separate administrator entity with independent domain information is not in the main class list.</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HR</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UC-01: T</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HR</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External stakeholder</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HR supplies the initiating account-change information in UC-01. No direct system interaction or separate HR domain record is described.</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assignment candidate; suitable staff candidates; candidate; standby replacement; candidates; suitable candidates; replacement; suitable candidate; eligible standby candidates; eligible standby candidate; standby candidates</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UC-01: A1b4, Post</w:t>
              <w:br/>
              <w:t>UC-04: M6-7</w:t>
              <w:br/>
              <w:t>UC-06: D, Rel, M3-4, A2a, A2a4, A3a, A3a1, A3a2</w:t>
              <w:br/>
              <w:t>UC-07: Post</w:t>
              <w:br/>
              <w:t>UC-08: Name, SA, M2-4, A1a3, A2a1</w:t>
              <w:br/>
              <w:t>UC-13: Rel</w:t>
              <w:br/>
              <w:t>UC-14: Name, D, Post</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Candidate and replacement</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Scenario role or query result</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Staff selected by eligibility rules. Candidate lists and standby replacements do not require separate Candidate or Replacement classes.</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new user; user; new joiner; leaver</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UC-01: D, T, A1b4, A1b5, Post</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Account holder</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Actor or account-holder role</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UserAccount for the account details. UC-01 covers staff and manager accounts, so a generic user is not automatically a Staff object or a new User class.</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past records</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UC-01: A1b4</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Past records</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Historical records</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UC-01 retains a deactivated user’s past records. Keep the relevant existing records; the text does not identify a separate PastRecord class or define the full retained record set.</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invalid ambulance assignment</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UC-04: A9a1</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Ambulance slot allocation</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Association state</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UC-04 alternative 9a refers to the ambulance allocated to a slot becoming unavailable. Destination: the RosterSlot to Ambulance relationship; do not merge this automatically with a staff Assignment.</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incoming and outgoing crew; crew</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UC-09: M2, Post</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Crew</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Collection or view</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Staff assignments associated with the relevant slots and shifts. Incoming and outgoing crew are groups shown with an assignment; no Crew entity is selected.</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location</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UC-04: M6</w:t>
              <w:br/>
              <w:t>UC-06: M3</w:t>
              <w:br/>
              <w:t>UC-08: M3</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Location</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Unresolved meaning</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UC-04, UC-06 and UC-08 display a candidate’s location for a date. The main table associates this concept with Station, but the use cases do not define whether it is an assigned station or another location source.</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confirmation request; earlier confirmation request; pending confirmation request</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UC-08: D, SA, M7, A1a, A5a1</w:t>
              <w:br/>
              <w:t>UC-14: Pre, T, M1</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Confirmation request</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Interaction artifact</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UC-08 sends the request for a pending Assignment; UC-14 confirms or declines it. The current class list represents the state on Assignment rather than selecting a separate request entity.</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confirmation message</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UC-01: M5, A1a3</w:t>
              <w:br/>
              <w:t>UC-14: M5</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Confirmation message</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Output artifact</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An actor-facing result returned through a boundary; it is not a domain entity in the current list.</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40-hour warning; warning</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UC-06: A5b</w:t>
              <w:br/>
              <w:t>UC-07: A3a</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Warning</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Output artifact</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Boundary output for the actor. UC-07 warns before rejection; UC-13 warns above 40 weekly hours without blocking. Neither warning introduces an entity class.</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error message</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UC-14: A4a1</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Error message</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Output artifact</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UC-14 returns an error when another staff member has already taken the assignment. Return it through a boundary; do not select a separate error entity.</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user accounts page; availability page; preferences page; roster allocation page; landing page; monthly assignment view; monthly view; utilisation page; fleet page; screen; previous page</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UC-01: M1</w:t>
              <w:br/>
              <w:t>UC-02: M1</w:t>
              <w:br/>
              <w:t>UC-03: M1</w:t>
              <w:br/>
              <w:t>UC-04: M1</w:t>
              <w:br/>
              <w:t>UC-09: M1, A3a</w:t>
              <w:br/>
              <w:t>UC-10: D, M1, M5</w:t>
              <w:br/>
              <w:t>UC-11: M1</w:t>
              <w:br/>
              <w:t>UC-12: M1</w:t>
              <w:br/>
              <w:t>UC-13: A5a1</w:t>
              <w:br/>
              <w:t>UC-14: A4a1</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Page and view</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Interface candidate</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These nouns indicate actor-facing UI responsibilities. Boundary classes would be design additions derived from the interactions; they are separate from the 12 domain classes in Main Class Table.</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Database</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UC-01: SA, M3-4, A1a3, A1b3</w:t>
              <w:br/>
              <w:t>UC-02: SA</w:t>
              <w:br/>
              <w:t>UC-03: SA, M4</w:t>
              <w:br/>
              <w:t>UC-04: SA</w:t>
              <w:br/>
              <w:t>UC-05: SA, M2-3</w:t>
              <w:br/>
              <w:t>UC-06: SA, M3, M7, A2a2</w:t>
              <w:br/>
              <w:t>UC-07: SA, M5</w:t>
              <w:br/>
              <w:t>UC-08: SA, M2, M6, A1a2</w:t>
              <w:br/>
              <w:t>UC-09: SA, M2</w:t>
              <w:br/>
              <w:t>UC-10: SA, M2</w:t>
              <w:br/>
              <w:t>UC-11: SA, M2</w:t>
              <w:br/>
              <w:t>UC-12: SA, M3, A2a1, A2b1, A2b3</w:t>
              <w:br/>
              <w:t>UC-14: SA, M2, M4, A3a1</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Database</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Infrastructure</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Persistence infrastructure is separate from domain entities. Its appearance as a supporting actor in the use case document does not make it an extracted domain class.</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system</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UC-01: M3-5, A1a2, A1a3, A1b2, A1b3, A1b5, A3a1, A3b1</w:t>
              <w:br/>
              <w:t>UC-02: M2, M5-8, A5a1, A5a2, A5a3</w:t>
              <w:br/>
              <w:t>UC-03: M4, A2a1</w:t>
              <w:br/>
              <w:t>UC-04: M2, M4, M6, M8-9, A1a1, A4a1, A5a2, A8a2, A9a1</w:t>
              <w:br/>
              <w:t>UC-05: M2-4, A2a1</w:t>
              <w:br/>
              <w:t>UC-06: M3, M5, M7-8, A2a2, A2a3, A3a1, A5a1, A7a1</w:t>
              <w:br/>
              <w:t>UC-07: M2, M5-6, A4a1, A5a1</w:t>
              <w:br/>
              <w:t>UC-08: M2-3, M5-8, A1a2, A2a1, A5a2</w:t>
              <w:br/>
              <w:t>UC-09: M2-3, A2a1, A3a1</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System</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Subject reference</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The overall modeled system performs these responses. It is not a single domain entity; allocate behaviour to boundaries, entities and infrastructure in design work.</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Same source phrases</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UC-10: M2-5, A3a1</w:t>
              <w:br/>
              <w:t>UC-11: M2-4, A4a1</w:t>
              <w:br/>
              <w:t>UC-12: M3-4, A2a1, A2a2, A2b1, A2b2, A2b3</w:t>
              <w:br/>
              <w:t>UC-13: D, M1-6, A1a1, A2a1, A3a1, A4a1, A5a1</w:t>
              <w:br/>
              <w:t>UC-14: M2, M4-5, A3a1, A3a2, A4a1</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System</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Evidence continued</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Additional occurrences of the same normalized candidate. The selection decision and destination are unchanged.</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Assignment Rule; assignment rules</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UC-04: Rel, M8</w:t>
              <w:br/>
              <w:t>UC-06: Rel, M5</w:t>
              <w:br/>
              <w:t>UC-08: Rel, M5</w:t>
              <w:br/>
              <w:t>UC-13: Name, D</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Assignment rule</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Domain rule</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UC-13 specifies qualification, conflict, rest and workload checks. Allocate these to the relevant entities and coordinate via boundaries; do not add a controller or rule-checker class.</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use case; extension point; base use case</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UC-01: A3a2, A3b2</w:t>
              <w:br/>
              <w:t>UC-02: A5a4</w:t>
              <w:br/>
              <w:t>UC-04: A1a3, A5a3, A8a3, Post</w:t>
              <w:br/>
              <w:t>UC-06: Rel, A2a4, A5a2, A5b2</w:t>
              <w:br/>
              <w:t>UC-08: Rel, A1a3, A5a3</w:t>
              <w:br/>
              <w:t>UC-13: D, PA, Pre, T, M6, A1a1, A2a1, A3a1, A4a1, Post</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Model reference</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Modeling reference</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These nouns refer to use case structure and continuation rather than ambulance rostering domain objects. Exclude them from the domain class list.</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roster allocation; allocation process</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UC-03: D, Post</w:t>
              <w:br/>
              <w:t>UC-04: M1, M10, Post</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Roster allocation</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Domain activity</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Allocation changes WeeklyRoster, RosterSlot and Assignment state. The process name does not establish a separate domain class or permit a controller class.</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fields; required field; missing field</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UC-01: M3, A1a2, A3a, A3a1</w:t>
              <w:br/>
              <w:t>UC-03: A2a1</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Field</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Input structure</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UC-01 fields belong to UserAccount and the Staff qualification data; UC-03 blank fields represent no JobPreference. A generic Field entity is not selected.</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details</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UC-01: T, M2, A1a1, Post</w:t>
              <w:br/>
              <w:t>UC-12: T</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Details</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Generic information</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Resolve to the relevant account or Ambulance attributes. The noun alone does not establish an additional class or specify the full set of ambulance attributes.</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data</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UC-06: M3</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Data</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Generic information</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UC-06 retrieves candidate data represented by Staff, StaffAvailability, JobPreference and related assignments. Data is not a separate domain entity.</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entry</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UC-01: A3b1</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Entry</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Input artifact</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UC-01 alternative 3b refers to the staff ID entry being rejected. Destination: UserAccount.staffID input, rather than a new Entry class.</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submission; submissions</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UC-02: M5, A5a3, Post</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Submission</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Input artifact</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Destination: submitted StaffAvailability data and its late status. A submission is not independently modeled as an entity in the main class list.</w:t>
            </w:r>
          </w:p>
        </w:tc>
      </w:tr>
      <w:tr>
        <w:trPr>
          <w:cantSplit/>
        </w:trPr>
        <w:tc>
          <w:tcPr>
            <w:tcW w:type="dxa" w:w="1757"/>
            <w:vAlign w:val="center"/>
            <w:tcMar>
              <w:top w:w="70" w:type="dxa"/>
              <w:bottom w:w="70" w:type="dxa"/>
              <w:left w:w="85" w:type="dxa"/>
              <w:right w:w="85" w:type="dxa"/>
            </w:tcMar>
          </w:tcPr>
          <w:p>
            <w:pPr>
              <w:spacing w:before="0" w:after="0" w:line="259" w:lineRule="auto"/>
              <w:jc w:val="left"/>
            </w:pPr>
            <w:r>
              <w:rPr>
                <w:rFonts w:ascii="Arial" w:hAnsi="Arial"/>
                <w:color w:val="000000"/>
                <w:sz w:val="19"/>
              </w:rPr>
              <w:t>change; changes</w:t>
            </w:r>
          </w:p>
        </w:tc>
        <w:tc>
          <w:tcPr>
            <w:tcW w:type="dxa" w:w="2477"/>
            <w:vAlign w:val="center"/>
            <w:tcMar>
              <w:top w:w="70" w:type="dxa"/>
              <w:bottom w:w="70" w:type="dxa"/>
              <w:left w:w="85" w:type="dxa"/>
              <w:right w:w="85" w:type="dxa"/>
            </w:tcMar>
          </w:tcPr>
          <w:p>
            <w:pPr>
              <w:spacing w:before="0" w:after="0" w:line="259" w:lineRule="auto"/>
              <w:jc w:val="left"/>
            </w:pPr>
            <w:r>
              <w:rPr>
                <w:rFonts w:ascii="Arial" w:hAnsi="Arial"/>
                <w:color w:val="000000"/>
                <w:sz w:val="19"/>
              </w:rPr>
              <w:t>UC-01: T, M4, A1a1, A1a3, A1b3</w:t>
              <w:br/>
              <w:t>UC-02: D, SA, T, M7, A5a2, A5a3, Post</w:t>
              <w:br/>
              <w:t>UC-04: M9, A1a2, A5a2, Post</w:t>
              <w:br/>
              <w:t>UC-06: SA, T, M6-7, A2a1, A2a2, Post</w:t>
              <w:br/>
              <w:t>UC-08: M6, A1a2</w:t>
              <w:br/>
              <w:t>UC-12: T, M3, A2b1</w:t>
              <w:br/>
              <w:t>UC-14: M4, A3a1</w:t>
            </w:r>
          </w:p>
        </w:tc>
        <w:tc>
          <w:tcPr>
            <w:tcW w:type="dxa" w:w="1555"/>
            <w:vAlign w:val="center"/>
            <w:tcMar>
              <w:top w:w="70" w:type="dxa"/>
              <w:bottom w:w="70" w:type="dxa"/>
              <w:left w:w="85" w:type="dxa"/>
              <w:right w:w="85" w:type="dxa"/>
            </w:tcMar>
          </w:tcPr>
          <w:p>
            <w:pPr>
              <w:spacing w:before="0" w:after="0" w:line="259" w:lineRule="auto"/>
              <w:jc w:val="left"/>
            </w:pPr>
            <w:r>
              <w:rPr>
                <w:rFonts w:ascii="Arial" w:hAnsi="Arial"/>
                <w:b/>
                <w:color w:val="000000"/>
                <w:sz w:val="19"/>
              </w:rPr>
              <w:t>Change</w:t>
            </w:r>
          </w:p>
        </w:tc>
        <w:tc>
          <w:tcPr>
            <w:tcW w:type="dxa" w:w="1440"/>
            <w:vAlign w:val="center"/>
            <w:tcMar>
              <w:top w:w="70" w:type="dxa"/>
              <w:bottom w:w="70" w:type="dxa"/>
              <w:left w:w="85" w:type="dxa"/>
              <w:right w:w="85" w:type="dxa"/>
            </w:tcMar>
          </w:tcPr>
          <w:p>
            <w:pPr>
              <w:spacing w:before="0" w:after="0" w:line="259" w:lineRule="auto"/>
              <w:jc w:val="left"/>
            </w:pPr>
            <w:r>
              <w:rPr>
                <w:rFonts w:ascii="Arial" w:hAnsi="Arial"/>
                <w:color w:val="000000"/>
                <w:sz w:val="19"/>
              </w:rPr>
              <w:t>State transition or event</w:t>
            </w:r>
          </w:p>
        </w:tc>
        <w:tc>
          <w:tcPr>
            <w:tcW w:type="dxa" w:w="3226"/>
            <w:vAlign w:val="center"/>
            <w:tcMar>
              <w:top w:w="70" w:type="dxa"/>
              <w:bottom w:w="70" w:type="dxa"/>
              <w:left w:w="85" w:type="dxa"/>
              <w:right w:w="85" w:type="dxa"/>
            </w:tcMar>
          </w:tcPr>
          <w:p>
            <w:pPr>
              <w:spacing w:before="0" w:after="0" w:line="259" w:lineRule="auto"/>
              <w:jc w:val="left"/>
            </w:pPr>
            <w:r>
              <w:rPr>
                <w:rFonts w:ascii="Arial" w:hAnsi="Arial"/>
                <w:color w:val="000000"/>
                <w:sz w:val="19"/>
              </w:rPr>
              <w:t>Changes update existing account, availability, roster, assignment or ambulance information. Where the flow records a change, AuditEntry captures the event; no generic Change entity is added.</w:t>
            </w:r>
          </w:p>
        </w:tc>
      </w:tr>
      <w:tr>
        <w:trPr>
          <w:cantSplit/>
        </w:trPr>
        <w:tc>
          <w:tcPr>
            <w:tcW w:type="dxa" w:w="175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day; week; period</w:t>
            </w:r>
          </w:p>
        </w:tc>
        <w:tc>
          <w:tcPr>
            <w:tcW w:type="dxa" w:w="2477"/>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UC-11: M1-2</w:t>
            </w:r>
          </w:p>
        </w:tc>
        <w:tc>
          <w:tcPr>
            <w:tcW w:type="dxa" w:w="1555"/>
            <w:shd w:fill="F6F8FA"/>
            <w:vAlign w:val="center"/>
            <w:tcMar>
              <w:top w:w="70" w:type="dxa"/>
              <w:bottom w:w="70" w:type="dxa"/>
              <w:left w:w="85" w:type="dxa"/>
              <w:right w:w="85" w:type="dxa"/>
            </w:tcMar>
          </w:tcPr>
          <w:p>
            <w:pPr>
              <w:spacing w:before="0" w:after="0" w:line="259" w:lineRule="auto"/>
              <w:jc w:val="left"/>
            </w:pPr>
            <w:r>
              <w:rPr>
                <w:rFonts w:ascii="Arial" w:hAnsi="Arial"/>
                <w:b/>
                <w:color w:val="000000"/>
                <w:sz w:val="19"/>
              </w:rPr>
              <w:t>Reporting period</w:t>
            </w:r>
          </w:p>
        </w:tc>
        <w:tc>
          <w:tcPr>
            <w:tcW w:type="dxa" w:w="1440"/>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Query value</w:t>
            </w:r>
          </w:p>
        </w:tc>
        <w:tc>
          <w:tcPr>
            <w:tcW w:type="dxa" w:w="3226"/>
            <w:shd w:fill="F6F8FA"/>
            <w:vAlign w:val="center"/>
            <w:tcMar>
              <w:top w:w="70" w:type="dxa"/>
              <w:bottom w:w="70" w:type="dxa"/>
              <w:left w:w="85" w:type="dxa"/>
              <w:right w:w="85" w:type="dxa"/>
            </w:tcMar>
          </w:tcPr>
          <w:p>
            <w:pPr>
              <w:spacing w:before="0" w:after="0" w:line="259" w:lineRule="auto"/>
              <w:jc w:val="left"/>
            </w:pPr>
            <w:r>
              <w:rPr>
                <w:rFonts w:ascii="Arial" w:hAnsi="Arial"/>
                <w:color w:val="000000"/>
                <w:sz w:val="19"/>
              </w:rPr>
              <w:t>UC-11 selects a day or week for the ambulance utilisation query. This reporting period is a query input rather than a new entity or a new shift type.</w:t>
            </w:r>
          </w:p>
        </w:tc>
      </w:tr>
    </w:tbl>
    <w:p>
      <w:pPr>
        <w:pStyle w:val="Heading1"/>
      </w:pPr>
      <w:r>
        <w:t>Modeling questions</w:t>
      </w:r>
    </w:p>
    <w:p>
      <w:r>
        <w:t>Candidate location needs a defined data source before it can be mapped conclusively to Station. UC-04 step 6, UC-06 step 3 and UC-08 step 3 provide the noun and date-specific display requirement.</w:t>
      </w:r>
    </w:p>
    <w:p>
      <w:r>
        <w:t>The source uses fully staffed with an asterisk but does not define the required crew-role combination in the use case text. Keep the required roles as an unresolved rule when deriving RosterSlot staffing results.</w:t>
      </w:r>
    </w:p>
    <w:p>
      <w:r>
        <w:t>UC-01 records role qualifications with account details, while the main class table assigns qualifiedRoles to Staff. The UserAccount and Staff relationship must support that access; extraction alone does not establish inheritance or multiplicity.</w:t>
      </w:r>
    </w:p>
    <w:sectPr w:rsidR="00FC693F" w:rsidRPr="0006063C" w:rsidSect="00034616">
      <w:footerReference w:type="default" r:id="rId9"/>
      <w:pgSz w:w="12240" w:h="15840"/>
      <w:pgMar w:top="893" w:right="893" w:bottom="893" w:left="893"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Noun Extraction for Ambulance Rostering</dc:title>
  <dc:subject>Noun extraction and class selection traceability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