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3C5E"/>
          <w:sz w:val="52"/>
          <w:szCs w:val="52"/>
        </w:rPr>
        <w:t xml:space="preserve">UrbanRoll Bike Share</w:t>
      </w:r>
    </w:p>
    <w:p>
      <w:pPr>
        <w:spacing w:before="0" w:after="80"/>
        <w:jc w:val="center"/>
      </w:pPr>
      <w:r>
        <w:rPr>
          <w:rFonts w:ascii="Arial" w:cs="Arial" w:eastAsia="Arial" w:hAnsi="Arial"/>
          <w:color w:val="2E6DA4"/>
          <w:sz w:val="28"/>
          <w:szCs w:val="28"/>
        </w:rPr>
        <w:t xml:space="preserve">Operational &amp; Growth Analysis Report</w:t>
      </w:r>
    </w:p>
    <w:p>
      <w:pPr>
        <w:spacing w:before="0" w:after="480"/>
        <w:jc w:val="center"/>
      </w:pPr>
      <w:r>
        <w:rPr>
          <w:rFonts w:ascii="Arial" w:cs="Arial" w:eastAsia="Arial" w:hAnsi="Arial"/>
          <w:i/>
          <w:iCs/>
          <w:color w:val="888888"/>
          <w:sz w:val="20"/>
          <w:szCs w:val="20"/>
        </w:rPr>
        <w:t xml:space="preserve">Platform: Google BigQuery  |  Tables: riders, stations, users  |  March 2026</w:t>
      </w:r>
    </w:p>
    <w:p>
      <w:pPr>
        <w:pBdr>
          <w:bottom w:val="single" w:color="CCCCCC" w:sz="4"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Executive Summary</w:t>
      </w:r>
    </w:p>
    <w:p>
      <w:pPr>
        <w:spacing w:before="80" w:after="80"/>
      </w:pPr>
      <w:r>
        <w:rPr>
          <w:rFonts w:ascii="Arial" w:cs="Arial" w:eastAsia="Arial" w:hAnsi="Arial"/>
          <w:sz w:val="22"/>
          <w:szCs w:val="22"/>
        </w:rPr>
        <w:t xml:space="preserve">This report analyses operational and growth data for UrbanRoll, a bike-sharing service. The analysis covers 15,000+ rides across 3 tables — riders, stations and users — using SQL queries in Google BigQuery. Key findings confirm that UrbanRoll is primarily a commuter tool with two distinct user personas, a critical bike rebalancing challenge, and a seasonal growth pattern that requires targeted intervention.</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Total Rides Analysed</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15,000+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Most Common Ride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Medium Trip (11–30 min) — 47%</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Peak Demand Hours</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7:00 AM and 3:00 PM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Biggest Station Deficit (Sink)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Jennifer Land St  (–66 bikes)</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Biggest Station Surplus (Source)</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Amy Park St  (+66 bikes)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Best Growth Month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May (+22.8% MoM)</w:t>
            </w:r>
          </w:p>
        </w:tc>
      </w:tr>
      <w:tr>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Worst Growth Month</w:t>
            </w:r>
          </w:p>
        </w:tc>
        <w:tc>
          <w:tcPr>
            <w:tcW w:type="dxa" w:w="468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July (–19.1% MoM)</w:t>
            </w:r>
          </w:p>
        </w:tc>
      </w:tr>
    </w:tbl>
    <w:p>
      <w:pPr>
        <w:spacing w:before="60" w:after="60"/>
      </w:pPr>
      <w:r>
        <w:t xml:space="preserve"/>
      </w:r>
    </w:p>
    <w:p>
      <w:pPr>
        <w:pBdr>
          <w:bottom w:val="single" w:color="CCCCCC" w:sz="4"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1. Operational Pulse — The Double-Hump Trend</w:t>
      </w:r>
    </w:p>
    <w:p>
      <w:pPr>
        <w:spacing w:before="80" w:after="80"/>
      </w:pPr>
      <w:r>
        <w:rPr>
          <w:rFonts w:ascii="Arial" w:cs="Arial" w:eastAsia="Arial" w:hAnsi="Arial"/>
          <w:sz w:val="22"/>
          <w:szCs w:val="22"/>
        </w:rPr>
        <w:t xml:space="preserve">Analysis of 15,000+ rides confirms that UrbanRoll is primarily a commuting tool. Usage spikes at two distinct times of day, forming a classic double-hump demand curve that mirrors morning and evening commute patterns.</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Ride Duration Distribution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2744"/>
      </w:tblGrid>
      <w:tr>
        <w:trPr>
          <w:tblHeader/>
        </w:trPr>
        <w:tc>
          <w:tcPr>
            <w:tcW w:type="dxa" w:w="2808"/>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Ride Category</w:t>
            </w:r>
          </w:p>
        </w:tc>
        <w:tc>
          <w:tcPr>
            <w:tcW w:type="dxa" w:w="1404"/>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Count</w:t>
            </w:r>
          </w:p>
        </w:tc>
        <w:tc>
          <w:tcPr>
            <w:tcW w:type="dxa" w:w="1404"/>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 of Total</w:t>
            </w:r>
          </w:p>
        </w:tc>
        <w:tc>
          <w:tcPr>
            <w:tcW w:type="dxa" w:w="2744"/>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Likely User</w:t>
            </w:r>
          </w:p>
        </w:tc>
      </w:tr>
      <w:tr>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Medium Trip (11–30 min)</w:t>
            </w:r>
          </w:p>
        </w:tc>
        <w:tc>
          <w:tcPr>
            <w:tcW w:type="dxa" w:w="1404"/>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7,092</w:t>
            </w:r>
          </w:p>
        </w:tc>
        <w:tc>
          <w:tcPr>
            <w:tcW w:type="dxa" w:w="1404"/>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47%</w:t>
            </w:r>
          </w:p>
        </w:tc>
        <w:tc>
          <w:tcPr>
            <w:tcW w:type="dxa" w:w="2744"/>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Commuter — consistent daily rider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Long Trip (30+ min)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6,480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43%</w:t>
            </w:r>
          </w:p>
        </w:tc>
        <w:tc>
          <w:tcPr>
            <w:tcW w:type="dxa" w:w="2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Explorer — leisure or cross-city</w:t>
            </w:r>
          </w:p>
        </w:tc>
      </w:tr>
      <w:tr>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Short Trip (&lt;10 min)</w:t>
            </w:r>
          </w:p>
        </w:tc>
        <w:tc>
          <w:tcPr>
            <w:tcW w:type="dxa" w:w="1404"/>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1,428</w:t>
            </w:r>
          </w:p>
        </w:tc>
        <w:tc>
          <w:tcPr>
            <w:tcW w:type="dxa" w:w="1404"/>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2744"/>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Local hop or potential false start</w:t>
            </w:r>
          </w:p>
        </w:tc>
      </w:tr>
    </w:tbl>
    <w:p>
      <w:pPr>
        <w:spacing w:before="60" w:after="60"/>
      </w:pPr>
      <w:r>
        <w:t xml:space="preserve"/>
      </w:r>
    </w:p>
    <w:p>
      <w:pPr>
        <w:spacing w:before="80" w:after="80"/>
      </w:pPr>
      <w:r>
        <w:rPr>
          <w:rFonts w:ascii="Arial" w:cs="Arial" w:eastAsia="Arial" w:hAnsi="Arial"/>
          <w:sz w:val="22"/>
          <w:szCs w:val="22"/>
        </w:rPr>
        <w:t xml:space="preserve">The dominance of medium and long trips (90% combined) confirms this is not a last-mile service. Users are making meaningful journeys, not quick connections.</w:t>
      </w:r>
    </w:p>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Peak Demand: </w:t>
      </w:r>
      <w:r>
        <w:rPr>
          <w:rFonts w:ascii="Arial" w:cs="Arial" w:eastAsia="Arial" w:hAnsi="Arial"/>
          <w:sz w:val="22"/>
          <w:szCs w:val="22"/>
        </w:rPr>
        <w:t xml:space="preserve">Usage spikes at 7:00 AM and 3:00 PM — classic commuter double-hump pattern</w:t>
      </w:r>
    </w:p>
    <w:p>
      <w:pPr>
        <w:pStyle w:val="ListParagraph"/>
        <w:numPr>
          <w:ilvl w:val="0"/>
          <w:numId w:val="2"/>
        </w:numPr>
        <w:spacing w:before="60" w:after="60"/>
      </w:pPr>
      <w:r>
        <w:rPr>
          <w:rFonts w:ascii="Arial" w:cs="Arial" w:eastAsia="Arial" w:hAnsi="Arial"/>
          <w:b/>
          <w:bCs/>
          <w:sz w:val="22"/>
          <w:szCs w:val="22"/>
        </w:rPr>
        <w:t xml:space="preserve">Short Trips (10%): </w:t>
      </w:r>
      <w:r>
        <w:rPr>
          <w:rFonts w:ascii="Arial" w:cs="Arial" w:eastAsia="Arial" w:hAnsi="Arial"/>
          <w:sz w:val="22"/>
          <w:szCs w:val="22"/>
        </w:rPr>
        <w:t xml:space="preserve">1,428 rides under 2 minutes were flagged as potential false starts — these inflate ride counts without generating real usage value</w:t>
      </w:r>
    </w:p>
    <w:p>
      <w:pPr>
        <w:spacing w:before="60" w:after="60"/>
      </w:pPr>
      <w:r>
        <w:t xml:space="preserve"/>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Ensure rebalancing crews are active between 10:00 AM and 2:00 PM to prepare bikes for the evening rush at 3:00 PM.</w:t>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Investigate the 1,428 short trips — if confirmed as false starts, exclude them from KPI reporting to avoid inflated ride counts.</w:t>
      </w:r>
    </w:p>
    <w:p>
      <w:pPr>
        <w:spacing w:before="60" w:after="60"/>
      </w:pPr>
      <w:r>
        <w:t xml:space="preserve"/>
      </w:r>
    </w:p>
    <w:p>
      <w:pPr>
        <w:pBdr>
          <w:bottom w:val="single" w:color="CCCCCC" w:sz="4"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2. The Subscriber vs. Casual Split</w:t>
      </w:r>
    </w:p>
    <w:p>
      <w:pPr>
        <w:spacing w:before="80" w:after="80"/>
      </w:pPr>
      <w:r>
        <w:rPr>
          <w:rFonts w:ascii="Arial" w:cs="Arial" w:eastAsia="Arial" w:hAnsi="Arial"/>
          <w:sz w:val="22"/>
          <w:szCs w:val="22"/>
        </w:rPr>
        <w:t xml:space="preserve">The membership analysis reveals two distinct user personas with fundamentally different riding behaviours. Understanding these personas is critical for product and marketing decisions.</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User Persona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04"/>
        <w:gridCol w:w="1872"/>
        <w:gridCol w:w="1404"/>
        <w:gridCol w:w="2808"/>
      </w:tblGrid>
      <w:tr>
        <w:trPr>
          <w:tblHeader/>
        </w:trPr>
        <w:tc>
          <w:tcPr>
            <w:tcW w:type="dxa" w:w="1872"/>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Persona</w:t>
            </w:r>
          </w:p>
        </w:tc>
        <w:tc>
          <w:tcPr>
            <w:tcW w:type="dxa" w:w="1404"/>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Membership</w:t>
            </w:r>
          </w:p>
        </w:tc>
        <w:tc>
          <w:tcPr>
            <w:tcW w:type="dxa" w:w="1872"/>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Trip Duration</w:t>
            </w:r>
          </w:p>
        </w:tc>
        <w:tc>
          <w:tcPr>
            <w:tcW w:type="dxa" w:w="1404"/>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Avg Distance</w:t>
            </w:r>
          </w:p>
        </w:tc>
        <w:tc>
          <w:tcPr>
            <w:tcW w:type="dxa" w:w="2808"/>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Behaviour</w:t>
            </w:r>
          </w:p>
        </w:tc>
      </w:tr>
      <w:tr>
        <w:tc>
          <w:tcPr>
            <w:tcW w:type="dxa" w:w="1872"/>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The Commuter</w:t>
            </w:r>
          </w:p>
        </w:tc>
        <w:tc>
          <w:tcPr>
            <w:tcW w:type="dxa" w:w="1404"/>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Subscriber</w:t>
            </w:r>
          </w:p>
        </w:tc>
        <w:tc>
          <w:tcPr>
            <w:tcW w:type="dxa" w:w="1872"/>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~15 minutes</w:t>
            </w:r>
          </w:p>
        </w:tc>
        <w:tc>
          <w:tcPr>
            <w:tcW w:type="dxa" w:w="1404"/>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Short-medium</w:t>
            </w:r>
          </w:p>
        </w:tc>
        <w:tc>
          <w:tcPr>
            <w:tcW w:type="dxa" w:w="2808"/>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Regular, predictable, high frequency</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The Explorer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Casual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~35 minutes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Longer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Irregular, leisure-driven, low frequency</w:t>
            </w:r>
          </w:p>
        </w:tc>
      </w:tr>
    </w:tbl>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Commuters (Subscribers): </w:t>
      </w:r>
      <w:r>
        <w:rPr>
          <w:rFonts w:ascii="Arial" w:cs="Arial" w:eastAsia="Arial" w:hAnsi="Arial"/>
          <w:sz w:val="22"/>
          <w:szCs w:val="22"/>
        </w:rPr>
        <w:t xml:space="preserve">Short, predictable trips averaging 15 minutes. They are the backbone of daily ride volume and revenue stability.</w:t>
      </w:r>
    </w:p>
    <w:p>
      <w:pPr>
        <w:pStyle w:val="ListParagraph"/>
        <w:numPr>
          <w:ilvl w:val="0"/>
          <w:numId w:val="2"/>
        </w:numPr>
        <w:spacing w:before="60" w:after="60"/>
      </w:pPr>
      <w:r>
        <w:rPr>
          <w:rFonts w:ascii="Arial" w:cs="Arial" w:eastAsia="Arial" w:hAnsi="Arial"/>
          <w:b/>
          <w:bCs/>
          <w:sz w:val="22"/>
          <w:szCs w:val="22"/>
        </w:rPr>
        <w:t xml:space="preserve">Explorers (Casual users): </w:t>
      </w:r>
      <w:r>
        <w:rPr>
          <w:rFonts w:ascii="Arial" w:cs="Arial" w:eastAsia="Arial" w:hAnsi="Arial"/>
          <w:sz w:val="22"/>
          <w:szCs w:val="22"/>
        </w:rPr>
        <w:t xml:space="preserve">Longer, erratic trips averaging 35 minutes. They represent lower volume but higher bike-time usage per ride.</w:t>
      </w:r>
    </w:p>
    <w:p>
      <w:pPr>
        <w:spacing w:before="60" w:after="60"/>
      </w:pPr>
      <w:r>
        <w:t xml:space="preserve"/>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Launch a Weekend Explorer pass targeted at Casual users. Offer discounted weekend bundles to increase their frequency during off-peak hours — converting low-frequency users to medium-frequency ones.</w:t>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Build a Commuter loyalty programme for Subscribers — streak rewards, monthly milestones, or priority bike access during peak hours to reduce churn.</w:t>
      </w:r>
    </w:p>
    <w:p>
      <w:pPr>
        <w:spacing w:before="60" w:after="60"/>
      </w:pPr>
      <w:r>
        <w:t xml:space="preserve"/>
      </w:r>
    </w:p>
    <w:p>
      <w:pPr>
        <w:pBdr>
          <w:bottom w:val="single" w:color="CCCCCC" w:sz="4"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3. The Rebalancing Crisis</w:t>
      </w:r>
    </w:p>
    <w:p>
      <w:pPr>
        <w:spacing w:before="80" w:after="80"/>
      </w:pPr>
      <w:r>
        <w:rPr>
          <w:rFonts w:ascii="Arial" w:cs="Arial" w:eastAsia="Arial" w:hAnsi="Arial"/>
          <w:sz w:val="22"/>
          <w:szCs w:val="22"/>
        </w:rPr>
        <w:t xml:space="preserve">Using the Net Flow CTE analysis, stations were identified as either Sinks (they accumulate too many bikes) or Sources (they run out of bikes). This is the most operationally critical finding in the report.</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Top Sink Stations — Bikes Accumulate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Station</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Departures</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Arrivals</w:t>
            </w:r>
          </w:p>
        </w:tc>
        <w:tc>
          <w:tcPr>
            <w:tcW w:type="dxa" w:w="28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Net Flow</w:t>
            </w:r>
          </w:p>
        </w:tc>
      </w:tr>
      <w:tr>
        <w:tc>
          <w:tcPr>
            <w:tcW w:type="dxa" w:w="3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Amy Park St</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559</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625</w:t>
            </w:r>
          </w:p>
        </w:tc>
        <w:tc>
          <w:tcPr>
            <w:tcW w:type="dxa" w:w="2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+66 (SINK)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Jimenez Summit 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609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659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+50 (SINK)</w:t>
            </w:r>
          </w:p>
        </w:tc>
      </w:tr>
      <w:tr>
        <w:tc>
          <w:tcPr>
            <w:tcW w:type="dxa" w:w="3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Richard Haven St</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581</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629</w:t>
            </w:r>
          </w:p>
        </w:tc>
        <w:tc>
          <w:tcPr>
            <w:tcW w:type="dxa" w:w="2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+48 (SINK)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Espinoza Pines 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594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636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+42 (SINK)</w:t>
            </w:r>
          </w:p>
        </w:tc>
      </w:tr>
      <w:tr>
        <w:tc>
          <w:tcPr>
            <w:tcW w:type="dxa" w:w="3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Andrew Ranch St</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560</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596</w:t>
            </w:r>
          </w:p>
        </w:tc>
        <w:tc>
          <w:tcPr>
            <w:tcW w:type="dxa" w:w="2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+36 (SINK)</w:t>
            </w:r>
          </w:p>
        </w:tc>
      </w:tr>
    </w:tbl>
    <w:p>
      <w:pPr>
        <w:spacing w:before="60" w:after="60"/>
      </w:pPr>
      <w:r>
        <w:t xml:space="preserve"/>
      </w:r>
    </w:p>
    <w:p>
      <w:pPr>
        <w:pStyle w:val="Heading2"/>
        <w:spacing w:before="280" w:after="120"/>
      </w:pPr>
      <w:r>
        <w:rPr>
          <w:rFonts w:ascii="Arial" w:cs="Arial" w:eastAsia="Arial" w:hAnsi="Arial"/>
          <w:b/>
          <w:bCs/>
          <w:color w:val="2E6DA4"/>
          <w:sz w:val="26"/>
          <w:szCs w:val="26"/>
        </w:rPr>
        <w:t xml:space="preserve">Top Source Stations — Bikes Run Out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860"/>
      </w:tblGrid>
      <w:tr>
        <w:trPr>
          <w:tblHeader/>
        </w:trPr>
        <w:tc>
          <w:tcPr>
            <w:tcW w:type="dxa" w:w="3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Station</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Departures</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Arrivals</w:t>
            </w:r>
          </w:p>
        </w:tc>
        <w:tc>
          <w:tcPr>
            <w:tcW w:type="dxa" w:w="28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Net Flow</w:t>
            </w:r>
          </w:p>
        </w:tc>
      </w:tr>
      <w:tr>
        <w:tc>
          <w:tcPr>
            <w:tcW w:type="dxa" w:w="3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Jennifer Land St</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648</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582</w:t>
            </w:r>
          </w:p>
        </w:tc>
        <w:tc>
          <w:tcPr>
            <w:tcW w:type="dxa" w:w="2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–66 (SOURCE)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King Harbors 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634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578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–56 (SOURCE)</w:t>
            </w:r>
          </w:p>
        </w:tc>
      </w:tr>
      <w:tr>
        <w:tc>
          <w:tcPr>
            <w:tcW w:type="dxa" w:w="3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Smith Light St</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615</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562</w:t>
            </w:r>
          </w:p>
        </w:tc>
        <w:tc>
          <w:tcPr>
            <w:tcW w:type="dxa" w:w="2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–53 (SOURCE)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Michael Shores 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608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561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–47 (SOURCE)</w:t>
            </w:r>
          </w:p>
        </w:tc>
      </w:tr>
      <w:tr>
        <w:tc>
          <w:tcPr>
            <w:tcW w:type="dxa" w:w="3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Megan Manors St</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634</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588</w:t>
            </w:r>
          </w:p>
        </w:tc>
        <w:tc>
          <w:tcPr>
            <w:tcW w:type="dxa" w:w="2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–46 (SOURCE)</w:t>
            </w:r>
          </w:p>
        </w:tc>
      </w:tr>
    </w:tbl>
    <w:p>
      <w:pPr>
        <w:spacing w:before="60" w:after="60"/>
      </w:pPr>
      <w:r>
        <w:t xml:space="preserve"/>
      </w:r>
    </w:p>
    <w:p>
      <w:pPr>
        <w:spacing w:before="80" w:after="80"/>
      </w:pPr>
      <w:r>
        <w:rPr>
          <w:rFonts w:ascii="Arial" w:cs="Arial" w:eastAsia="Arial" w:hAnsi="Arial"/>
          <w:sz w:val="22"/>
          <w:szCs w:val="22"/>
        </w:rPr>
        <w:t xml:space="preserve">The pattern is clear — Source stations (where bikes run out) are likely near residential areas where commuters start their morning journey. Sink stations (where bikes accumulate) are likely near business districts where commuters end their morning journey. The reverse happens in the evening.</w:t>
      </w:r>
    </w:p>
    <w:p>
      <w:pPr>
        <w:spacing w:before="60" w:after="60"/>
      </w:pPr>
      <w:r>
        <w:t xml:space="preserve"/>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Implement Dynamic Incentives — offer users a small discount (e.g. 10% off their next ride) if they end their ride at a Source station that is running low on bikes. This uses pricing to crowdsource rebalancing.</w:t>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Deploy rebalancing trucks between Jennifer Land St and Amy Park St as the primary route — these two stations have the largest symmetric imbalance of 66 bikes each.</w:t>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Build a real-time station capacity dashboard for operations staff showing live net flow per station.</w:t>
      </w:r>
    </w:p>
    <w:p>
      <w:pPr>
        <w:spacing w:before="60" w:after="60"/>
      </w:pPr>
      <w:r>
        <w:t xml:space="preserve"/>
      </w:r>
    </w:p>
    <w:p>
      <w:pPr>
        <w:pBdr>
          <w:bottom w:val="single" w:color="CCCCCC" w:sz="4"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4. Growth and Retention</w:t>
      </w:r>
    </w:p>
    <w:p>
      <w:pPr>
        <w:spacing w:before="80" w:after="80"/>
      </w:pPr>
      <w:r>
        <w:rPr>
          <w:rFonts w:ascii="Arial" w:cs="Arial" w:eastAsia="Arial" w:hAnsi="Arial"/>
          <w:sz w:val="22"/>
          <w:szCs w:val="22"/>
        </w:rPr>
        <w:t xml:space="preserve">Month-over-month signup analysis reveals a clear seasonal growth pattern. The business experiences a spring surge followed by a summer dip, which is typical for outdoor mobility services in markets with seasonal weather.</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Monthly Signup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860"/>
      </w:tblGrid>
      <w:tr>
        <w:trPr>
          <w:tblHeader/>
        </w:trPr>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Month</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New Users</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MoM Growth</w:t>
            </w:r>
          </w:p>
        </w:tc>
        <w:tc>
          <w:tcPr>
            <w:tcW w:type="dxa" w:w="4860"/>
            <w:tcBorders>
              <w:top w:val="single" w:color="1A3C5E" w:sz="1"/>
              <w:left w:val="single" w:color="1A3C5E" w:sz="1"/>
              <w:bottom w:val="single" w:color="1A3C5E" w:sz="1"/>
              <w:right w:val="single" w:color="1A3C5E" w:sz="1"/>
            </w:tcBorders>
            <w:shd w:fill="1A3C5E"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Signal</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January</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96</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w:t>
            </w:r>
          </w:p>
        </w:tc>
        <w:tc>
          <w:tcPr>
            <w:tcW w:type="dxa" w:w="4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Baseline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February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83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–13.5%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Post-holiday drop</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March</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74</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–10.8%</w:t>
            </w:r>
          </w:p>
        </w:tc>
        <w:tc>
          <w:tcPr>
            <w:tcW w:type="dxa" w:w="4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Continued decline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April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79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+6.8%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Early spring recovery</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May</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97</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+22.8%</w:t>
            </w:r>
          </w:p>
        </w:tc>
        <w:tc>
          <w:tcPr>
            <w:tcW w:type="dxa" w:w="4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Peak — best month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June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89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–8.2%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Slight pullback</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July</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72</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–19.1%</w:t>
            </w:r>
          </w:p>
        </w:tc>
        <w:tc>
          <w:tcPr>
            <w:tcW w:type="dxa" w:w="4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Worst month — needs campaign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August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87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+20.8%</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Strong recovery</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September</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85</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–2.3%</w:t>
            </w:r>
          </w:p>
        </w:tc>
        <w:tc>
          <w:tcPr>
            <w:tcW w:type="dxa" w:w="4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Stable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October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76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Autumn decline</w:t>
            </w:r>
          </w:p>
        </w:tc>
      </w:tr>
      <w:tr>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November</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81</w:t>
            </w:r>
          </w:p>
        </w:tc>
        <w:tc>
          <w:tcPr>
            <w:tcW w:type="dxa" w:w="15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+6.6%</w:t>
            </w:r>
          </w:p>
        </w:tc>
        <w:tc>
          <w:tcPr>
            <w:tcW w:type="dxa" w:w="48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pPr>
              <w:jc w:val="center"/>
            </w:pPr>
            <w:r>
              <w:rPr>
                <w:rFonts w:ascii="Arial" w:cs="Arial" w:eastAsia="Arial" w:hAnsi="Arial"/>
                <w:color w:val="2C3E50"/>
                <w:sz w:val="20"/>
                <w:szCs w:val="20"/>
              </w:rPr>
              <w:t xml:space="preserve">Slight recovery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December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Flat — year end</w:t>
            </w:r>
          </w:p>
        </w:tc>
      </w:tr>
    </w:tbl>
    <w:p>
      <w:pPr>
        <w:spacing w:before="60" w:after="60"/>
      </w:pPr>
      <w:r>
        <w:t xml:space="preserve"/>
      </w:r>
    </w:p>
    <w:p>
      <w:pPr>
        <w:pStyle w:val="ListParagraph"/>
        <w:numPr>
          <w:ilvl w:val="0"/>
          <w:numId w:val="2"/>
        </w:numPr>
        <w:spacing w:before="60" w:after="60"/>
      </w:pPr>
      <w:r>
        <w:rPr>
          <w:rFonts w:ascii="Arial" w:cs="Arial" w:eastAsia="Arial" w:hAnsi="Arial"/>
          <w:b/>
          <w:bCs/>
          <w:sz w:val="22"/>
          <w:szCs w:val="22"/>
        </w:rPr>
        <w:t xml:space="preserve">Spring Surge: </w:t>
      </w:r>
      <w:r>
        <w:rPr>
          <w:rFonts w:ascii="Arial" w:cs="Arial" w:eastAsia="Arial" w:hAnsi="Arial"/>
          <w:sz w:val="22"/>
          <w:szCs w:val="22"/>
        </w:rPr>
        <w:t xml:space="preserve">May is the strongest growth month at +22.8%. This is the natural acquisition window — marketing spend should be front-loaded here.</w:t>
      </w:r>
    </w:p>
    <w:p>
      <w:pPr>
        <w:pStyle w:val="ListParagraph"/>
        <w:numPr>
          <w:ilvl w:val="0"/>
          <w:numId w:val="2"/>
        </w:numPr>
        <w:spacing w:before="60" w:after="60"/>
      </w:pPr>
      <w:r>
        <w:rPr>
          <w:rFonts w:ascii="Arial" w:cs="Arial" w:eastAsia="Arial" w:hAnsi="Arial"/>
          <w:b/>
          <w:bCs/>
          <w:sz w:val="22"/>
          <w:szCs w:val="22"/>
        </w:rPr>
        <w:t xml:space="preserve">Summer Dip: </w:t>
      </w:r>
      <w:r>
        <w:rPr>
          <w:rFonts w:ascii="Arial" w:cs="Arial" w:eastAsia="Arial" w:hAnsi="Arial"/>
          <w:sz w:val="22"/>
          <w:szCs w:val="22"/>
        </w:rPr>
        <w:t xml:space="preserve">July drops –19.1% despite being peak riding season. This suggests acquisition is failing, not demand — users are riding but not signing up.</w:t>
      </w:r>
    </w:p>
    <w:p>
      <w:pPr>
        <w:pStyle w:val="ListParagraph"/>
        <w:numPr>
          <w:ilvl w:val="0"/>
          <w:numId w:val="2"/>
        </w:numPr>
        <w:spacing w:before="60" w:after="60"/>
      </w:pPr>
      <w:r>
        <w:rPr>
          <w:rFonts w:ascii="Arial" w:cs="Arial" w:eastAsia="Arial" w:hAnsi="Arial"/>
          <w:b/>
          <w:bCs/>
          <w:sz w:val="22"/>
          <w:szCs w:val="22"/>
        </w:rPr>
        <w:t xml:space="preserve">Consistent Baseline: </w:t>
      </w:r>
      <w:r>
        <w:rPr>
          <w:rFonts w:ascii="Arial" w:cs="Arial" w:eastAsia="Arial" w:hAnsi="Arial"/>
          <w:sz w:val="22"/>
          <w:szCs w:val="22"/>
        </w:rPr>
        <w:t xml:space="preserve">November and December hold steady at 81 users each — suggesting a loyal core user base that does not churn seasonally.</w:t>
      </w:r>
    </w:p>
    <w:p>
      <w:pPr>
        <w:spacing w:before="60" w:after="60"/>
      </w:pPr>
      <w:r>
        <w:t xml:space="preserve"/>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Launch a July acquisition campaign specifically targeting casual riders who are already active but not signed up. Offer a limited-time summer subscription discount.</w:t>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Invest heaviest in marketing during April and May when organic interest is highest and cost-per-acquisition is naturally lower.</w:t>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Investigate the January baseline (96 users) — this is surprisingly strong for a winter month and may indicate a New Year resolution effect worth amplifying with a January campaign.</w:t>
      </w:r>
    </w:p>
    <w:p>
      <w:pPr>
        <w:spacing w:before="60" w:after="60"/>
      </w:pPr>
      <w:r>
        <w:t xml:space="preserve"/>
      </w:r>
    </w:p>
    <w:p>
      <w:pPr>
        <w:pBdr>
          <w:bottom w:val="single" w:color="CCCCCC" w:sz="4" w:space="1"/>
        </w:pBdr>
        <w:spacing w:before="200" w:after="200"/>
      </w:pPr>
      <w:r>
        <w:t xml:space="preserve"/>
      </w:r>
    </w:p>
    <w:p>
      <w:pPr>
        <w:pStyle w:val="Heading1"/>
        <w:spacing w:before="400" w:after="160"/>
      </w:pPr>
      <w:r>
        <w:rPr>
          <w:rFonts w:ascii="Arial" w:cs="Arial" w:eastAsia="Arial" w:hAnsi="Arial"/>
          <w:b/>
          <w:bCs/>
          <w:color w:val="1A3C5E"/>
          <w:sz w:val="32"/>
          <w:szCs w:val="32"/>
        </w:rPr>
        <w:t xml:space="preserve">Final Recommendations</w:t>
      </w:r>
    </w:p>
    <w:p>
      <w:pPr>
        <w:pStyle w:val="Heading2"/>
        <w:spacing w:before="280" w:after="120"/>
      </w:pPr>
      <w:r>
        <w:rPr>
          <w:rFonts w:ascii="Arial" w:cs="Arial" w:eastAsia="Arial" w:hAnsi="Arial"/>
          <w:b/>
          <w:bCs/>
          <w:color w:val="2E6DA4"/>
          <w:sz w:val="26"/>
          <w:szCs w:val="26"/>
        </w:rPr>
        <w:t xml:space="preserve">1. Operations</w:t>
      </w:r>
    </w:p>
    <w:p>
      <w:pPr>
        <w:pStyle w:val="ListParagraph"/>
        <w:numPr>
          <w:ilvl w:val="0"/>
          <w:numId w:val="2"/>
        </w:numPr>
        <w:spacing w:before="60" w:after="60"/>
      </w:pPr>
      <w:r>
        <w:rPr>
          <w:rFonts w:ascii="Arial" w:cs="Arial" w:eastAsia="Arial" w:hAnsi="Arial"/>
          <w:b/>
          <w:bCs/>
          <w:sz w:val="22"/>
          <w:szCs w:val="22"/>
        </w:rPr>
        <w:t xml:space="preserve">Rebalancing schedule: </w:t>
      </w:r>
      <w:r>
        <w:rPr>
          <w:rFonts w:ascii="Arial" w:cs="Arial" w:eastAsia="Arial" w:hAnsi="Arial"/>
          <w:sz w:val="22"/>
          <w:szCs w:val="22"/>
        </w:rPr>
        <w:t xml:space="preserve">Deploy trucks between 10 AM and 2 PM daily. Priority route: Jennifer Land St → Amy Park St.</w:t>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Implement dynamic pricing incentives to crowdsource bike rebalancing at zero operational cost.</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2. Product &amp; Membership</w:t>
      </w:r>
    </w:p>
    <w:p>
      <w:pPr>
        <w:pStyle w:val="ListParagraph"/>
        <w:numPr>
          <w:ilvl w:val="0"/>
          <w:numId w:val="2"/>
        </w:numPr>
        <w:spacing w:before="60" w:after="60"/>
      </w:pPr>
      <w:r>
        <w:rPr>
          <w:rFonts w:ascii="Arial" w:cs="Arial" w:eastAsia="Arial" w:hAnsi="Arial"/>
          <w:b/>
          <w:bCs/>
          <w:sz w:val="22"/>
          <w:szCs w:val="22"/>
        </w:rPr>
        <w:t xml:space="preserve">Weekend Explorer Pass: </w:t>
      </w:r>
      <w:r>
        <w:rPr>
          <w:rFonts w:ascii="Arial" w:cs="Arial" w:eastAsia="Arial" w:hAnsi="Arial"/>
          <w:sz w:val="22"/>
          <w:szCs w:val="22"/>
        </w:rPr>
        <w:t xml:space="preserve">Target casual users with weekend bundle pricing to increase ride frequency.</w:t>
      </w:r>
    </w:p>
    <w:p>
      <w:pPr>
        <w:pStyle w:val="ListParagraph"/>
        <w:numPr>
          <w:ilvl w:val="0"/>
          <w:numId w:val="2"/>
        </w:numPr>
        <w:spacing w:before="60" w:after="60"/>
      </w:pPr>
      <w:r>
        <w:rPr>
          <w:rFonts w:ascii="Arial" w:cs="Arial" w:eastAsia="Arial" w:hAnsi="Arial"/>
          <w:b/>
          <w:bCs/>
          <w:sz w:val="22"/>
          <w:szCs w:val="22"/>
        </w:rPr>
        <w:t xml:space="preserve">Commuter Loyalty Programme: </w:t>
      </w:r>
      <w:r>
        <w:rPr>
          <w:rFonts w:ascii="Arial" w:cs="Arial" w:eastAsia="Arial" w:hAnsi="Arial"/>
          <w:sz w:val="22"/>
          <w:szCs w:val="22"/>
        </w:rPr>
        <w:t xml:space="preserve">Reward daily subscribers with streaks and milestones to reduce churn.</w:t>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A/B test a discounted annual pass offer in April — highest conversion likelihood before the May surge.</w:t>
      </w:r>
    </w:p>
    <w:p>
      <w:pPr>
        <w:spacing w:before="60" w:after="60"/>
      </w:pPr>
      <w:r>
        <w:t xml:space="preserve"/>
      </w:r>
    </w:p>
    <w:p>
      <w:pPr>
        <w:pStyle w:val="Heading2"/>
        <w:spacing w:before="280" w:after="120"/>
      </w:pPr>
      <w:r>
        <w:rPr>
          <w:rFonts w:ascii="Arial" w:cs="Arial" w:eastAsia="Arial" w:hAnsi="Arial"/>
          <w:b/>
          <w:bCs/>
          <w:color w:val="2E6DA4"/>
          <w:sz w:val="26"/>
          <w:szCs w:val="26"/>
        </w:rPr>
        <w:t xml:space="preserve">3. Growth &amp; Marketing</w:t>
      </w:r>
    </w:p>
    <w:p>
      <w:pPr>
        <w:pStyle w:val="ListParagraph"/>
        <w:numPr>
          <w:ilvl w:val="0"/>
          <w:numId w:val="2"/>
        </w:numPr>
        <w:spacing w:before="60" w:after="60"/>
      </w:pPr>
      <w:r>
        <w:rPr>
          <w:rFonts w:ascii="Arial" w:cs="Arial" w:eastAsia="Arial" w:hAnsi="Arial"/>
          <w:b/>
          <w:bCs/>
          <w:sz w:val="22"/>
          <w:szCs w:val="22"/>
        </w:rPr>
        <w:t xml:space="preserve">July Campaign: </w:t>
      </w:r>
      <w:r>
        <w:rPr>
          <w:rFonts w:ascii="Arial" w:cs="Arial" w:eastAsia="Arial" w:hAnsi="Arial"/>
          <w:sz w:val="22"/>
          <w:szCs w:val="22"/>
        </w:rPr>
        <w:t xml:space="preserve">Recover the –19.1% July dip with a targeted summer sign-up promotion for active but unregistered riders.</w:t>
      </w:r>
    </w:p>
    <w:p>
      <w:pPr>
        <w:pStyle w:val="ListParagraph"/>
        <w:numPr>
          <w:ilvl w:val="0"/>
          <w:numId w:val="2"/>
        </w:numPr>
        <w:spacing w:before="60" w:after="60"/>
      </w:pPr>
      <w:r>
        <w:rPr>
          <w:rFonts w:ascii="Arial" w:cs="Arial" w:eastAsia="Arial" w:hAnsi="Arial"/>
          <w:b/>
          <w:bCs/>
          <w:sz w:val="22"/>
          <w:szCs w:val="22"/>
        </w:rPr>
        <w:t xml:space="preserve">May Investment: </w:t>
      </w:r>
      <w:r>
        <w:rPr>
          <w:rFonts w:ascii="Arial" w:cs="Arial" w:eastAsia="Arial" w:hAnsi="Arial"/>
          <w:sz w:val="22"/>
          <w:szCs w:val="22"/>
        </w:rPr>
        <w:t xml:space="preserve">Front-load marketing budget in May to capitalise on peak organic acquisition intent.</w:t>
      </w:r>
    </w:p>
    <w:p>
      <w:pPr>
        <w:pStyle w:val="ListParagraph"/>
        <w:numPr>
          <w:ilvl w:val="0"/>
          <w:numId w:val="3"/>
        </w:numPr>
        <w:spacing w:before="40" w:after="40"/>
      </w:pPr>
      <w:r>
        <w:rPr>
          <w:rFonts w:ascii="Arial" w:cs="Arial" w:eastAsia="Arial" w:hAnsi="Arial"/>
          <w:b/>
          <w:bCs/>
          <w:i/>
          <w:iCs/>
          <w:color w:val="C0392B"/>
          <w:sz w:val="21"/>
          <w:szCs w:val="21"/>
        </w:rPr>
        <w:t xml:space="preserve">Action: </w:t>
      </w:r>
      <w:r>
        <w:rPr>
          <w:rFonts w:ascii="Arial" w:cs="Arial" w:eastAsia="Arial" w:hAnsi="Arial"/>
          <w:i/>
          <w:iCs/>
          <w:sz w:val="21"/>
          <w:szCs w:val="21"/>
        </w:rPr>
        <w:t xml:space="preserve">Build a referral programme — existing commuter subscribers are the highest-trust acquisition channel for new commuter users.</w:t>
      </w:r>
    </w:p>
    <w:p>
      <w:pPr>
        <w:spacing w:before="60" w:after="60"/>
      </w:pPr>
      <w:r>
        <w:t xml:space="preserve"/>
      </w:r>
    </w:p>
    <w:p>
      <w:pPr>
        <w:pBdr>
          <w:bottom w:val="single" w:color="CCCCCC" w:sz="4" w:space="1"/>
        </w:pBdr>
        <w:spacing w:before="200" w:after="200"/>
      </w:pPr>
      <w:r>
        <w:t xml:space="preserve"/>
      </w:r>
    </w:p>
    <w:p>
      <w:pPr>
        <w:spacing w:before="240" w:after="0"/>
        <w:jc w:val="center"/>
      </w:pPr>
      <w:r>
        <w:rPr>
          <w:rFonts w:ascii="Arial" w:cs="Arial" w:eastAsia="Arial" w:hAnsi="Arial"/>
          <w:i/>
          <w:iCs/>
          <w:color w:val="AAAAAA"/>
          <w:sz w:val="18"/>
          <w:szCs w:val="18"/>
        </w:rPr>
        <w:t xml:space="preserve">Analysis performed using Google BigQuery SQL  |  Dataset: riders, stations, users  |  Author: Data Analytics Project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UrbanRoll Bike Share Analysis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2026-03-17T12:17:00.960Z</dcterms:created>
  <dcterms:modified xsi:type="dcterms:W3CDTF">2026-03-17T12:17:00.961Z</dcterms:modified>
</cp:coreProperties>
</file>

<file path=docProps/custom.xml><?xml version="1.0" encoding="utf-8"?>
<Properties xmlns="http://schemas.openxmlformats.org/officeDocument/2006/custom-properties" xmlns:vt="http://schemas.openxmlformats.org/officeDocument/2006/docPropsVTypes"/>
</file>