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A40" w:rsidRDefault="007D2A40" w:rsidP="007D2A40">
      <w:pPr>
        <w:pBdr>
          <w:top w:val="single" w:sz="48" w:space="1" w:color="767171" w:themeColor="background2" w:themeShade="80"/>
          <w:left w:val="single" w:sz="48" w:space="4" w:color="767171" w:themeColor="background2" w:themeShade="80"/>
          <w:bottom w:val="single" w:sz="48" w:space="1" w:color="767171" w:themeColor="background2" w:themeShade="80"/>
          <w:right w:val="single" w:sz="48" w:space="4" w:color="767171" w:themeColor="background2" w:themeShade="80"/>
        </w:pBdr>
        <w:shd w:val="clear" w:color="auto" w:fill="CC0066"/>
        <w:jc w:val="center"/>
        <w:rPr>
          <w:rFonts w:ascii="Tw Cen MT Condensed Extra Bold" w:hAnsi="Tw Cen MT Condensed Extra Bold"/>
          <w:color w:val="FFFFFF" w:themeColor="background1"/>
          <w:sz w:val="144"/>
          <w:szCs w:val="144"/>
        </w:rPr>
      </w:pPr>
      <w:r w:rsidRPr="007D2A40">
        <w:rPr>
          <w:rFonts w:ascii="Tw Cen MT Condensed Extra Bold" w:hAnsi="Tw Cen MT Condensed Extra Bold"/>
          <w:color w:val="FFFFFF" w:themeColor="background1"/>
          <w:sz w:val="144"/>
          <w:szCs w:val="144"/>
        </w:rPr>
        <w:t xml:space="preserve">Subasta</w:t>
      </w:r>
      <w:r w:rsidR="00615276">
        <w:rPr>
          <w:rFonts w:ascii="Tw Cen MT Condensed Extra Bold" w:hAnsi="Tw Cen MT Condensed Extra Bold"/>
          <w:color w:val="FFFFFF" w:themeColor="background1"/>
          <w:sz w:val="144"/>
          <w:szCs w:val="144"/>
        </w:rPr>
        <w:t xml:space="preserve"> </w:t>
      </w:r>
      <w:r w:rsidRPr="007D2A40">
        <w:rPr>
          <w:rFonts w:ascii="Tw Cen MT Condensed Extra Bold" w:hAnsi="Tw Cen MT Condensed Extra Bold"/>
          <w:color w:val="FFFFFF" w:themeColor="background1"/>
          <w:sz w:val="144"/>
          <w:szCs w:val="144"/>
        </w:rPr>
        <w:t xml:space="preserve">benéfica</w:t>
      </w:r>
    </w:p>
    <w:p w:rsidR="007D2A40" w:rsidRDefault="007D2A40" w:rsidP="007D2A40">
      <w:pPr>
        <w:rPr>
          <w:rFonts w:ascii="Tw Cen MT Condensed Extra Bold" w:hAnsi="Tw Cen MT Condensed Extra Bold"/>
          <w:sz w:val="144"/>
          <w:szCs w:val="144"/>
        </w:rPr>
      </w:pPr>
      <w:r>
        <w:rPr>
          <w:rFonts w:ascii="Tw Cen MT Condensed Extra Bold" w:hAnsi="Tw Cen MT Condensed Extra Bold"/>
          <w:noProof/>
          <w:sz w:val="144"/>
          <w:szCs w:val="144"/>
          <w:lang w:eastAsia="es-ES"/>
        </w:rPr>
        <w:drawing>
          <wp:inline distT="0" distB="0" distL="0" distR="0">
            <wp:extent cx="5400040" cy="3150235"/>
            <wp:effectExtent l="0" t="1905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C5CDC" w:rsidRDefault="000C5CDC" w:rsidP="007D2A40">
      <w:pPr>
        <w:jc w:val="center"/>
        <w:rPr>
          <w:rFonts w:ascii="Tw Cen MT Condensed Extra Bold" w:hAnsi="Tw Cen MT Condensed Extra Bold"/>
          <w:i/>
          <w:color w:val="CC0066"/>
          <w:sz w:val="96"/>
          <w:szCs w:val="96"/>
          <w:lang w:val="en-US"/>
        </w:rPr>
      </w:pPr>
    </w:p>
    <w:p w:rsidR="007D2A40" w:rsidRDefault="007D2A40" w:rsidP="007D2A40">
      <w:pPr>
        <w:jc w:val="center"/>
        <w:rPr>
          <w:rFonts w:ascii="Tw Cen MT Condensed Extra Bold" w:hAnsi="Tw Cen MT Condensed Extra Bold"/>
          <w:i/>
          <w:color w:val="CC0066"/>
          <w:sz w:val="96"/>
          <w:szCs w:val="96"/>
          <w:lang w:val="en-US"/>
        </w:rPr>
      </w:pPr>
      <w:r w:rsidRPr="007D2A40">
        <w:rPr>
          <w:rFonts w:ascii="Tw Cen MT Condensed Extra Bold" w:hAnsi="Tw Cen MT Condensed Extra Bold"/>
          <w:i/>
          <w:color w:val="CC0066"/>
          <w:sz w:val="96"/>
          <w:szCs w:val="96"/>
          <w:lang w:val="en-US"/>
        </w:rPr>
        <w:t xml:space="preserve">¡ÚNETE A NOSOTROS EN ESTA CAUSA SOLIDARIA!</w:t>
      </w:r>
    </w:p>
    <w:p w:rsidR="000C5CDC" w:rsidRPr="00CB3FEF" w:rsidRDefault="000C5CDC" w:rsidP="00F605F8">
      <w:pPr>
        <w:pStyle w:val="ProposalBody"/>
      </w:pPr>
      <w:r w:rsidRPr="00CB3FEF">
        <w:lastRenderedPageBreak/>
        <w:t xml:space="preserve">¿Tienes </w:t>
      </w:r>
      <w:r>
        <w:t xml:space="preserve">algún</w:t>
      </w:r>
      <w:r w:rsidRPr="00CB3FEF">
        <w:t xml:space="preserve"> objeto nuevo o casi nuevo o antigüedades guardadas, esperando a la ocasión perfecta? ¿Qué </w:t>
      </w:r>
      <w:r>
        <w:t xml:space="preserve">te parecería donarlo o </w:t>
      </w:r>
      <w:r w:rsidRPr="00F605F8">
        <w:t xml:space="preserve">participar como voluntario</w:t>
      </w:r>
      <w:r>
        <w:t xml:space="preserve"> por una causa que beneficiará a la humanidad?</w:t>
      </w:r>
    </w:p>
    <w:p w:rsidR="000C5CDC" w:rsidRDefault="000C5CDC" w:rsidP="00903F6A">
      <w:pPr>
        <w:pStyle w:val="ProposalBody"/>
      </w:pPr>
      <w:r>
        <w:t xml:space="preserve">Únete a nosotros para que la Q</w:t>
      </w:r>
      <w:r w:rsidRPr="00CB3FEF">
        <w:t xml:space="preserve">uinta </w:t>
      </w:r>
      <w:r>
        <w:t xml:space="preserve">S</w:t>
      </w:r>
      <w:r w:rsidRPr="00CB3FEF">
        <w:t xml:space="preserve">ubasta </w:t>
      </w:r>
      <w:r>
        <w:t xml:space="preserve">Solidaria </w:t>
      </w:r>
      <w:r w:rsidRPr="00CB3FEF">
        <w:t xml:space="preserve">de Knoll Springs</w:t>
      </w:r>
      <w:r>
        <w:t xml:space="preserve"> sea un éxito</w:t>
      </w:r>
      <w:r w:rsidRPr="00CB3FEF">
        <w:t xml:space="preserve">. </w:t>
      </w:r>
      <w:r w:rsidRPr="00CB3FEF">
        <w:rPr>
          <w:u w:val="single"/>
        </w:rPr>
        <w:t xml:space="preserve">Todos</w:t>
      </w:r>
      <w:r w:rsidRPr="00CB3FEF">
        <w:t xml:space="preserve"> los beneficios de la subasta </w:t>
      </w:r>
      <w:r>
        <w:t xml:space="preserve">irán destinados a ONGs relacionadas con la salud</w:t>
      </w:r>
      <w:r w:rsidRPr="00CB3FEF">
        <w:t xml:space="preserve">. Los fodos recaudados los cuatro años anteriores fueron fantásticos, como se ve en la siguietne tabla y el gráfico:</w:t>
      </w:r>
    </w:p>
    <w:p w:rsidR="000C5CDC" w:rsidRPr="00615276" w:rsidRDefault="000C5CDC" w:rsidP="004300BA">
      <w:pPr>
        <w:pStyle w:val="ProposalBody"/>
        <w:ind w:firstLine="0"/>
        <w:jc w:val="center"/>
        <w:rPr>
          <w:b/>
          <w:color w:val="FF0066"/>
        </w:rPr>
      </w:pPr>
      <w:r w:rsidRPr="00615276">
        <w:rPr>
          <w:b/>
          <w:color w:val="FF0066"/>
        </w:rPr>
        <w:t xml:space="preserve">Distribución de la subasta entre las organizaciones elegidas</w:t>
      </w:r>
    </w:p>
    <w:tbl>
      <w:tblPr>
        <w:tblStyle w:val="Tablaconcuadrcula"/>
        <w:tblW w:w="8069" w:type="dxa"/>
        <w:jc w:val="center"/>
        <w:tblLook w:val="06E0"/>
      </w:tblPr>
      <w:tblGrid>
        <w:gridCol w:w="1971"/>
        <w:gridCol w:w="2304"/>
        <w:gridCol w:w="1897"/>
        <w:gridCol w:w="1897"/>
      </w:tblGrid>
      <w:tr w:rsidR="00DC33EE" w:rsidTr="004D04F6">
        <w:trPr>
          <w:trHeight w:val="78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66"/>
          </w:tcPr>
          <w:p w:rsidR="00DC33EE" w:rsidRDefault="00DC33EE" w:rsidP="00B20787">
            <w:pPr>
              <w:rPr>
                <w:sz w:val="32"/>
              </w:rPr>
            </w:pPr>
          </w:p>
          <w:p w:rsidR="00DC33EE" w:rsidRDefault="00DC33EE" w:rsidP="00B20787">
            <w:pPr>
              <w:rPr>
                <w:sz w:val="32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FF0066"/>
          </w:tcPr>
          <w:p w:rsidR="00DC33EE" w:rsidRPr="004D04F6" w:rsidRDefault="00DC33EE" w:rsidP="004D04F6">
            <w:pPr>
              <w:jc w:val="center"/>
              <w:rPr>
                <w:color w:val="FFFFFF" w:themeColor="background1"/>
                <w:sz w:val="32"/>
              </w:rPr>
            </w:pPr>
            <w:r w:rsidRPr="004D04F6">
              <w:rPr>
                <w:color w:val="FFFFFF" w:themeColor="background1"/>
                <w:sz w:val="32"/>
              </w:rPr>
              <w:t xml:space="preserve">Cancer</w:t>
            </w:r>
          </w:p>
          <w:p w:rsidR="00DC33EE" w:rsidRPr="004D04F6" w:rsidRDefault="00DC33EE" w:rsidP="004D04F6">
            <w:pPr>
              <w:jc w:val="center"/>
              <w:rPr>
                <w:color w:val="FFFFFF" w:themeColor="background1"/>
                <w:sz w:val="32"/>
              </w:rPr>
            </w:pPr>
            <w:r w:rsidRPr="004D04F6">
              <w:rPr>
                <w:color w:val="FFFFFF" w:themeColor="background1"/>
                <w:sz w:val="32"/>
              </w:rPr>
              <w:t xml:space="preserve">Alliance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66"/>
          </w:tcPr>
          <w:p w:rsidR="00DC33EE" w:rsidRPr="004D04F6" w:rsidRDefault="00DC33EE" w:rsidP="004D04F6">
            <w:pPr>
              <w:jc w:val="center"/>
              <w:rPr>
                <w:color w:val="FFFFFF" w:themeColor="background1"/>
                <w:sz w:val="32"/>
              </w:rPr>
            </w:pPr>
            <w:r w:rsidRPr="004D04F6">
              <w:rPr>
                <w:color w:val="FFFFFF" w:themeColor="background1"/>
                <w:sz w:val="32"/>
              </w:rPr>
              <w:t xml:space="preserve">Diabetes</w:t>
            </w:r>
          </w:p>
          <w:p w:rsidR="00DC33EE" w:rsidRPr="004D04F6" w:rsidRDefault="00DC33EE" w:rsidP="004D04F6">
            <w:pPr>
              <w:jc w:val="center"/>
              <w:rPr>
                <w:color w:val="FFFFFF" w:themeColor="background1"/>
                <w:sz w:val="32"/>
              </w:rPr>
            </w:pPr>
            <w:r w:rsidRPr="004D04F6">
              <w:rPr>
                <w:color w:val="FFFFFF" w:themeColor="background1"/>
                <w:sz w:val="32"/>
              </w:rPr>
              <w:t xml:space="preserve">Liga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66"/>
          </w:tcPr>
          <w:p w:rsidR="00DC33EE" w:rsidRPr="004D04F6" w:rsidRDefault="00DC33EE" w:rsidP="004D04F6">
            <w:pPr>
              <w:jc w:val="center"/>
              <w:rPr>
                <w:color w:val="FFFFFF" w:themeColor="background1"/>
                <w:sz w:val="32"/>
              </w:rPr>
            </w:pPr>
            <w:r w:rsidRPr="004D04F6">
              <w:rPr>
                <w:color w:val="FFFFFF" w:themeColor="background1"/>
                <w:sz w:val="32"/>
              </w:rPr>
              <w:t xml:space="preserve">Corazón</w:t>
            </w:r>
          </w:p>
          <w:p w:rsidR="00DC33EE" w:rsidRPr="004D04F6" w:rsidRDefault="00DC33EE" w:rsidP="004D04F6">
            <w:pPr>
              <w:jc w:val="center"/>
              <w:rPr>
                <w:color w:val="FFFFFF" w:themeColor="background1"/>
                <w:sz w:val="32"/>
              </w:rPr>
            </w:pPr>
            <w:r w:rsidRPr="004D04F6">
              <w:rPr>
                <w:color w:val="FFFFFF" w:themeColor="background1"/>
                <w:sz w:val="32"/>
              </w:rPr>
              <w:t xml:space="preserve">Sociedad</w:t>
            </w:r>
          </w:p>
        </w:tc>
      </w:tr>
      <w:tr w:rsidR="00DC33EE" w:rsidTr="004D04F6">
        <w:trPr>
          <w:trHeight w:val="3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B20787">
            <w:pPr>
              <w:rPr>
                <w:sz w:val="32"/>
              </w:rPr>
            </w:pPr>
            <w:r>
              <w:rPr>
                <w:sz w:val="32"/>
              </w:rPr>
              <w:t xml:space="preserve">1</w:t>
            </w:r>
            <w:r w:rsidRPr="009D10B8">
              <w:rPr>
                <w:sz w:val="32"/>
                <w:vertAlign w:val="superscript"/>
              </w:rPr>
              <w:t xml:space="preserve">st</w:t>
            </w:r>
            <w:r>
              <w:rPr>
                <w:sz w:val="32"/>
              </w:rPr>
              <w:t xml:space="preserve">Subasta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$4,383.23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$4,286.09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$5,383.38</w:t>
            </w:r>
          </w:p>
        </w:tc>
      </w:tr>
      <w:tr w:rsidR="00DC33EE" w:rsidTr="004D04F6">
        <w:trPr>
          <w:trHeight w:val="3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B20787">
            <w:pPr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 w:rsidRPr="009D10B8">
              <w:rPr>
                <w:sz w:val="32"/>
                <w:vertAlign w:val="superscript"/>
              </w:rPr>
              <w:t xml:space="preserve">nd</w:t>
            </w:r>
            <w:r>
              <w:rPr>
                <w:sz w:val="32"/>
              </w:rPr>
              <w:t xml:space="preserve"> Subasta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$5,271.12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$5,091.27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$5,998.86</w:t>
            </w:r>
          </w:p>
        </w:tc>
      </w:tr>
      <w:tr w:rsidR="00DC33EE" w:rsidTr="004D04F6">
        <w:trPr>
          <w:trHeight w:val="3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B20787">
            <w:pPr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 w:rsidRPr="009D10B8">
              <w:rPr>
                <w:sz w:val="32"/>
                <w:vertAlign w:val="superscript"/>
              </w:rPr>
              <w:t xml:space="preserve">rd</w:t>
            </w:r>
            <w:r>
              <w:rPr>
                <w:sz w:val="32"/>
              </w:rPr>
              <w:t xml:space="preserve">Subasta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$5,889.33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$5,331.67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$6,039.22</w:t>
            </w:r>
          </w:p>
        </w:tc>
      </w:tr>
      <w:tr w:rsidR="00DC33EE" w:rsidTr="004D04F6">
        <w:trPr>
          <w:trHeight w:val="379"/>
          <w:jc w:val="center"/>
        </w:trPr>
        <w:tc>
          <w:tcPr>
            <w:tcW w:w="0" w:type="auto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9D9D9" w:themeFill="background1" w:themeFillShade="D9"/>
          </w:tcPr>
          <w:p w:rsidR="00DC33EE" w:rsidRDefault="00DC33EE" w:rsidP="00B20787">
            <w:pPr>
              <w:rPr>
                <w:sz w:val="32"/>
              </w:rPr>
            </w:pPr>
            <w:r>
              <w:rPr>
                <w:sz w:val="32"/>
              </w:rPr>
              <w:t xml:space="preserve">4</w:t>
            </w:r>
            <w:r w:rsidRPr="009D10B8">
              <w:rPr>
                <w:sz w:val="32"/>
                <w:vertAlign w:val="superscript"/>
              </w:rPr>
              <w:t xml:space="preserve">th</w:t>
            </w:r>
            <w:r>
              <w:rPr>
                <w:sz w:val="32"/>
              </w:rPr>
              <w:t xml:space="preserve"> Subast</w:t>
            </w:r>
            <w:bookmarkStart w:id="0" w:name="_GoBack"/>
            <w:bookmarkEnd w:id="0"/>
            <w:r>
              <w:rPr>
                <w:sz w:val="32"/>
              </w:rPr>
              <w:t xml:space="preserve">a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$6,553.21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$6,211.28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9D9D9" w:themeFill="background1" w:themeFillShade="D9"/>
          </w:tcPr>
          <w:p w:rsidR="00DC33EE" w:rsidRDefault="00DC33EE" w:rsidP="00F605F8">
            <w:pPr>
              <w:rPr>
                <w:sz w:val="32"/>
              </w:rPr>
            </w:pPr>
            <w:r>
              <w:rPr>
                <w:sz w:val="32"/>
              </w:rPr>
              <w:t xml:space="preserve">$7,182.32</w:t>
            </w:r>
          </w:p>
        </w:tc>
      </w:tr>
      <w:tr w:rsidR="00DC33EE" w:rsidRPr="004D04F6" w:rsidTr="004D04F6">
        <w:trPr>
          <w:trHeight w:val="379"/>
          <w:jc w:val="center"/>
        </w:trPr>
        <w:tc>
          <w:tcPr>
            <w:tcW w:w="0" w:type="auto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DC33EE" w:rsidRPr="004D04F6" w:rsidRDefault="00DC33EE" w:rsidP="00B20787">
            <w:pPr>
              <w:rPr>
                <w:color w:val="FF0066"/>
                <w:sz w:val="32"/>
              </w:rPr>
            </w:pPr>
            <w:r w:rsidRPr="004D04F6">
              <w:rPr>
                <w:color w:val="FF0066"/>
                <w:sz w:val="32"/>
              </w:rPr>
              <w:t xml:space="preserve">Total</w:t>
            </w:r>
          </w:p>
        </w:tc>
        <w:tc>
          <w:tcPr>
            <w:tcW w:w="2304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DC33EE" w:rsidRPr="004D04F6" w:rsidRDefault="004D04F6" w:rsidP="00F605F8">
            <w:pPr>
              <w:rPr>
                <w:color w:val="FF0066"/>
                <w:sz w:val="32"/>
              </w:rPr>
            </w:pPr>
            <w:r w:rsidRPr="004D04F6">
              <w:rPr>
                <w:color w:val="FF0066"/>
                <w:sz w:val="32"/>
              </w:rPr>
              <w:t xml:space="preserve">$</w:t>
            </w:r>
            <w:r w:rsidRPr="004D04F6">
              <w:rPr>
                <w:color w:val="FF0066"/>
                <w:sz w:val="32"/>
              </w:rPr>
              <w:fldChar w:fldCharType="begin"/>
            </w:r>
            <w:r w:rsidRPr="004D04F6">
              <w:rPr>
                <w:color w:val="FF0066"/>
                <w:sz w:val="32"/>
              </w:rPr>
              <w:instrText xml:space="preserve"> =SUM(ENCIMA) </w:instrText>
            </w:r>
            <w:r w:rsidRPr="004D04F6">
              <w:rPr>
                <w:color w:val="FF0066"/>
                <w:sz w:val="32"/>
              </w:rPr>
              <w:fldChar w:fldCharType="separate"/>
            </w:r>
            <w:r w:rsidRPr="004D04F6">
              <w:rPr>
                <w:noProof/>
                <w:color w:val="FF0066"/>
                <w:sz w:val="32"/>
              </w:rPr>
              <w:t xml:space="preserve">111,096</w:t>
            </w:r>
            <w:r w:rsidRPr="004D04F6">
              <w:rPr>
                <w:color w:val="FF0066"/>
                <w:sz w:val="32"/>
              </w:rPr>
              <w:fldChar w:fldCharType="end"/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DC33EE" w:rsidRPr="004D04F6" w:rsidRDefault="004D04F6" w:rsidP="00F605F8">
            <w:pPr>
              <w:rPr>
                <w:color w:val="FF0066"/>
                <w:sz w:val="32"/>
              </w:rPr>
            </w:pPr>
            <w:r w:rsidRPr="004D04F6">
              <w:rPr>
                <w:color w:val="FF0066"/>
                <w:sz w:val="32"/>
              </w:rPr>
              <w:t xml:space="preserve">$</w:t>
            </w:r>
            <w:r w:rsidRPr="004D04F6">
              <w:rPr>
                <w:color w:val="FF0066"/>
                <w:sz w:val="32"/>
              </w:rPr>
              <w:fldChar w:fldCharType="begin"/>
            </w:r>
            <w:r w:rsidRPr="004D04F6">
              <w:rPr>
                <w:color w:val="FF0066"/>
                <w:sz w:val="32"/>
              </w:rPr>
              <w:instrText xml:space="preserve"> =SUM(ENCIMA) </w:instrText>
            </w:r>
            <w:r w:rsidRPr="004D04F6">
              <w:rPr>
                <w:color w:val="FF0066"/>
                <w:sz w:val="32"/>
              </w:rPr>
              <w:fldChar w:fldCharType="separate"/>
            </w:r>
            <w:r w:rsidRPr="004D04F6">
              <w:rPr>
                <w:noProof/>
                <w:color w:val="FF0066"/>
                <w:sz w:val="32"/>
              </w:rPr>
              <w:t xml:space="preserve">151,919</w:t>
            </w:r>
            <w:r w:rsidRPr="004D04F6">
              <w:rPr>
                <w:color w:val="FF0066"/>
                <w:sz w:val="32"/>
              </w:rPr>
              <w:fldChar w:fldCharType="end"/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DC33EE" w:rsidRPr="004D04F6" w:rsidRDefault="004D04F6" w:rsidP="00F605F8">
            <w:pPr>
              <w:rPr>
                <w:color w:val="FF0066"/>
                <w:sz w:val="32"/>
              </w:rPr>
            </w:pPr>
            <w:r w:rsidRPr="004D04F6">
              <w:rPr>
                <w:color w:val="FF0066"/>
                <w:sz w:val="32"/>
              </w:rPr>
              <w:t xml:space="preserve">$</w:t>
            </w:r>
            <w:r w:rsidRPr="004D04F6">
              <w:rPr>
                <w:color w:val="FF0066"/>
                <w:sz w:val="32"/>
              </w:rPr>
              <w:fldChar w:fldCharType="begin"/>
            </w:r>
            <w:r w:rsidRPr="004D04F6">
              <w:rPr>
                <w:color w:val="FF0066"/>
                <w:sz w:val="32"/>
              </w:rPr>
              <w:instrText xml:space="preserve"> =SUM(ENCIMA) </w:instrText>
            </w:r>
            <w:r w:rsidRPr="004D04F6">
              <w:rPr>
                <w:color w:val="FF0066"/>
                <w:sz w:val="32"/>
              </w:rPr>
              <w:fldChar w:fldCharType="separate"/>
            </w:r>
            <w:r w:rsidRPr="004D04F6">
              <w:rPr>
                <w:noProof/>
                <w:color w:val="FF0066"/>
                <w:sz w:val="32"/>
              </w:rPr>
              <w:t xml:space="preserve">202,602</w:t>
            </w:r>
            <w:r w:rsidRPr="004D04F6">
              <w:rPr>
                <w:color w:val="FF0066"/>
                <w:sz w:val="32"/>
              </w:rPr>
              <w:fldChar w:fldCharType="end"/>
            </w:r>
          </w:p>
        </w:tc>
      </w:tr>
    </w:tbl>
    <w:p w:rsidR="000C5CDC" w:rsidRDefault="000C5CDC" w:rsidP="000C5CDC">
      <w:pPr>
        <w:pStyle w:val="ProposalBody"/>
      </w:pPr>
      <w:r>
        <w:t xml:space="preserve">Por cada objeto que se venda en la subasta, tanto el comprador como el vendedor pudene elegir a qué organización iran destinados los beneficios . Si el donante y el comprador eligen dos ONGs diferentes, Knoll springs Community Club dividirán los beneficiios al 50 %. Si el donante y el comprardor eligen la misma ONG, la ONG recibirá el 100% de los beneficios.</w:t>
      </w:r>
    </w:p>
    <w:p w:rsidR="00615276" w:rsidRDefault="00615276" w:rsidP="00615276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Los</w:t>
      </w:r>
      <w:r w:rsidR="000C5CDC" w:rsidRPr="000C5CDC">
        <w:rPr>
          <w:sz w:val="32"/>
          <w:szCs w:val="32"/>
          <w:lang w:val="en-US"/>
        </w:rPr>
        <w:t xml:space="preserve">s subastadores wvenderán objetos que estén nuevos, casi nuevos o antigüedades. Las categorías de subasta incluyen, entre otras:</w:t>
      </w:r>
      <w:r>
        <w:rPr>
          <w:sz w:val="32"/>
          <w:szCs w:val="32"/>
          <w:lang w:val="en-US"/>
        </w:rPr>
        <w:t xml:space="preserve"> </w:t>
      </w:r>
    </w:p>
    <w:p w:rsidR="000C5CDC" w:rsidRPr="00615276" w:rsidRDefault="00615276" w:rsidP="00615276">
      <w:pPr>
        <w:ind w:firstLine="708"/>
        <w:rPr>
          <w:sz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• </w:t>
      </w:r>
      <w:r w:rsidR="000C5CDC" w:rsidRPr="00615276">
        <w:rPr>
          <w:b/>
          <w:color w:val="C45911" w:themeColor="accent2" w:themeShade="BF"/>
          <w:sz w:val="32"/>
          <w:lang w:val="en-US"/>
        </w:rPr>
        <w:t xml:space="preserve">Arte:</w:t>
      </w:r>
      <w:r w:rsidR="000C5CDC" w:rsidRPr="00615276">
        <w:rPr>
          <w:sz w:val="32"/>
          <w:lang w:val="en-US"/>
        </w:rPr>
        <w:t xml:space="preserve"> figurillas, cuadros, fotografías, alfarería, estatuas</w:t>
      </w:r>
    </w:p>
    <w:p w:rsidR="000C5CDC" w:rsidRPr="009D10B8" w:rsidRDefault="000C5CDC" w:rsidP="000C5CDC">
      <w:pPr>
        <w:pStyle w:val="Prrafodelista"/>
        <w:numPr>
          <w:ilvl w:val="0"/>
          <w:numId w:val="1"/>
        </w:numPr>
        <w:rPr>
          <w:sz w:val="32"/>
        </w:rPr>
      </w:pPr>
      <w:r w:rsidRPr="009D10B8">
        <w:rPr>
          <w:sz w:val="32"/>
        </w:rPr>
        <w:t xml:space="preserve">Aparatos electrónicos: ordenadores, impresoras, escáneres, cámaras</w:t>
      </w:r>
    </w:p>
    <w:p w:rsidR="000C5CDC" w:rsidRPr="009D10B8" w:rsidRDefault="000C5CDC" w:rsidP="000C5CDC">
      <w:pPr>
        <w:pStyle w:val="Prrafodelista"/>
        <w:numPr>
          <w:ilvl w:val="0"/>
          <w:numId w:val="1"/>
        </w:numPr>
        <w:rPr>
          <w:sz w:val="32"/>
        </w:rPr>
      </w:pPr>
      <w:r w:rsidRPr="009D10B8">
        <w:rPr>
          <w:sz w:val="32"/>
        </w:rPr>
        <w:t xml:space="preserve">Entretenimiento: libros, películas, música, juegos</w:t>
      </w:r>
    </w:p>
    <w:p w:rsidR="000C5CDC" w:rsidRPr="009D10B8" w:rsidRDefault="000C5CDC" w:rsidP="000C5CDC">
      <w:pPr>
        <w:pStyle w:val="Prrafodelista"/>
        <w:numPr>
          <w:ilvl w:val="0"/>
          <w:numId w:val="1"/>
        </w:numPr>
        <w:rPr>
          <w:sz w:val="32"/>
        </w:rPr>
      </w:pPr>
      <w:r w:rsidRPr="009D10B8">
        <w:rPr>
          <w:sz w:val="32"/>
        </w:rPr>
        <w:t xml:space="preserve">Casa y jardín; electrodomésticos, relojes, herramientas</w:t>
      </w:r>
    </w:p>
    <w:p w:rsidR="000C5CDC" w:rsidRPr="009D10B8" w:rsidRDefault="000C5CDC" w:rsidP="000C5CDC">
      <w:pPr>
        <w:pStyle w:val="Prrafodelista"/>
        <w:numPr>
          <w:ilvl w:val="0"/>
          <w:numId w:val="1"/>
        </w:numPr>
        <w:rPr>
          <w:sz w:val="32"/>
        </w:rPr>
      </w:pPr>
      <w:r w:rsidRPr="009D10B8">
        <w:rPr>
          <w:sz w:val="32"/>
        </w:rPr>
        <w:t xml:space="preserve">Equipamiento deportivo: biciletas, palos de golf, tiendas de campaña, lanchas</w:t>
      </w:r>
    </w:p>
    <w:p w:rsidR="000C5CDC" w:rsidRDefault="000C5CDC" w:rsidP="003C69B2">
      <w:pPr>
        <w:pStyle w:val="ProposalBody"/>
      </w:pPr>
      <w:r>
        <w:t xml:space="preserve">También necesitaremos la ayuda de voluntarios antes y durante la subasta, como se muestra en la tabla de abajo:</w:t>
      </w:r>
    </w:p>
    <w:p w:rsidR="000C5CDC" w:rsidRPr="00B20787" w:rsidRDefault="000C5CDC" w:rsidP="009D10B8">
      <w:pPr>
        <w:pStyle w:val="ProposalBody"/>
      </w:pPr>
      <w:r>
        <w:t xml:space="preserve">Si estás interesado en donar o participar como vountario en esta subasta, ponte en contacto con Mark Kane en el 555-3828. ¡Muchas gracias!</w:t>
      </w:r>
    </w:p>
    <w:p w:rsidR="007D2A40" w:rsidRPr="007D2A40" w:rsidRDefault="007D2A40" w:rsidP="000C5CDC">
      <w:pPr>
        <w:rPr>
          <w:rFonts w:ascii="Tw Cen MT Condensed Extra Bold" w:hAnsi="Tw Cen MT Condensed Extra Bold"/>
          <w:i/>
          <w:color w:val="CC0066"/>
          <w:sz w:val="96"/>
          <w:szCs w:val="96"/>
          <w:lang w:val="en-US"/>
        </w:rPr>
      </w:pPr>
    </w:p>
    <w:p w:rsidR="007D2A40" w:rsidRPr="007D2A40" w:rsidRDefault="007D2A40" w:rsidP="007D2A40">
      <w:pPr>
        <w:rPr>
          <w:rFonts w:ascii="Tw Cen MT Condensed Extra Bold" w:hAnsi="Tw Cen MT Condensed Extra Bold"/>
          <w:sz w:val="144"/>
          <w:szCs w:val="144"/>
          <w:lang w:val="en-US"/>
        </w:rPr>
      </w:pPr>
    </w:p>
    <w:sectPr w:rsidR="007D2A40" w:rsidRPr="007D2A40" w:rsidSect="005027B8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B21" w:rsidRDefault="00245B21" w:rsidP="000C5CDC">
      <w:pPr>
        <w:spacing w:after="0" w:line="240" w:lineRule="auto"/>
      </w:pPr>
      <w:r>
        <w:separator/>
      </w:r>
    </w:p>
  </w:endnote>
  <w:endnote w:type="continuationSeparator" w:id="1">
    <w:p w:rsidR="00245B21" w:rsidRDefault="00245B21" w:rsidP="000C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altName w:val="Trebuchet MS"/>
    <w:charset w:val="00"/>
    <w:family w:val="swiss"/>
    <w:pitch w:val="variable"/>
    <w:sig w:usb0="00000001" w:usb1="00000000" w:usb2="00000000" w:usb3="00000000" w:csb0="0000000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2"/>
        <w:szCs w:val="32"/>
      </w:rPr>
      <w:id w:val="412063485"/>
      <w:docPartObj>
        <w:docPartGallery w:val="Page Numbers (Bottom of Page)"/>
        <w:docPartUnique/>
      </w:docPartObj>
    </w:sdtPr>
    <w:sdtContent>
      <w:p w:rsidR="00615276" w:rsidRDefault="00615276" w:rsidP="00615276">
        <w:pPr>
          <w:pStyle w:val="Piedepgina"/>
          <w:pBdr>
            <w:top w:val="single" w:sz="4" w:space="1" w:color="auto"/>
          </w:pBdr>
          <w:jc w:val="right"/>
          <w:rPr>
            <w:sz w:val="32"/>
            <w:szCs w:val="32"/>
          </w:rPr>
        </w:pPr>
      </w:p>
      <w:p w:rsidR="00615276" w:rsidRPr="00615276" w:rsidRDefault="00615276" w:rsidP="00615276">
        <w:pPr>
          <w:pStyle w:val="Piedepgina"/>
          <w:pBdr>
            <w:top w:val="thickThinSmallGap" w:sz="24" w:space="1" w:color="CC0066"/>
          </w:pBdr>
          <w:jc w:val="right"/>
          <w:rPr>
            <w:sz w:val="32"/>
            <w:szCs w:val="32"/>
          </w:rPr>
        </w:pPr>
        <w:r w:rsidRPr="00615276">
          <w:rPr>
            <w:sz w:val="32"/>
            <w:szCs w:val="32"/>
          </w:rPr>
          <w:fldChar w:fldCharType="begin"/>
        </w:r>
        <w:r w:rsidRPr="00615276">
          <w:rPr>
            <w:sz w:val="32"/>
            <w:szCs w:val="32"/>
          </w:rPr>
          <w:instrText xml:space="preserve"> PAGE   \* MERGEFORMAT </w:instrText>
        </w:r>
        <w:r w:rsidRPr="00615276">
          <w:rPr>
            <w:sz w:val="32"/>
            <w:szCs w:val="32"/>
          </w:rPr>
          <w:fldChar w:fldCharType="separate"/>
        </w:r>
        <w:r w:rsidR="00A52488">
          <w:rPr>
            <w:noProof/>
            <w:sz w:val="32"/>
            <w:szCs w:val="32"/>
          </w:rPr>
          <w:t xml:space="preserve">2</w:t>
        </w:r>
        <w:r w:rsidRPr="00615276">
          <w:rPr>
            <w:sz w:val="32"/>
            <w:szCs w:val="32"/>
          </w:rPr>
          <w:fldChar w:fldCharType="end"/>
        </w:r>
      </w:p>
    </w:sdtContent>
  </w:sdt>
  <w:p w:rsidR="002A4780" w:rsidRPr="00615276" w:rsidRDefault="00615276" w:rsidP="00615276">
    <w:pPr>
      <w:pStyle w:val="Piedepgina"/>
      <w:pBdr>
        <w:top w:val="thickThinSmallGap" w:sz="24" w:space="1" w:color="CC0066"/>
      </w:pBdr>
      <w:rPr>
        <w:b/>
        <w:sz w:val="32"/>
        <w:szCs w:val="32"/>
        <w:lang w:val="en-US"/>
      </w:rPr>
    </w:pPr>
    <w:r w:rsidRPr="00615276">
      <w:rPr>
        <w:b/>
        <w:sz w:val="32"/>
        <w:szCs w:val="32"/>
        <w:lang w:val="en-US"/>
      </w:rPr>
      <w:t xml:space="preserve">¡ÚNETE A NOSOTROS EN ESTA CAUSA SOLIDARIA!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B21" w:rsidRDefault="00245B21" w:rsidP="000C5CDC">
      <w:pPr>
        <w:spacing w:after="0" w:line="240" w:lineRule="auto"/>
      </w:pPr>
      <w:r>
        <w:separator/>
      </w:r>
    </w:p>
  </w:footnote>
  <w:footnote w:type="continuationSeparator" w:id="1">
    <w:p w:rsidR="00245B21" w:rsidRDefault="00245B21" w:rsidP="000C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DC" w:rsidRDefault="001740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652" o:spid="_x0000_s2050" type="#_x0000_t75" style="position:absolute;margin-left:0;margin-top:0;width:425.1pt;height:359pt;z-index:-251657216;mso-position-horizontal:center;mso-position-horizontal-relative:margin;mso-position-vertical:center;mso-position-vertical-relative:margin" o:allowincell="f">
          <v:imagedata r:id="rId1" o:title="Auctionee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DC" w:rsidRPr="000C5CDC" w:rsidRDefault="001740B9" w:rsidP="002A4780">
    <w:pPr>
      <w:pStyle w:val="Encabezado"/>
      <w:pBdr>
        <w:bottom w:val="thickThinSmallGap" w:sz="24" w:space="1" w:color="CC0066"/>
      </w:pBdr>
      <w:jc w:val="center"/>
      <w:rPr>
        <w:b/>
        <w:sz w:val="32"/>
        <w:szCs w:val="32"/>
        <w:lang w:val="en-US"/>
      </w:rPr>
    </w:pPr>
    <w:r w:rsidRPr="001740B9"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653" o:spid="_x0000_s2051" type="#_x0000_t75" style="position:absolute;left:0;text-align:left;margin-left:0;margin-top:0;width:425.1pt;height:359pt;z-index:-251656192;mso-position-horizontal:center;mso-position-horizontal-relative:margin;mso-position-vertical:center;mso-position-vertical-relative:margin" o:allowincell="f">
          <v:imagedata r:id="rId1" o:title="Auctioneer" gain="19661f" blacklevel="22938f"/>
          <w10:wrap anchorx="margin" anchory="margin"/>
        </v:shape>
      </w:pict>
    </w:r>
    <w:r w:rsidR="000C5CDC" w:rsidRPr="000C5CDC">
      <w:rPr>
        <w:b/>
        <w:sz w:val="32"/>
        <w:szCs w:val="32"/>
        <w:lang w:val="en-US"/>
      </w:rPr>
      <w:t xml:space="preserve">Q</w:t>
    </w:r>
    <w:r w:rsidR="002A4780">
      <w:rPr>
        <w:b/>
        <w:sz w:val="32"/>
        <w:szCs w:val="32"/>
        <w:lang w:val="en-US"/>
      </w:rPr>
      <w:t xml:space="preserve">UI</w:t>
    </w:r>
    <w:r w:rsidR="000C5CDC" w:rsidRPr="000C5CDC">
      <w:rPr>
        <w:b/>
        <w:sz w:val="32"/>
        <w:szCs w:val="32"/>
        <w:lang w:val="en-US"/>
      </w:rPr>
      <w:t xml:space="preserve">NTA SUBASTA SOLIDARIA DE KNOLL SPRINGS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CDC" w:rsidRDefault="001740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651" o:spid="_x0000_s2049" type="#_x0000_t75" style="position:absolute;margin-left:0;margin-top:0;width:425.1pt;height:359pt;z-index:-251658240;mso-position-horizontal:center;mso-position-horizontal-relative:margin;mso-position-vertical:center;mso-position-vertical-relative:margin" o:allowincell="f">
          <v:imagedata r:id="rId1" o:title="Auctionee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F7D96"/>
    <w:multiLevelType w:val="hybridMultilevel"/>
    <w:tmpl w:val="3D72AAAA"/>
    <w:lvl w:ilvl="0" w:tplc="E2F08FD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06D5"/>
    <w:rsid w:val="000C5CDC"/>
    <w:rsid w:val="001740B9"/>
    <w:rsid w:val="002106D5"/>
    <w:rsid w:val="00245B21"/>
    <w:rsid w:val="002A4780"/>
    <w:rsid w:val="004D04F6"/>
    <w:rsid w:val="005027B8"/>
    <w:rsid w:val="005F5EE3"/>
    <w:rsid w:val="00615276"/>
    <w:rsid w:val="00721F4A"/>
    <w:rsid w:val="007D2A40"/>
    <w:rsid w:val="009266E2"/>
    <w:rsid w:val="00A37AC5"/>
    <w:rsid w:val="00A52488"/>
    <w:rsid w:val="00DC33EE"/>
    <w:rsid w:val="00F1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CDC"/>
  </w:style>
  <w:style w:type="paragraph" w:styleId="Piedepgina">
    <w:name w:val="footer"/>
    <w:basedOn w:val="Normal"/>
    <w:link w:val="PiedepginaCar"/>
    <w:uiPriority w:val="99"/>
    <w:unhideWhenUsed/>
    <w:rsid w:val="000C5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CDC"/>
  </w:style>
  <w:style w:type="table" w:styleId="Tablaconcuadrcula">
    <w:name w:val="Table Grid"/>
    <w:basedOn w:val="Tablanormal"/>
    <w:uiPriority w:val="59"/>
    <w:rsid w:val="000C5C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5CDC"/>
    <w:pPr>
      <w:spacing w:after="200" w:line="276" w:lineRule="auto"/>
      <w:ind w:left="720"/>
      <w:contextualSpacing/>
    </w:pPr>
    <w:rPr>
      <w:lang w:val="en-US"/>
    </w:rPr>
  </w:style>
  <w:style w:type="paragraph" w:customStyle="1" w:styleId="ProposalBody">
    <w:name w:val="Proposal Body"/>
    <w:basedOn w:val="Normal"/>
    <w:rsid w:val="000C5CDC"/>
    <w:pPr>
      <w:spacing w:after="0" w:line="360" w:lineRule="auto"/>
      <w:ind w:firstLine="720"/>
    </w:pPr>
    <w:rPr>
      <w:sz w:val="3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2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18330D-B63B-4D97-8EBC-C9731A7DB3FF}" type="doc">
      <dgm:prSet loTypeId="urn:microsoft.com/office/officeart/2005/8/layout/arrow2" loCatId="process" qsTypeId="urn:microsoft.com/office/officeart/2005/8/quickstyle/3d1" qsCatId="3D" csTypeId="urn:microsoft.com/office/officeart/2005/8/colors/accent1_1" csCatId="accent1" phldr="1"/>
      <dgm:spPr/>
    </dgm:pt>
    <dgm:pt modelId="{668AD719-D084-4295-B5D3-57428E775E2C}">
      <dgm:prSet phldrT="[Texto]"/>
      <dgm:spPr/>
      <dgm:t>
        <a:bodyPr/>
        <a:lstStyle/>
        <a:p>
          <a:r>
            <a:rPr lang="es-ES"/>
            <a:t>Going Once</a:t>
          </a:r>
        </a:p>
      </dgm:t>
    </dgm:pt>
    <dgm:pt modelId="{F7746331-13D7-49EA-8328-2C6282C785DD}" type="parTrans" cxnId="{9A00D062-EB95-4BA2-AC13-1CEE2B510A3B}">
      <dgm:prSet/>
      <dgm:spPr/>
      <dgm:t>
        <a:bodyPr/>
        <a:lstStyle/>
        <a:p>
          <a:endParaRPr lang="es-ES"/>
        </a:p>
      </dgm:t>
    </dgm:pt>
    <dgm:pt modelId="{94EC8FFC-18D9-426B-A784-4ACB9B2B8BCD}" type="sibTrans" cxnId="{9A00D062-EB95-4BA2-AC13-1CEE2B510A3B}">
      <dgm:prSet/>
      <dgm:spPr/>
      <dgm:t>
        <a:bodyPr/>
        <a:lstStyle/>
        <a:p>
          <a:endParaRPr lang="es-ES"/>
        </a:p>
      </dgm:t>
    </dgm:pt>
    <dgm:pt modelId="{72F67DA2-6A24-45C8-AB17-2C819A353F8C}">
      <dgm:prSet phldrT="[Texto]"/>
      <dgm:spPr/>
      <dgm:t>
        <a:bodyPr/>
        <a:lstStyle/>
        <a:p>
          <a:r>
            <a:rPr lang="es-ES"/>
            <a:t>Going Twice</a:t>
          </a:r>
        </a:p>
      </dgm:t>
    </dgm:pt>
    <dgm:pt modelId="{5A3ED983-E6C2-4BD9-BE1E-90293C092F5F}" type="parTrans" cxnId="{E0E5EACB-B908-4AA8-B4BA-E331C630B32C}">
      <dgm:prSet/>
      <dgm:spPr/>
      <dgm:t>
        <a:bodyPr/>
        <a:lstStyle/>
        <a:p>
          <a:endParaRPr lang="es-ES"/>
        </a:p>
      </dgm:t>
    </dgm:pt>
    <dgm:pt modelId="{DD5FC7A5-8C71-48AE-89AA-DCC94C718462}" type="sibTrans" cxnId="{E0E5EACB-B908-4AA8-B4BA-E331C630B32C}">
      <dgm:prSet/>
      <dgm:spPr/>
      <dgm:t>
        <a:bodyPr/>
        <a:lstStyle/>
        <a:p>
          <a:endParaRPr lang="es-ES"/>
        </a:p>
      </dgm:t>
    </dgm:pt>
    <dgm:pt modelId="{E82CF688-442C-45B9-8152-4A309C3A00C7}">
      <dgm:prSet phldrT="[Texto]"/>
      <dgm:spPr/>
      <dgm:t>
        <a:bodyPr/>
        <a:lstStyle/>
        <a:p>
          <a:r>
            <a:rPr lang="es-ES" b="1">
              <a:solidFill>
                <a:srgbClr val="CC0066"/>
              </a:solidFill>
            </a:rPr>
            <a:t>Sold</a:t>
          </a:r>
        </a:p>
      </dgm:t>
    </dgm:pt>
    <dgm:pt modelId="{9AF04B25-86AC-4910-B015-A23EE2AD8101}" type="parTrans" cxnId="{01D65008-A503-43D3-8C2F-92B2036FD479}">
      <dgm:prSet/>
      <dgm:spPr/>
      <dgm:t>
        <a:bodyPr/>
        <a:lstStyle/>
        <a:p>
          <a:endParaRPr lang="es-ES"/>
        </a:p>
      </dgm:t>
    </dgm:pt>
    <dgm:pt modelId="{601E806B-8F97-4BC3-A4C6-0FD3C36FFD5E}" type="sibTrans" cxnId="{01D65008-A503-43D3-8C2F-92B2036FD479}">
      <dgm:prSet/>
      <dgm:spPr/>
      <dgm:t>
        <a:bodyPr/>
        <a:lstStyle/>
        <a:p>
          <a:endParaRPr lang="es-ES"/>
        </a:p>
      </dgm:t>
    </dgm:pt>
    <dgm:pt modelId="{5DEC3C16-64F7-4D3E-A2F0-3B07FA53D80B}" type="pres">
      <dgm:prSet presAssocID="{EB18330D-B63B-4D97-8EBC-C9731A7DB3FF}" presName="arrowDiagram" presStyleCnt="0">
        <dgm:presLayoutVars>
          <dgm:chMax val="5"/>
          <dgm:dir/>
          <dgm:resizeHandles val="exact"/>
        </dgm:presLayoutVars>
      </dgm:prSet>
      <dgm:spPr/>
    </dgm:pt>
    <dgm:pt modelId="{3EC3DF1F-8494-4892-BF6D-B9CE3E097C94}" type="pres">
      <dgm:prSet presAssocID="{EB18330D-B63B-4D97-8EBC-C9731A7DB3FF}" presName="arrow" presStyleLbl="bgShp" presStyleIdx="0" presStyleCnt="1"/>
      <dgm:spPr/>
    </dgm:pt>
    <dgm:pt modelId="{741E0085-5143-4458-9E6F-C8148DC61A3D}" type="pres">
      <dgm:prSet presAssocID="{EB18330D-B63B-4D97-8EBC-C9731A7DB3FF}" presName="arrowDiagram3" presStyleCnt="0"/>
      <dgm:spPr/>
    </dgm:pt>
    <dgm:pt modelId="{3629C0DA-4636-4C0A-9F5B-9C4F66330DEA}" type="pres">
      <dgm:prSet presAssocID="{668AD719-D084-4295-B5D3-57428E775E2C}" presName="bullet3a" presStyleLbl="node1" presStyleIdx="0" presStyleCnt="3"/>
      <dgm:spPr/>
    </dgm:pt>
    <dgm:pt modelId="{8A2560CF-D5C7-4014-8AD4-624CA9214DCD}" type="pres">
      <dgm:prSet presAssocID="{668AD719-D084-4295-B5D3-57428E775E2C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6855487-8D77-460F-B1DE-117F81B8A1E7}" type="pres">
      <dgm:prSet presAssocID="{72F67DA2-6A24-45C8-AB17-2C819A353F8C}" presName="bullet3b" presStyleLbl="node1" presStyleIdx="1" presStyleCnt="3"/>
      <dgm:spPr/>
    </dgm:pt>
    <dgm:pt modelId="{6FA01AB8-90E4-44DF-8FE5-69493093B784}" type="pres">
      <dgm:prSet presAssocID="{72F67DA2-6A24-45C8-AB17-2C819A353F8C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59D82DE-F520-4AD0-A2D7-A9D744B3450B}" type="pres">
      <dgm:prSet presAssocID="{E82CF688-442C-45B9-8152-4A309C3A00C7}" presName="bullet3c" presStyleLbl="node1" presStyleIdx="2" presStyleCnt="3"/>
      <dgm:spPr/>
    </dgm:pt>
    <dgm:pt modelId="{F9751186-E11C-4B36-BC96-E7F252D86502}" type="pres">
      <dgm:prSet presAssocID="{E82CF688-442C-45B9-8152-4A309C3A00C7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A00D062-EB95-4BA2-AC13-1CEE2B510A3B}" srcId="{EB18330D-B63B-4D97-8EBC-C9731A7DB3FF}" destId="{668AD719-D084-4295-B5D3-57428E775E2C}" srcOrd="0" destOrd="0" parTransId="{F7746331-13D7-49EA-8328-2C6282C785DD}" sibTransId="{94EC8FFC-18D9-426B-A784-4ACB9B2B8BCD}"/>
    <dgm:cxn modelId="{E0BAFCC7-80C2-4A7B-85D7-4C7216C3A1EA}" type="presOf" srcId="{72F67DA2-6A24-45C8-AB17-2C819A353F8C}" destId="{6FA01AB8-90E4-44DF-8FE5-69493093B784}" srcOrd="0" destOrd="0" presId="urn:microsoft.com/office/officeart/2005/8/layout/arrow2"/>
    <dgm:cxn modelId="{776C1515-97F7-4498-849B-CFB4BA9556A5}" type="presOf" srcId="{EB18330D-B63B-4D97-8EBC-C9731A7DB3FF}" destId="{5DEC3C16-64F7-4D3E-A2F0-3B07FA53D80B}" srcOrd="0" destOrd="0" presId="urn:microsoft.com/office/officeart/2005/8/layout/arrow2"/>
    <dgm:cxn modelId="{01D65008-A503-43D3-8C2F-92B2036FD479}" srcId="{EB18330D-B63B-4D97-8EBC-C9731A7DB3FF}" destId="{E82CF688-442C-45B9-8152-4A309C3A00C7}" srcOrd="2" destOrd="0" parTransId="{9AF04B25-86AC-4910-B015-A23EE2AD8101}" sibTransId="{601E806B-8F97-4BC3-A4C6-0FD3C36FFD5E}"/>
    <dgm:cxn modelId="{1D6F6D45-D084-460B-92FF-0418049798F8}" type="presOf" srcId="{668AD719-D084-4295-B5D3-57428E775E2C}" destId="{8A2560CF-D5C7-4014-8AD4-624CA9214DCD}" srcOrd="0" destOrd="0" presId="urn:microsoft.com/office/officeart/2005/8/layout/arrow2"/>
    <dgm:cxn modelId="{9B08C97E-FF8E-4F56-B700-72A3F93A4E61}" type="presOf" srcId="{E82CF688-442C-45B9-8152-4A309C3A00C7}" destId="{F9751186-E11C-4B36-BC96-E7F252D86502}" srcOrd="0" destOrd="0" presId="urn:microsoft.com/office/officeart/2005/8/layout/arrow2"/>
    <dgm:cxn modelId="{E0E5EACB-B908-4AA8-B4BA-E331C630B32C}" srcId="{EB18330D-B63B-4D97-8EBC-C9731A7DB3FF}" destId="{72F67DA2-6A24-45C8-AB17-2C819A353F8C}" srcOrd="1" destOrd="0" parTransId="{5A3ED983-E6C2-4BD9-BE1E-90293C092F5F}" sibTransId="{DD5FC7A5-8C71-48AE-89AA-DCC94C718462}"/>
    <dgm:cxn modelId="{43697D76-1164-4C08-A880-E5C8CDA42DB3}" type="presParOf" srcId="{5DEC3C16-64F7-4D3E-A2F0-3B07FA53D80B}" destId="{3EC3DF1F-8494-4892-BF6D-B9CE3E097C94}" srcOrd="0" destOrd="0" presId="urn:microsoft.com/office/officeart/2005/8/layout/arrow2"/>
    <dgm:cxn modelId="{BE8F5F1E-D7E0-489C-BCFA-0C352926776C}" type="presParOf" srcId="{5DEC3C16-64F7-4D3E-A2F0-3B07FA53D80B}" destId="{741E0085-5143-4458-9E6F-C8148DC61A3D}" srcOrd="1" destOrd="0" presId="urn:microsoft.com/office/officeart/2005/8/layout/arrow2"/>
    <dgm:cxn modelId="{E3206529-F55C-4E9D-A4DF-51AEF662AAE1}" type="presParOf" srcId="{741E0085-5143-4458-9E6F-C8148DC61A3D}" destId="{3629C0DA-4636-4C0A-9F5B-9C4F66330DEA}" srcOrd="0" destOrd="0" presId="urn:microsoft.com/office/officeart/2005/8/layout/arrow2"/>
    <dgm:cxn modelId="{265C271F-0BF1-4779-A33D-D279CEA516C5}" type="presParOf" srcId="{741E0085-5143-4458-9E6F-C8148DC61A3D}" destId="{8A2560CF-D5C7-4014-8AD4-624CA9214DCD}" srcOrd="1" destOrd="0" presId="urn:microsoft.com/office/officeart/2005/8/layout/arrow2"/>
    <dgm:cxn modelId="{E663F65E-8CF3-4D83-A918-0428F5BD962F}" type="presParOf" srcId="{741E0085-5143-4458-9E6F-C8148DC61A3D}" destId="{56855487-8D77-460F-B1DE-117F81B8A1E7}" srcOrd="2" destOrd="0" presId="urn:microsoft.com/office/officeart/2005/8/layout/arrow2"/>
    <dgm:cxn modelId="{B04B0CF0-8713-4AB6-98FC-029E4839AB5F}" type="presParOf" srcId="{741E0085-5143-4458-9E6F-C8148DC61A3D}" destId="{6FA01AB8-90E4-44DF-8FE5-69493093B784}" srcOrd="3" destOrd="0" presId="urn:microsoft.com/office/officeart/2005/8/layout/arrow2"/>
    <dgm:cxn modelId="{7D13EDF4-EC80-4FD4-A740-EA4AC5A668B0}" type="presParOf" srcId="{741E0085-5143-4458-9E6F-C8148DC61A3D}" destId="{E59D82DE-F520-4AD0-A2D7-A9D744B3450B}" srcOrd="4" destOrd="0" presId="urn:microsoft.com/office/officeart/2005/8/layout/arrow2"/>
    <dgm:cxn modelId="{9478EFA7-344B-4CC2-ACFA-048066083649}" type="presParOf" srcId="{741E0085-5143-4458-9E6F-C8148DC61A3D}" destId="{F9751186-E11C-4B36-BC96-E7F252D86502}" srcOrd="5" destOrd="0" presId="urn:microsoft.com/office/officeart/2005/8/layout/arrow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C3DF1F-8494-4892-BF6D-B9CE3E097C94}">
      <dsp:nvSpPr>
        <dsp:cNvPr id="0" name=""/>
        <dsp:cNvSpPr/>
      </dsp:nvSpPr>
      <dsp:spPr>
        <a:xfrm>
          <a:off x="179831" y="0"/>
          <a:ext cx="5040376" cy="3150235"/>
        </a:xfrm>
        <a:prstGeom prst="swooshArrow">
          <a:avLst>
            <a:gd name="adj1" fmla="val 25000"/>
            <a:gd name="adj2" fmla="val 2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3629C0DA-4636-4C0A-9F5B-9C4F66330DEA}">
      <dsp:nvSpPr>
        <dsp:cNvPr id="0" name=""/>
        <dsp:cNvSpPr/>
      </dsp:nvSpPr>
      <dsp:spPr>
        <a:xfrm>
          <a:off x="819959" y="2174292"/>
          <a:ext cx="131049" cy="131049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2560CF-D5C7-4014-8AD4-624CA9214DCD}">
      <dsp:nvSpPr>
        <dsp:cNvPr id="0" name=""/>
        <dsp:cNvSpPr/>
      </dsp:nvSpPr>
      <dsp:spPr>
        <a:xfrm>
          <a:off x="885484" y="2239817"/>
          <a:ext cx="1174407" cy="9104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441" tIns="0" rIns="0" bIns="0" numCol="1" spcCol="1270" anchor="t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Going Once</a:t>
          </a:r>
        </a:p>
      </dsp:txBody>
      <dsp:txXfrm>
        <a:off x="885484" y="2239817"/>
        <a:ext cx="1174407" cy="910417"/>
      </dsp:txXfrm>
    </dsp:sp>
    <dsp:sp modelId="{56855487-8D77-460F-B1DE-117F81B8A1E7}">
      <dsp:nvSpPr>
        <dsp:cNvPr id="0" name=""/>
        <dsp:cNvSpPr/>
      </dsp:nvSpPr>
      <dsp:spPr>
        <a:xfrm>
          <a:off x="1976726" y="1318058"/>
          <a:ext cx="236897" cy="236897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FA01AB8-90E4-44DF-8FE5-69493093B784}">
      <dsp:nvSpPr>
        <dsp:cNvPr id="0" name=""/>
        <dsp:cNvSpPr/>
      </dsp:nvSpPr>
      <dsp:spPr>
        <a:xfrm>
          <a:off x="2095174" y="1436507"/>
          <a:ext cx="1209690" cy="17137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527" tIns="0" rIns="0" bIns="0" numCol="1" spcCol="1270" anchor="t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Going Twice</a:t>
          </a:r>
        </a:p>
      </dsp:txBody>
      <dsp:txXfrm>
        <a:off x="2095174" y="1436507"/>
        <a:ext cx="1209690" cy="1713727"/>
      </dsp:txXfrm>
    </dsp:sp>
    <dsp:sp modelId="{E59D82DE-F520-4AD0-A2D7-A9D744B3450B}">
      <dsp:nvSpPr>
        <dsp:cNvPr id="0" name=""/>
        <dsp:cNvSpPr/>
      </dsp:nvSpPr>
      <dsp:spPr>
        <a:xfrm>
          <a:off x="3367869" y="797009"/>
          <a:ext cx="327624" cy="32762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9751186-E11C-4B36-BC96-E7F252D86502}">
      <dsp:nvSpPr>
        <dsp:cNvPr id="0" name=""/>
        <dsp:cNvSpPr/>
      </dsp:nvSpPr>
      <dsp:spPr>
        <a:xfrm>
          <a:off x="3531682" y="960821"/>
          <a:ext cx="1209690" cy="2189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3601" tIns="0" rIns="0" bIns="0" numCol="1" spcCol="1270" anchor="t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b="1" kern="1200">
              <a:solidFill>
                <a:srgbClr val="CC0066"/>
              </a:solidFill>
            </a:rPr>
            <a:t>Sold</a:t>
          </a:r>
        </a:p>
      </dsp:txBody>
      <dsp:txXfrm>
        <a:off x="3531682" y="960821"/>
        <a:ext cx="1209690" cy="2189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harity Auction Proporsal">
      <a:majorFont>
        <a:latin typeface="Berlin Sans FB Demi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4AFC-5A6B-4DD8-8B5A-736463CC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Patry</cp:lastModifiedBy>
  <cp:revision>7</cp:revision>
  <dcterms:created xsi:type="dcterms:W3CDTF">2015-11-06T14:20:00Z</dcterms:created>
  <dcterms:modified xsi:type="dcterms:W3CDTF">2015-11-10T17:44:00Z</dcterms:modified>
</cp:coreProperties>
</file>