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rPr>
          <w:rFonts w:ascii="Arial" w:cs="Arial" w:eastAsia="Arial" w:hAnsi="Arial"/>
          <w:b/>
          <w:bCs/>
          <w:color w:val="6B1D3A"/>
          <w:sz w:val="22"/>
          <w:szCs w:val="22"/>
        </w:rPr>
        <w:t xml:space="preserve">Trabajo Fin de Máster · Jxpert IA Aplicada</w:t>
      </w:r>
    </w:p>
    <w:p>
      <w:r>
        <w:rPr>
          <w:rFonts w:ascii="Arial" w:cs="Arial" w:eastAsia="Arial" w:hAnsi="Arial"/>
          <w:color w:val="555555"/>
          <w:sz w:val="20"/>
          <w:szCs w:val="20"/>
        </w:rPr>
        <w:t xml:space="preserve">Track 9 · IA aplicada a Data Management · Vía caso (proyecto propio)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Agua y viñedo en La Rioja</w:t>
      </w:r>
    </w:p>
    <w:p>
      <w:pPr>
        <w:spacing w:after="600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De un pipeline de embalses que «parecía funcionar» a un sistema de datos reales, controlado y operable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Ficha del trabajo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Autora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Patricia Lafuente</w:t>
            </w:r>
          </w:p>
        </w:tc>
      </w:tr>
      <w:t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de octubre de 2026</w:t>
            </w:r>
          </w:p>
        </w:tc>
      </w:tr>
      <w:t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github.com/PatriciaL/tfm-embalses (público)</w:t>
            </w:r>
          </w:p>
        </w:tc>
      </w:tr>
      <w:t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Plataforma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Databricks Free Edition · Unity Catalog · Databricks Apps</w:t>
            </w:r>
          </w:p>
        </w:tc>
      </w:tr>
      <w:t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Fuentes</w:t>
            </w:r>
          </w:p>
        </w:tc>
        <w:tc>
          <w:tcPr>
            <w:tcW w:type="dxa" w:w="74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AEMET OpenData (estación 9170 Logroño) · MITECO BD-Embalses (cuenca del Ebro) · Consejo Regulador DOCa Rioja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1. Resumen y objetivo</w:t>
      </w: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Problema.</w:t>
      </w:r>
      <w:r>
        <w:rPr>
          <w:rFonts w:ascii="Arial" w:cs="Arial" w:eastAsia="Arial" w:hAnsi="Arial"/>
          <w:sz w:val="20"/>
          <w:szCs w:val="20"/>
        </w:rPr>
        <w:t xml:space="preserve"> Para una bodega o un técnico de la DOCa Rioja, la pregunta de cada campaña es la misma: ¿cómo vienen el agua y el calor este año comparados con añadas anteriores? Los datos existen y son públicos (reserva de los embalses, lluvia y temperatura), pero están dispersos, en formatos poco amigables y sin control de calidad.</w:t>
      </w: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Punto de partida.</w:t>
      </w:r>
      <w:r>
        <w:rPr>
          <w:rFonts w:ascii="Arial" w:cs="Arial" w:eastAsia="Arial" w:hAnsi="Arial"/>
          <w:sz w:val="20"/>
          <w:szCs w:val="20"/>
        </w:rPr>
        <w:t xml:space="preserve"> El caso se construye sobre un pipeline propio de embalses en Databricks, desarrollado en agosto de 2026 como material docente. El diagnóstico inicial (sección 3) demostró que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parecía funcionar, pero producía datos no verificables</w:t>
      </w:r>
      <w:r>
        <w:rPr>
          <w:rFonts w:ascii="Arial" w:cs="Arial" w:eastAsia="Arial" w:hAnsi="Arial"/>
          <w:sz w:val="20"/>
          <w:szCs w:val="20"/>
        </w:rPr>
        <w:t xml:space="preserve">: cuatro de sus seis fuentes caían en silencio a ficheros de ejemplo, una inventaba lluvia de 0 mm cuando fallaba y las validaciones descartaban filas sin dejar rastro.</w:t>
      </w: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Objetivo.</w:t>
      </w:r>
      <w:r>
        <w:rPr>
          <w:rFonts w:ascii="Arial" w:cs="Arial" w:eastAsia="Arial" w:hAnsi="Arial"/>
          <w:sz w:val="20"/>
          <w:szCs w:val="20"/>
        </w:rPr>
        <w:t xml:space="preserve"> Convertirlo en un sistema de datos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real, controlado y operable</w:t>
      </w:r>
      <w:r>
        <w:rPr>
          <w:rFonts w:ascii="Arial" w:cs="Arial" w:eastAsia="Arial" w:hAnsi="Arial"/>
          <w:sz w:val="20"/>
          <w:szCs w:val="20"/>
        </w:rPr>
        <w:t xml:space="preserve">, centrado en las cuatro capas que pide la guía para un proyecto propio: normalización, calidad, gobierno y operación. El resultado de negocio es un indicador de campaña vitícola (lluvia, grados-día de Winkler y reserva del Ebro) contrastado con la calificación oficial de cada añada y servido en un dashboard.</w:t>
      </w: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Alcance y límites.</w:t>
      </w:r>
      <w:r>
        <w:rPr>
          <w:rFonts w:ascii="Arial" w:cs="Arial" w:eastAsia="Arial" w:hAnsi="Arial"/>
          <w:sz w:val="20"/>
          <w:szCs w:val="20"/>
        </w:rPr>
        <w:t xml:space="preserve"> Dos fuentes reales operadas a diario (AEMET y MITECO) y una de referencia mantenida a mano (DOCa). Quedan fuera las fuentes heredadas sin endpoint verificable y los modelos predictivos, sustituidos por un indicador descriptivo (decisión D-06). No hay datos personales: la propagación de consentimiento o supresión no aplica y se declara como límite.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00"/>
        <w:gridCol w:w="2738"/>
      </w:tblGrid>
      <w:tr>
        <w:trPr>
          <w:tblHeader/>
        </w:trP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Evidencia</w:t>
            </w:r>
          </w:p>
        </w:tc>
      </w:tr>
      <w:t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Pipeline medallion con datos reales: 125.127 lecturas de 84 embalses del Ebro (1988–2026) y 9.790 días de clima de Logroño (2000–2026)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Fig. 1, 2</w:t>
            </w:r>
          </w:p>
        </w:tc>
      </w:tr>
      <w:t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Cuarentena con motivo y 14 controles automáticos (9 críticos bloquean la publicación)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Fig. 3, 4</w:t>
            </w:r>
          </w:p>
        </w:tc>
      </w:tr>
      <w:t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Gobierno: clasificación, etiquetas, linaje y permisos de solo lectura para el dashboard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Fig. 5–7</w:t>
            </w:r>
          </w:p>
        </w:tc>
      </w:tr>
      <w:t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Operación: Job diario desatendido, registro de ejecuciones y 6 incidencias reales resueltas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Fig. 8, 9 y tabla 5.2</w:t>
            </w:r>
          </w:p>
        </w:tc>
      </w:tr>
      <w:tr>
        <w:tc>
          <w:tcPr>
            <w:tcW w:type="dxa" w:w="6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 de negocio y de salud del pipeline</w:t>
            </w:r>
          </w:p>
        </w:tc>
        <w:tc>
          <w:tcPr>
            <w:tcW w:type="dxa" w:w="2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Fig. 10, 11</w:t>
            </w:r>
          </w:p>
        </w:tc>
      </w:tr>
    </w:tbl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2. Fuentes, arquitectura y modelado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2.1 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2700"/>
        <w:gridCol w:w="1738"/>
      </w:tblGrid>
      <w:tr>
        <w:trPr>
          <w:tblHeader/>
        </w:trPr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Fuente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Qué aporta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Formato y frecuencia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Papel</w:t>
            </w:r>
          </w:p>
        </w:tc>
      </w:tr>
      <w:tr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AEMET OpenData · estación 9170 Logroño Aeropuerto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Lluvia y temperaturas diarias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REST con key; diaria (3–4 días de retraso)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Núcleo</w:t>
            </w:r>
          </w:p>
        </w:tc>
      </w:tr>
      <w:tr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MITECO · BD-Embalses (Boletín Hidrológico)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Reserva semanal de cada embalse &gt; 5 hm³ desde 1988; se filtra la cuenca del Ebro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ZIP con base de datos Access (10,4 MB); semanal, marcada como «sin validar»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Núcleo</w:t>
            </w:r>
          </w:p>
        </w:tc>
      </w:tr>
      <w:tr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Consejo Regulador DOCa Rioja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Calificación oficial de cada añada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Tabla web; anual → CSV versionado con su URL de origen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Referencia</w:t>
            </w:r>
          </w:p>
        </w:tc>
      </w:tr>
    </w:tbl>
    <w:p>
      <w:pPr>
        <w:spacing w:after="100" w:line="276"/>
        <w:jc w:val="both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elección se apoyó en pruebas, no en supuestos: primero se comprobó la conectividad desde Databricks, después la descarga real y por último la lectura del contenido (figura 1). El histórico de MITECO llega hasta el 20/10/2026, lo que confirma que se actualiza cada semana y que habrá al menos una carga real de datos nuevos durante el TFM.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05325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1.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Primera lectura de datos reales (24/10/2026 18:30). MITECO: 723.842 filas de 1987 a 20/10/2026, con coma decimal («308,00»). AEMET 9170: lluvia y temperaturas diarias, también con coma decimal.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2.2 Arquitectura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62625" cy="2466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2.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Arquitectura. Cada capa es un esquema de Unity Catalog con tablas Delta registradas; el Job encadena los pasos y cada uno deja rastro en ops.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2.3 Modelado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4538"/>
      </w:tblGrid>
      <w:tr>
        <w:trPr>
          <w:tblHeader/>
        </w:trP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Grano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Clave / contenido</w:t>
            </w:r>
          </w:p>
        </w:tc>
      </w:tr>
      <w:t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silver.embalses_ebro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embalse × semana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embalse, fecha · volumen, capacidad, % capacidad</w:t>
            </w:r>
          </w:p>
        </w:tc>
      </w:tr>
      <w:t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silver.clima_logrono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día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estacion_id, fecha · lluvia (mm), tmax, tmin, tmed</w:t>
            </w:r>
          </w:p>
        </w:tc>
      </w:tr>
      <w:t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gold.reserva_ebro_semanal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semana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suma de volumen y capacidad de la cuenca · %</w:t>
            </w:r>
          </w:p>
        </w:tc>
      </w:tr>
      <w:t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gold.campana_vitivinicola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campaña (1 abr–31 oct)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lluvia, Winkler = Σ max(tmed − 10 ºC, 0), completitud, reserva media, calificación DOCa</w:t>
            </w:r>
          </w:p>
        </w:tc>
      </w:tr>
      <w:tr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gold.kpis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KPI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valor, nota, ejecución que lo generó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C9C9" w:sz="4"/>
              <w:left w:val="single" w:color="6B1D3A" w:sz="18"/>
              <w:bottom w:val="single" w:color="C9C9C9" w:sz="4"/>
              <w:right w:val="single" w:color="C9C9C9" w:sz="4"/>
            </w:tcBorders>
            <w:shd w:fill="F7F1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Stack: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Databricks Free Edition (serverless), Unity Catalog, Python/pandas, requests, access-parser; Claude (Opus 5.5) en claude.ai.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Rol de la IA: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propuso las fuentes candidatas (localizó el histórico BD-Embalses de MITECO), escribió las celdas de prueba de conectividad y lectura, y diagnosticó los resultados (por ejemplo, que el corte exacto a 8 MiB indicaba un límite de la plataforma).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Decisión y verificación humana: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la autora eligió el caso del vino, ejecutó cada prueba en Databricks y decidió el alcance (D-03 a D-05) a la vista de las salidas reales.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3. Método: del pipeline heredado al nuevo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 Diagnóstico del punto de partida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Antes de construir nada se revisó el código heredado (9 notebooks y 5 CSV de ejemplo) frente a los requisitos de la guía. El diagnóstico identificó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12 hallazgos</w:t>
      </w:r>
      <w:r>
        <w:rPr>
          <w:rFonts w:ascii="Arial" w:cs="Arial" w:eastAsia="Arial" w:hAnsi="Arial"/>
          <w:sz w:val="20"/>
          <w:szCs w:val="20"/>
        </w:rPr>
        <w:t xml:space="preserve">; los que más condicionaron el trabajo fueron: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300"/>
        <w:gridCol w:w="4538"/>
      </w:tblGrid>
      <w:tr>
        <w:trPr>
          <w:tblHeader/>
        </w:trP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Hallazgo en el pipeline heredado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Cómo se resuelve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de 6 fuentes apuntaban a URLs inexistentes y caían en silencio a CSV de ejemplo; bronze no distinguía dato real de ejemplo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fallbacks: si una fuente falla se registra y el Job se detiene. Origen (_source) en cada fila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H2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 AEMET fallaba, se insertaba una lluvia sintética de 0,0 mm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Control crítico «sin datos sintéticos»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H4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Las filas inválidas se descartaban con un print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Estados aceptado / revisión / rechazado y tabla de cuarentena con motivo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H5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tratamiento de coma decimal: «308,00» → nulo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parse_decimal_es, con prueba unitaria. Confirmado con datos reales: con el código heredado se habrían perdido todos los volúmenes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H6–H7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Deduplicación arbitraria y lluvia duplicada en cada ejecución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Una fila por clave, la de la ingesta más reciente; silver se reconstruye y es idempotente</w:t>
            </w:r>
          </w:p>
        </w:tc>
      </w:tr>
      <w:tr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H9–H11</w:t>
            </w:r>
          </w:p>
        </w:tc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Índice que mezclaba cuencas, KPI mal calculado y KPIs de relleno</w:t>
            </w:r>
          </w:p>
        </w:tc>
        <w:tc>
          <w:tcPr>
            <w:tcW w:type="dxa" w:w="45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Todo Ebro / La Rioja; KPIs calculados desde datos y run_log</w:t>
            </w:r>
          </w:p>
        </w:tc>
      </w:tr>
    </w:tbl>
    <w:p>
      <w:pPr>
        <w:spacing w:after="100" w:line="276"/>
        <w:jc w:val="both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Al completar la referencia oficial de la DOCa apareció un hallazgo adicional: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6 de las 10 añadas del CSV de ejemplo heredado estaban mal calificadas</w:t>
      </w:r>
      <w:r>
        <w:rPr>
          <w:rFonts w:ascii="Arial" w:cs="Arial" w:eastAsia="Arial" w:hAnsi="Arial"/>
          <w:sz w:val="20"/>
          <w:szCs w:val="20"/>
        </w:rPr>
        <w:t xml:space="preserve">. Refuerza la conclusión del diagnóstico: los datos de ejemplo eran inventados y nada en el pipeline lo advertía.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3.2 Construcción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Bronze</w:t>
      </w:r>
      <w:r>
        <w:rPr>
          <w:rFonts w:ascii="Arial" w:cs="Arial" w:eastAsia="Arial" w:hAnsi="Arial"/>
          <w:sz w:val="20"/>
          <w:szCs w:val="20"/>
        </w:rPr>
        <w:t xml:space="preserve"> (01): ingesta incremental. AEMET pide solo los días nuevos con 10 de solape para recoger correcciones; MITECO solo se carga si la huella SHA-256 del fichero cambia. El fichero original se conserva en un volumen, una carpeta por fecha de carga.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Silver</w:t>
      </w:r>
      <w:r>
        <w:rPr>
          <w:rFonts w:ascii="Arial" w:cs="Arial" w:eastAsia="Arial" w:hAnsi="Arial"/>
          <w:sz w:val="20"/>
          <w:szCs w:val="20"/>
        </w:rPr>
        <w:t xml:space="preserve"> (02): normalización (coma decimal, «Ip» = precipitación inapreciable), deduplicación con criterio y reparto en silver o cuarentena.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Calidad</w:t>
      </w:r>
      <w:r>
        <w:rPr>
          <w:rFonts w:ascii="Arial" w:cs="Arial" w:eastAsia="Arial" w:hAnsi="Arial"/>
          <w:sz w:val="20"/>
          <w:szCs w:val="20"/>
        </w:rPr>
        <w:t xml:space="preserve"> (03) 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gold</w:t>
      </w:r>
      <w:r>
        <w:rPr>
          <w:rFonts w:ascii="Arial" w:cs="Arial" w:eastAsia="Arial" w:hAnsi="Arial"/>
          <w:sz w:val="20"/>
          <w:szCs w:val="20"/>
        </w:rPr>
        <w:t xml:space="preserve"> (04): ver secciones 4 y 6.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La lógica vive en un módulo de funciones puras (transforms.py) con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 pruebas unitarias</w:t>
      </w:r>
      <w:r>
        <w:rPr>
          <w:rFonts w:ascii="Arial" w:cs="Arial" w:eastAsia="Arial" w:hAnsi="Arial"/>
          <w:sz w:val="20"/>
          <w:szCs w:val="20"/>
        </w:rPr>
        <w:t xml:space="preserve"> que se ejecutan en local antes de cada commit.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C9C9" w:sz="4"/>
              <w:left w:val="single" w:color="6B1D3A" w:sz="18"/>
              <w:bottom w:val="single" w:color="C9C9C9" w:sz="4"/>
              <w:right w:val="single" w:color="C9C9C9" w:sz="4"/>
            </w:tcBorders>
            <w:shd w:fill="F7F1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Stack: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Python, pandas, PySpark, Delta Lake, pytest, Git/GitHub (Git folder en Databricks); Claude con acceso de escritura al repositorio.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Rol de la IA: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realizó el diagnóstico (IA-001), escribió la primera versión completa del pipeline, las pruebas y la documentación (IA-002) y completó la referencia DOCa desde la web oficial (IA-003).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Decisión y verificación humana: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revisión y aceptación del diagnóstico; ejecución paso a paso en la plataforma, que destapó una corrección necesaria (INC-03); decisión de aceptar la referencia DOCa sin contraste manual adicional, declarada como límite.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4. Calidad y gobierno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4.1 Cuarentena: nada se descarta sin rastro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Cada fila acaba 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silver</w:t>
      </w:r>
      <w:r>
        <w:rPr>
          <w:rFonts w:ascii="Arial" w:cs="Arial" w:eastAsia="Arial" w:hAnsi="Arial"/>
          <w:sz w:val="20"/>
          <w:szCs w:val="20"/>
        </w:rPr>
        <w:t xml:space="preserve"> (aceptada) o 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quarantine</w:t>
      </w:r>
      <w:r>
        <w:rPr>
          <w:rFonts w:ascii="Arial" w:cs="Arial" w:eastAsia="Arial" w:hAnsi="Arial"/>
          <w:sz w:val="20"/>
          <w:szCs w:val="20"/>
        </w:rPr>
        <w:t xml:space="preserve"> (en revisión o rechazada), siempre con su motivo. En la primera carga, el 0,34 % de las lecturas de embalses y el 0,12 % de los días de clima fueron a cuarentena.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2900"/>
        <w:gridCol w:w="2938"/>
      </w:tblGrid>
      <w:tr>
        <w:trPr>
          <w:tblHeader/>
        </w:trPr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Fuente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Aceptadas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Rechazadas (motivo)</w:t>
            </w:r>
          </w:p>
        </w:tc>
        <w:tc>
          <w:tcPr>
            <w:tcW w:type="dxa" w:w="29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 revisión (motivo)</w:t>
            </w:r>
          </w:p>
        </w:tc>
      </w:tr>
      <w:tr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Embalses del Ebro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124.701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228 (capacidad vacía o 0)</w:t>
            </w:r>
          </w:p>
        </w:tc>
        <w:tc>
          <w:tcPr>
            <w:tcW w:type="dxa" w:w="29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198 (volumen &gt; capacidad)</w:t>
            </w:r>
          </w:p>
        </w:tc>
      </w:tr>
      <w:tr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Clima de Logroño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9.778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 (sin temperatura media)</w:t>
            </w:r>
          </w:p>
        </w:tc>
        <w:tc>
          <w:tcPr>
            <w:tcW w:type="dxa" w:w="29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(lluvia «Acum», acumulada de varios días)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400675" cy="1371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3.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Silver de embalses (24/10/2026 19:07): estados y motivos registrados en ops.run_log.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4.2 Controles repetibles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Los 14 controles se ejecutan en cada carga y guardan su resultado en ops.quality_results. Los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críticos</w:t>
      </w:r>
      <w:r>
        <w:rPr>
          <w:rFonts w:ascii="Arial" w:cs="Arial" w:eastAsia="Arial" w:hAnsi="Arial"/>
          <w:sz w:val="20"/>
          <w:szCs w:val="20"/>
        </w:rPr>
        <w:t xml:space="preserve"> detienen la publicación de gold; los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avisos</w:t>
      </w:r>
      <w:r>
        <w:rPr>
          <w:rFonts w:ascii="Arial" w:cs="Arial" w:eastAsia="Arial" w:hAnsi="Arial"/>
          <w:sz w:val="20"/>
          <w:szCs w:val="20"/>
        </w:rPr>
        <w:t xml:space="preserve"> se muestran en el dashboard.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</w:t>
            </w:r>
          </w:p>
        </w:tc>
        <w:tc>
          <w:tcPr>
            <w:tcW w:type="dxa" w:w="8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Controles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Crítico (9)</w:t>
            </w:r>
          </w:p>
        </w:tc>
        <w:tc>
          <w:tcPr>
            <w:tcW w:type="dxa" w:w="8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Unicidad de claves (2) · sin datos sintéticos (2) · % de capacidad entre 0 y 100 · silver no vacía (2) ·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conciliación bronze → silver + quarantine (2): 0 claves perdidas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Aviso (5)</w:t>
            </w:r>
          </w:p>
        </w:tc>
        <w:tc>
          <w:tcPr>
            <w:tcW w:type="dxa" w:w="8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Frescura de MITECO (≤ 14 días) y AEMET (≤ 10 días) · cuarentena ≤ 5 % (2) · variación semanal de la reserva ≤ 10 puntos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400675" cy="2057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4.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Primera ejecución de los controles críticos (24/10/2026 19:11): los 9 superados, con 0 claves perdidas entre capas.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4.3 Gobierno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Clasificación y documentación:</w:t>
      </w:r>
      <w:r>
        <w:rPr>
          <w:rFonts w:ascii="Arial" w:cs="Arial" w:eastAsia="Arial" w:hAnsi="Arial"/>
          <w:sz w:val="20"/>
          <w:szCs w:val="20"/>
        </w:rPr>
        <w:t xml:space="preserve"> las 14 tablas tienen comentario y etiquetas (clasificación pública, sin datos personales, capa, fuente y proyecto). Las columnas clave explican su cálculo (figura 5).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Linaje:</w:t>
      </w:r>
      <w:r>
        <w:rPr>
          <w:rFonts w:ascii="Arial" w:cs="Arial" w:eastAsia="Arial" w:hAnsi="Arial"/>
          <w:sz w:val="20"/>
          <w:szCs w:val="20"/>
        </w:rPr>
        <w:t xml:space="preserve"> Unity Catalog lo registra automáticamente donde la transformación es SQL (figura 6).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Límite:</w:t>
      </w:r>
      <w:r>
        <w:rPr>
          <w:rFonts w:ascii="Arial" w:cs="Arial" w:eastAsia="Arial" w:hAnsi="Arial"/>
          <w:sz w:val="20"/>
          <w:szCs w:val="20"/>
        </w:rPr>
        <w:t xml:space="preserve"> en los pasos que pasan por pandas solo registra quién escribe la tabla, no de dónde viene (D-17); se compensa con la trazabilidad por fila (_source, _ingest_ts, _run_id) y con ops.run_log.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Exposición mínima:</w:t>
      </w:r>
      <w:r>
        <w:rPr>
          <w:rFonts w:ascii="Arial" w:cs="Arial" w:eastAsia="Arial" w:hAnsi="Arial"/>
          <w:sz w:val="20"/>
          <w:szCs w:val="20"/>
        </w:rPr>
        <w:t xml:space="preserve"> el dashboard se ejecuta con su propia identidad y solo puede leer gold, ops y ref; nunca bronze ni quarantine (figura 7).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Secretos y datos personales:</w:t>
      </w:r>
      <w:r>
        <w:rPr>
          <w:rFonts w:ascii="Arial" w:cs="Arial" w:eastAsia="Arial" w:hAnsi="Arial"/>
          <w:sz w:val="20"/>
          <w:szCs w:val="20"/>
        </w:rPr>
        <w:t xml:space="preserve"> la key de AEMET vive en un secret scope, nunca en el código. No hay datos personales; no se envió ninguno al asistente.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086350" cy="2343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5.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Catalog Explorer: descripción, comentario de columna (definición de Winkler) y etiquetas de gold.campana_vitivinicola.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095875" cy="2343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6.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Linaje automático silver.embalses_ebro → gold.reserva_ebro_semanal en Unity Catalog.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514725" cy="19812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7.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Permisos verificados con SHOW GRANTS (25/10/2026 00:01): la identidad de la app solo tiene USE SCHEMA y SELECT en gold y ops (y ref).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C9C9" w:sz="4"/>
              <w:left w:val="single" w:color="6B1D3A" w:sz="18"/>
              <w:bottom w:val="single" w:color="C9C9C9" w:sz="4"/>
              <w:right w:val="single" w:color="C9C9C9" w:sz="4"/>
            </w:tcBorders>
            <w:shd w:fill="F7F1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Stack: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Unity Catalog (tags, comentarios, linaje, GRANT), SQL, Catalog Explorer.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Rol de la IA: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escribió las reglas de calidad, los controles y el notebook de gobierno, y propuso la verificación con SHOW GRANTS que destapó INC-06.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Decisión y verificación humana: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ejecución y revisión de cada control; concesión final de permisos desde Catalog Explorer; aceptación del límite de linaje.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5. Operación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5.1 Cómo se ejecuta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Job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tfm_embalses_diario</w:t>
      </w:r>
      <w:r>
        <w:rPr>
          <w:rFonts w:ascii="Arial" w:cs="Arial" w:eastAsia="Arial" w:hAnsi="Arial"/>
          <w:sz w:val="20"/>
          <w:szCs w:val="20"/>
        </w:rPr>
        <w:t xml:space="preserve"> encadena bronze → silver → calidad → gold cada día a las 07:37 (Europe/Madrid), en serverless y sin intervención. Cada tarea solo se ejecuta si la anterior termina bien, y cada paso escribe su estado en ops.run_log. Se desactivó el modo *performance optimized* para no agotar la cuota diaria de Free Edition.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2343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8.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Primera ejecución del Job (24/10/2026): 4 tareas en verde en 6 min 15 s. Las dos canceladas son lanzamientos duplicados detenidos a mano.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5.2 Incidencias y resolución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2900"/>
        <w:gridCol w:w="3138"/>
      </w:tblGrid>
      <w:tr>
        <w:trPr>
          <w:tblHeader/>
        </w:trP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Incidencia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Causa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Resolución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INC-01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AEMET sin datos para la estación 9170X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Indicativo erróneo heredado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Inventario oficial de AEMET: el correcto es 9170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INC-02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 descarga de MITECO se corta a 8.388.608 bytes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Límite de 8 MiB por respuesta en Free Edition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Descarga por tramos HTTP Range de 4 MiB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INC-03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Aviso de reinicio tras instalar access-parser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%pip no recarga la sesión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restartPython() tras la instalación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INC-04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GRANT: PRINCIPAL_DOES_NOT_EXIST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usó el nombre visible de la app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Usar un identificador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INC-05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 app no descarga el código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Repositorio privado sin credencial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Repositorio público, revisado antes: sin secretos (D-18)</w:t>
            </w:r>
          </w:p>
        </w:tc>
      </w:tr>
      <w:tr>
        <w:tc>
          <w:tcPr>
            <w:tcW w:type="dxa" w:w="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INC-06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 app sin permiso USE CATALOG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GRANT por código usó otro identificador; no dio error, pero SHOW GRANTS estaba vacío</w:t>
            </w:r>
          </w:p>
        </w:tc>
        <w:tc>
          <w:tcPr>
            <w:tcW w:type="dxa" w:w="31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Permisos desde Catalog Explorer, verificados con SHOW GRANTS</w:t>
            </w:r>
          </w:p>
        </w:tc>
      </w:tr>
    </w:tbl>
    <w:p>
      <w:pPr>
        <w:spacing w:after="100" w:line="276"/>
        <w:jc w:val="both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3876675" cy="2343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9.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INC-01 e INC-02 (24/10/2026 18:12): AEMET sin datos para 9170X y la descarga de MITECO cortada exactamente a 8 MiB.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5.3 Historial de ejecuciones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300"/>
        <w:gridCol w:w="1500"/>
        <w:gridCol w:w="1100"/>
        <w:gridCol w:w="1738"/>
      </w:tblGrid>
      <w:tr>
        <w:trPr>
          <w:tblHeader/>
        </w:trP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Ejecución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AEMET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MITECO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Calidad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24/10 18:58–19:15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Manual, por pasos (carga histórica)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9.790 días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125.127 filas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14/14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OK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24/10 19:26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Job, lanzado a mano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Días nuevos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cambios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14/14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OK (6 min 15 s)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25/10 07:37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programado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27–28/10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programado · publicación semanal de MITECO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[nuevo fichero]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</w:tr>
      <w:tr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29/10 07:37</w:t>
            </w:r>
          </w:p>
        </w:tc>
        <w:tc>
          <w:tcPr>
            <w:tcW w:type="dxa" w:w="2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programado (última antes de entregar)</w:t>
            </w:r>
          </w:p>
        </w:tc>
        <w:tc>
          <w:tcPr>
            <w:tcW w:type="dxa" w:w="1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  <w:tc>
          <w:tcPr>
            <w:tcW w:type="dxa" w:w="17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[completar]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C9C9" w:sz="4"/>
              <w:left w:val="single" w:color="6B1D3A" w:sz="18"/>
              <w:bottom w:val="single" w:color="C9C9C9" w:sz="4"/>
              <w:right w:val="single" w:color="C9C9C9" w:sz="4"/>
            </w:tcBorders>
            <w:shd w:fill="F7F1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Stack: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Databricks Jobs (serverless), Delta, ops.run_log.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Rol de la IA: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diseñó el registro de ejecuciones e incidencias y diagnosticó cada fallo a partir de las capturas (por ejemplo, la causa raíz de INC-06 al comparar identificadores).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Decisión y verificación humana: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configuración del Job en la interfaz, cancelación de duplicados y validación de cada resolución con una nueva ejecución o un SHOW GRANTS.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6. Resultados y dashboard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Para qué sirve el dashboard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dashboard responde a dos públicos y, por eso, tiene dos pestañas: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Campaña y reserva (negocio).</w:t>
      </w:r>
      <w:r>
        <w:rPr>
          <w:rFonts w:ascii="Arial" w:cs="Arial" w:eastAsia="Arial" w:hAnsi="Arial"/>
          <w:sz w:val="20"/>
          <w:szCs w:val="20"/>
        </w:rPr>
        <w:t xml:space="preserve"> Para una bodega, un técnico de viñedo o la propia DOCa: en un vistazo, cómo está la reserva del Ebro frente al año anterior, cuánto ha llovido y cuánto calor ha acumulado la campaña, y dónde se sitúa respecto a todas las añadas desde 2000 con su calificación oficial. No predice la calificación: sitúa la campaña en curso frente a la historia para apoyar decisiones de riego, vendimia o comunicación.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Salud del pipeline (operación).</w:t>
      </w:r>
      <w:r>
        <w:rPr>
          <w:rFonts w:ascii="Arial" w:cs="Arial" w:eastAsia="Arial" w:hAnsi="Arial"/>
          <w:sz w:val="20"/>
          <w:szCs w:val="20"/>
        </w:rPr>
        <w:t xml:space="preserve"> Para quien mantiene el sistema: ejecuciones, resultado de los 14 controles en la última carga, su evolución y los ficheros de MITECO cargados con su huella. Es la evidencia viva de que los datos de la otra pestaña están controlados.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implementó 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Streamlit como Databricks App</w:t>
      </w:r>
      <w:r>
        <w:rPr>
          <w:rFonts w:ascii="Arial" w:cs="Arial" w:eastAsia="Arial" w:hAnsi="Arial"/>
          <w:sz w:val="20"/>
          <w:szCs w:val="20"/>
        </w:rPr>
        <w:t xml:space="preserve"> (D-07): el código está en el repositorio, lee en vivo las tablas gold y ops a través del SQL warehouse y se ejecuta con una identidad de solo lectura.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39624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10.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Pestaña «Campaña y reserva» (25/10/2026 00:11): KPIs y cada campaña situada por grados-día y lluvia, coloreada por su calificación DOCa.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048125" cy="39624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555555"/>
          <w:sz w:val="16"/>
          <w:szCs w:val="16"/>
        </w:rPr>
        <w:t xml:space="preserve">Figura 11. </w:t>
      </w: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Pestaña «Salud del pipeline» (25/10/2026 00:09): ejecuciones registradas y los 14 controles de la última carga, con 0 fallos.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6.2 Resultados medidos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Reserva del Ebro: 44,9 %</w:t>
      </w:r>
      <w:r>
        <w:rPr>
          <w:rFonts w:ascii="Arial" w:cs="Arial" w:eastAsia="Arial" w:hAnsi="Arial"/>
          <w:sz w:val="20"/>
          <w:szCs w:val="20"/>
        </w:rPr>
        <w:t xml:space="preserve"> en la semana del 20/10/2026,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 puntos por debajo</w:t>
      </w:r>
      <w:r>
        <w:rPr>
          <w:rFonts w:ascii="Arial" w:cs="Arial" w:eastAsia="Arial" w:hAnsi="Arial"/>
          <w:sz w:val="20"/>
          <w:szCs w:val="20"/>
        </w:rPr>
        <w:t xml:space="preserve"> de la misma semana de 2025.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Campaña 2026 en Logroño:</w:t>
      </w:r>
      <w:r>
        <w:rPr>
          <w:rFonts w:ascii="Arial" w:cs="Arial" w:eastAsia="Arial" w:hAnsi="Arial"/>
          <w:sz w:val="20"/>
          <w:szCs w:val="20"/>
        </w:rPr>
        <w:t xml:space="preserve"> 202 mm de lluvia 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2.377 grados-día</w:t>
      </w:r>
      <w:r>
        <w:rPr>
          <w:rFonts w:ascii="Arial" w:cs="Arial" w:eastAsia="Arial" w:hAnsi="Arial"/>
          <w:sz w:val="20"/>
          <w:szCs w:val="20"/>
        </w:rPr>
        <w:t xml:space="preserve">, el valor más alto de la serie desde 2000 (región V, «cálida»).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Lectura descriptiva de la serie:</w:t>
      </w:r>
      <w:r>
        <w:rPr>
          <w:rFonts w:ascii="Arial" w:cs="Arial" w:eastAsia="Arial" w:hAnsi="Arial"/>
          <w:sz w:val="20"/>
          <w:szCs w:val="20"/>
        </w:rPr>
        <w:t xml:space="preserve"> más lluvia no implica mejor calificación. 2024 fue la campaña más lluviosa (480 mm) y se calificó «Buena»; 2016 y 2022, de las más secas, «Muy buena».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6.3 Hipótesis, no resultados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Los grados-día de Logroño (≈ 1.950–2.380 en 2022–2026) parecen altos frente a la clasificación clásica de Rioja. Puede deberse al calentamiento reciente o a que una sola estación de valle no representa toda la DOCa: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está contrastado con bibliografía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Con 26 añadas calificadas no es posible establecer una relación estadística entre clima y calificación; por eso el indicador es descriptivo.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C9C9" w:sz="4"/>
              <w:left w:val="single" w:color="6B1D3A" w:sz="18"/>
              <w:bottom w:val="single" w:color="C9C9C9" w:sz="4"/>
              <w:right w:val="single" w:color="C9C9C9" w:sz="4"/>
            </w:tcBorders>
            <w:shd w:fill="F7F1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Stack: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Streamlit, Altair, databricks-sql-connector, Databricks Apps, SQL warehouse serverless.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Rol de la IA: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escribió la app y su configuración, y revisó la app desplegada en el navegador integrado (solo lectura).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1D3A"/>
                <w:sz w:val="17"/>
                <w:szCs w:val="17"/>
              </w:rPr>
              <w:t xml:space="preserve">Decisión y verificación humana: 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creación y despliegue de la app, concesión de permisos y comprobación de que los KPIs coinciden con gold.kpis (E-15).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7. Justificación cuantitativa: horas y costes</w:t>
      </w: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Tarea comparada:</w:t>
      </w:r>
      <w:r>
        <w:rPr>
          <w:rFonts w:ascii="Arial" w:cs="Arial" w:eastAsia="Arial" w:hAnsi="Arial"/>
          <w:sz w:val="20"/>
          <w:szCs w:val="20"/>
        </w:rPr>
        <w:t xml:space="preserve"> llevar un pipeline heredado de una fuente pública a producción controlada (diagnóstico, fuentes reales, normalización, calidad, gobierno, operación, dashboard y documentación).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Criterio de resultado correcto:</w:t>
      </w:r>
      <w:r>
        <w:rPr>
          <w:rFonts w:ascii="Arial" w:cs="Arial" w:eastAsia="Arial" w:hAnsi="Arial"/>
          <w:sz w:val="20"/>
          <w:szCs w:val="20"/>
        </w:rPr>
        <w:t xml:space="preserve"> los 14 controles superados, el Job operando y el dashboard con datos reales.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300"/>
        <w:gridCol w:w="3038"/>
      </w:tblGrid>
      <w:tr>
        <w:trPr>
          <w:tblHeader/>
        </w:trP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Bloque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Sin IA (estimación)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 IA: ejecución + revisión humana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Diagnóstico del código heredado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2,5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0,3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Búsqueda y pruebas de fuentes reales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0,8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Pipeline, pruebas y normalización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1,5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Calidad y controles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0,5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Gobierno y permisos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 y despliegue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1,5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Registros, evidencias y documentación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4,5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1,5 h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36 h</w:t>
            </w:r>
          </w:p>
        </w:tc>
        <w:tc>
          <w:tcPr>
            <w:tcW w:type="dxa" w:w="30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7,1 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(24/10 17:07 → 25/10 00:15)</w:t>
            </w:r>
          </w:p>
        </w:tc>
      </w:tr>
    </w:tbl>
    <w:p>
      <w:pPr>
        <w:spacing w:after="100" w:line="276"/>
        <w:jc w:val="both"/>
      </w:pP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Origen de las cifras.</w:t>
      </w:r>
      <w:r>
        <w:rPr>
          <w:rFonts w:ascii="Arial" w:cs="Arial" w:eastAsia="Arial" w:hAnsi="Arial"/>
          <w:sz w:val="20"/>
          <w:szCs w:val="20"/>
        </w:rPr>
        <w:t xml:space="preserve"> Las horas con IA salen de las marcas de tiempo de la sesión de trabajo; su reparto por bloque es aproximado e incluye la revisión humana (ejecutar, comprobar, decidir). La columna sin IA es una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estimación</w:t>
      </w:r>
      <w:r>
        <w:rPr>
          <w:rFonts w:ascii="Arial" w:cs="Arial" w:eastAsia="Arial" w:hAnsi="Arial"/>
          <w:sz w:val="20"/>
          <w:szCs w:val="20"/>
        </w:rPr>
        <w:t xml:space="preserve"> de la autora para una profesional con experiencia en el stack: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hay línea base observada</w:t>
      </w:r>
      <w:r>
        <w:rPr>
          <w:rFonts w:ascii="Arial" w:cs="Arial" w:eastAsia="Arial" w:hAnsi="Arial"/>
          <w:sz w:val="20"/>
          <w:szCs w:val="20"/>
        </w:rPr>
        <w:t xml:space="preserve">. Para confirmarla habría que repetir una tarea equivalente sin asistente.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400"/>
        <w:gridCol w:w="2238"/>
      </w:tblGrid>
      <w:tr>
        <w:trPr>
          <w:tblHeader/>
        </w:trP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Concepto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Tipo</w:t>
            </w:r>
          </w:p>
        </w:tc>
      </w:tr>
      <w:t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Horas ahorradas por ejecución (36 − 7,1)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28,9 h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Estimación</w:t>
            </w:r>
          </w:p>
        </w:tc>
      </w:tr>
      <w:t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Tarifa horaria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45 €/h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Supuesto declarado</w:t>
            </w:r>
          </w:p>
        </w:tc>
      </w:tr>
      <w:t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Coste incremental de IA y herramientas por ejecución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≈ 20 € (suscripción mensual de Claude prorrateada; Databricks Free Edition y GitHub: 0 €)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Supuesto: precio a confirmar por la autora</w:t>
            </w:r>
          </w:p>
        </w:tc>
      </w:tr>
      <w:t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Ejecuciones al año (nuevas fuentes o casos equivalentes)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Supuesto</w:t>
            </w:r>
          </w:p>
        </w:tc>
      </w:tr>
      <w:tr>
        <w:tc>
          <w:tcPr>
            <w:tcW w:type="dxa" w:w="4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Beneficio neto anual estimado</w:t>
            </w:r>
          </w:p>
        </w:tc>
        <w:tc>
          <w:tcPr>
            <w:tcW w:type="dxa" w:w="3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(28,9 × 45 − 20) × 4 ≈ 5.122 €</w:t>
            </w:r>
          </w:p>
        </w:tc>
        <w:tc>
          <w:tcPr>
            <w:tcW w:type="dxa" w:w="22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Estimación</w:t>
            </w:r>
          </w:p>
        </w:tc>
      </w:tr>
    </w:tbl>
    <w:p>
      <w:pPr>
        <w:spacing w:after="100" w:line="276"/>
        <w:jc w:val="both"/>
      </w:pPr>
    </w:p>
    <w:p>
      <w:pPr>
        <w:spacing w:after="100" w:line="276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Límites.</w:t>
      </w:r>
      <w:r>
        <w:rPr>
          <w:rFonts w:ascii="Arial" w:cs="Arial" w:eastAsia="Arial" w:hAnsi="Arial"/>
          <w:sz w:val="20"/>
          <w:szCs w:val="20"/>
        </w:rPr>
        <w:t xml:space="preserve"> El ahorro de tiempo es más sólido que el monetario, que depende de la tarifa y de la frecuencia supuestas. El ahorro no es gratuito: hubo 6 incidencias que la IA no anticipó y que exigieron ejecución y criterio humano, y su propia propuesta de permisos por código falló en silencio (INC-06). En plataformas de pago habría que sumar el coste de cómputo, aquí nulo por usar Free Edition.</w:t>
      </w: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8. Conclusiones y límites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Qué queda demostrado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Que un pipeline que «funcionaba» puede estar produciendo datos no verificables, y que diagnosticarlo con evidencia (hallazgos confirmados con datos reales) es el primer paso de cualquier proyecto de datos.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Un flujo de datos reales con origen trazable por fila, cuarentena con motivo, 14 controles repetibles que bloquean la publicación, gobierno con exposición mínima y operación diaria registrada.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Un uso de IA trazable: 4 entradas en el registro de IA, cada una con su verificación y con la decisión humana explícita.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Qué no queda demostrado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La línea base manual es estimada, no medida.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La relación entre clima y calificación DOCa: el indicador es descriptivo.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El linaje completo entre tablas en los pasos con pandas (D-17).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Una sola estación meteorológica representa la DOCa, y la añada 2000 procede de una fuente secundaria.</w:t>
      </w:r>
    </w:p>
    <w:p>
      <w:pPr>
        <w:pStyle w:val="Heading2"/>
        <w:keepNext/>
        <w:keepLines/>
        <w:spacing w:after="80" w:before="1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Riesgos y siguientes pasos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MITECO publica sus datos «sin validar»: pueden revisarse hacia atrás. El pipeline ya conserva cada versión del fichero y se queda con la última; el siguiente paso sería medir cuántos valores cambian entre versiones.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Reescribir en Spark los pasos con pandas para recuperar el linaje completo, añadir más estaciones (Haro, Rioja Alta) y alertas por correo cuando falle un control crítico.</w:t>
      </w:r>
    </w:p>
    <w:p>
      <w:pPr>
        <w:pStyle w:val="Heading1"/>
        <w:keepNext/>
        <w:keepLines/>
        <w:spacing w:after="120" w:before="240"/>
      </w:pPr>
      <w:r>
        <w:rPr>
          <w:rFonts w:ascii="Arial" w:cs="Arial" w:eastAsia="Arial" w:hAnsi="Arial"/>
          <w:b/>
          <w:bCs/>
          <w:color w:val="6B1D3A"/>
          <w:sz w:val="28"/>
          <w:szCs w:val="28"/>
        </w:rPr>
        <w:t xml:space="preserve">Anexo · Documentación y reproducibilidad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EBDDE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Dónde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Código, pruebas y notebooks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github.com/PatriciaL/tfm-embalses (pipeline/, tests/, app/)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Reproducir desde cero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README.md del repositorio (5 pasos; las pruebas se ejecutan con pytest)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Diagnóstico del pipeline heredado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docs/diagnostico.md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Registro de decisiones (D-01 a D-18)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docs/decisiones.md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Índice de evidencias e incidencias (E-01 a E-26, INC-01 a INC-06)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docs/evidencias.md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Registro de uso de IA (IA-001 a IA-004)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docs/ai_log.md</w:t>
            </w:r>
          </w:p>
        </w:tc>
      </w:tr>
      <w:tr>
        <w:tc>
          <w:tcPr>
            <w:tcW w:type="dxa" w:w="43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Definición del Job</w:t>
            </w:r>
          </w:p>
        </w:tc>
        <w:tc>
          <w:tcPr>
            <w:tcW w:type="dxa" w:w="533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jobs/job_tfm_embalses.md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TFM · Agua y viñedo en La Rioja ·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6B1D3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4bfa2d8bc431d39cf7fde55b834a2c9b8a98aee.png"/><Relationship Id="rId9" Type="http://schemas.openxmlformats.org/officeDocument/2006/relationships/image" Target="media/cebf582f85abd80c486deb0c0256c0a8999a59d2.png"/><Relationship Id="rId10" Type="http://schemas.openxmlformats.org/officeDocument/2006/relationships/image" Target="media/85ba6bda18885c0b95eaec2c8ce3bfa6869925bb.png"/><Relationship Id="rId11" Type="http://schemas.openxmlformats.org/officeDocument/2006/relationships/image" Target="media/6b351ad45898e34271ab26c79f9cf1ddb58225eb.png"/><Relationship Id="rId12" Type="http://schemas.openxmlformats.org/officeDocument/2006/relationships/image" Target="media/39efd77d30ee94ce8b77d6697c708cb68ba2e991.png"/><Relationship Id="rId13" Type="http://schemas.openxmlformats.org/officeDocument/2006/relationships/image" Target="media/fad66ebd6b71d8a4379d357b4121f5032ab81b7f.png"/><Relationship Id="rId14" Type="http://schemas.openxmlformats.org/officeDocument/2006/relationships/image" Target="media/8a22c588fd1a5598e3ad3da5c852c7df56843533.png"/><Relationship Id="rId15" Type="http://schemas.openxmlformats.org/officeDocument/2006/relationships/image" Target="media/4877f775179f9451bfbaa1989470246e5e99ddb3.png"/><Relationship Id="rId16" Type="http://schemas.openxmlformats.org/officeDocument/2006/relationships/image" Target="media/759276c0be9a6385c606f25a8258e28114196960.png"/><Relationship Id="rId17" Type="http://schemas.openxmlformats.org/officeDocument/2006/relationships/image" Target="media/d476be62de30fe1edaa3fe9c0c21df13bb8901b6.png"/><Relationship Id="rId18" Type="http://schemas.openxmlformats.org/officeDocument/2006/relationships/image" Target="media/e686be64bda7a7f36e87595089f888546fa8e650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2026-10-24T22:16:21.244Z</dcterms:created>
  <dcterms:modified xsi:type="dcterms:W3CDTF">2026-10-24T22:16:21.244Z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