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Procedimiento de monitoreo</w:t>
        <w:br/>
      </w:r>
      <w:r>
        <w:rPr>
          <w:sz w:val="34"/>
        </w:rPr>
        <w:t>Gusano cogollero en maíz</w:t>
      </w:r>
    </w:p>
    <w:p>
      <w:pPr>
        <w:jc w:val="center"/>
      </w:pPr>
      <w:r>
        <w:rPr>
          <w:i/>
        </w:rPr>
        <w:t>Documento operativo para una base de conocimiento RAG</w:t>
      </w:r>
    </w:p>
    <w:p>
      <w:pPr>
        <w:pStyle w:val="Heading1"/>
      </w:pPr>
      <w:r>
        <w:t>1. Propósito</w:t>
      </w:r>
    </w:p>
    <w:p>
      <w:r>
        <w:t>Establecer un procedimiento reproducible para detectar oportunamente daño y larvas de Spodoptera frugiperda, registrar observaciones y generar evidencia suficiente antes de recomendar una intervención.</w:t>
      </w:r>
    </w:p>
    <w:p>
      <w:pPr>
        <w:pStyle w:val="Heading1"/>
      </w:pPr>
      <w:r>
        <w:t>2. Alcance</w:t>
      </w:r>
    </w:p>
    <w:p>
      <w:r>
        <w:t>Aplicable a parcelas de maíz durante etapas vegetativas, con ajustes según región, sistema de producción, condiciones ambientales e historial de la plaga.</w:t>
      </w:r>
    </w:p>
    <w:p>
      <w:pPr>
        <w:pStyle w:val="Heading1"/>
      </w:pPr>
      <w:r>
        <w:t>3. Material necesario</w:t>
      </w:r>
    </w:p>
    <w:p>
      <w:pPr>
        <w:pStyle w:val="ListBullet"/>
      </w:pPr>
      <w:r>
        <w:t>Formato o aplicación de registro</w:t>
      </w:r>
    </w:p>
    <w:p>
      <w:pPr>
        <w:pStyle w:val="ListBullet"/>
      </w:pPr>
      <w:r>
        <w:t>Guantes y lupa opcional</w:t>
      </w:r>
    </w:p>
    <w:p>
      <w:pPr>
        <w:pStyle w:val="ListBullet"/>
      </w:pPr>
      <w:r>
        <w:t>Marcador o etiquetas</w:t>
      </w:r>
    </w:p>
    <w:p>
      <w:pPr>
        <w:pStyle w:val="ListBullet"/>
      </w:pPr>
      <w:r>
        <w:t>Teléfono para fotografías</w:t>
      </w:r>
    </w:p>
    <w:p>
      <w:pPr>
        <w:pStyle w:val="ListBullet"/>
      </w:pPr>
      <w:r>
        <w:t>Mapa o croquis del lote</w:t>
      </w:r>
    </w:p>
    <w:p>
      <w:pPr>
        <w:pStyle w:val="Heading1"/>
      </w:pPr>
      <w:r>
        <w:t>4. Procedimiento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Paso</w:t>
            </w:r>
          </w:p>
        </w:tc>
        <w:tc>
          <w:tcPr>
            <w:tcW w:type="dxa" w:w="3360"/>
          </w:tcPr>
          <w:p>
            <w:r>
              <w:t>Actividad</w:t>
            </w:r>
          </w:p>
        </w:tc>
        <w:tc>
          <w:tcPr>
            <w:tcW w:type="dxa" w:w="3360"/>
          </w:tcPr>
          <w:p>
            <w:r>
              <w:t>Criterio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Planear el recorrido</w:t>
            </w:r>
          </w:p>
        </w:tc>
        <w:tc>
          <w:tcPr>
            <w:tcW w:type="dxa" w:w="3360"/>
            <w:vAlign w:val="center"/>
          </w:tcPr>
          <w:p>
            <w:r>
              <w:t>Distribuir los puntos de observación dentro del lote y evitar basar la decisión únicamente en bordes.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Observar hojas jóvenes</w:t>
            </w:r>
          </w:p>
        </w:tc>
        <w:tc>
          <w:tcPr>
            <w:tcW w:type="dxa" w:w="3360"/>
            <w:vAlign w:val="center"/>
          </w:tcPr>
          <w:p>
            <w:r>
              <w:t>Buscar raspados, áreas translúcidas, perforaciones y daño reciente.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Abrir el cogollo</w:t>
            </w:r>
          </w:p>
        </w:tc>
        <w:tc>
          <w:tcPr>
            <w:tcW w:type="dxa" w:w="3360"/>
            <w:vAlign w:val="center"/>
          </w:tcPr>
          <w:p>
            <w:r>
              <w:t>Separar cuidadosamente las hojas para confirmar larvas vivas y estimar su tamaño.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Registrar incidencia</w:t>
            </w:r>
          </w:p>
        </w:tc>
        <w:tc>
          <w:tcPr>
            <w:tcW w:type="dxa" w:w="3360"/>
            <w:vAlign w:val="center"/>
          </w:tcPr>
          <w:p>
            <w:r>
              <w:t>Anotar plantas revisadas, plantas dañadas, plantas con larvas vivas y distribución del daño.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Registrar contexto</w:t>
            </w:r>
          </w:p>
        </w:tc>
        <w:tc>
          <w:tcPr>
            <w:tcW w:type="dxa" w:w="3360"/>
            <w:vAlign w:val="center"/>
          </w:tcPr>
          <w:p>
            <w:r>
              <w:t>Incluir etapa fenológica, fecha, localidad, clima reciente, manejo previo y fotografías.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Revisar enemigos naturales</w:t>
            </w:r>
          </w:p>
        </w:tc>
        <w:tc>
          <w:tcPr>
            <w:tcW w:type="dxa" w:w="3360"/>
            <w:vAlign w:val="center"/>
          </w:tcPr>
          <w:p>
            <w:r>
              <w:t>Anotar presencia de parasitoides, depredadores o larvas con signos de enfermedad.</w:t>
            </w:r>
          </w:p>
        </w:tc>
      </w:tr>
      <w:tr>
        <w:tc>
          <w:tcPr>
            <w:tcW w:type="dxa" w:w="3360"/>
            <w:vAlign w:val="center"/>
          </w:tcPr>
          <w:p>
            <w:r>
              <w:t>7</w:t>
            </w:r>
          </w:p>
        </w:tc>
        <w:tc>
          <w:tcPr>
            <w:tcW w:type="dxa" w:w="3360"/>
            <w:vAlign w:val="center"/>
          </w:tcPr>
          <w:p>
            <w:r>
              <w:t>Clasificar la situación</w:t>
            </w:r>
          </w:p>
        </w:tc>
        <w:tc>
          <w:tcPr>
            <w:tcW w:type="dxa" w:w="3360"/>
            <w:vAlign w:val="center"/>
          </w:tcPr>
          <w:p>
            <w:r>
              <w:t>Distinguir prevención, detección temprana, infestación incipiente, daño avanzado o evaluación posterior.</w:t>
            </w:r>
          </w:p>
        </w:tc>
      </w:tr>
      <w:tr>
        <w:tc>
          <w:tcPr>
            <w:tcW w:type="dxa" w:w="3360"/>
            <w:vAlign w:val="center"/>
          </w:tcPr>
          <w:p>
            <w:r>
              <w:t>8</w:t>
            </w:r>
          </w:p>
        </w:tc>
        <w:tc>
          <w:tcPr>
            <w:tcW w:type="dxa" w:w="3360"/>
            <w:vAlign w:val="center"/>
          </w:tcPr>
          <w:p>
            <w:r>
              <w:t>Decidir la acción</w:t>
            </w:r>
          </w:p>
        </w:tc>
        <w:tc>
          <w:tcPr>
            <w:tcW w:type="dxa" w:w="3360"/>
            <w:vAlign w:val="center"/>
          </w:tcPr>
          <w:p>
            <w:r>
              <w:t>Continuar monitoreo, aplicar una medida compatible con MIP o solicitar diagnóstico técnico.</w:t>
            </w:r>
          </w:p>
        </w:tc>
      </w:tr>
    </w:tbl>
    <w:p>
      <w:pPr>
        <w:pStyle w:val="Heading1"/>
      </w:pPr>
      <w:r>
        <w:t>5. Registro mínimo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Fecha</w:t>
              <w:br/>
              <w:t>________________</w:t>
            </w:r>
          </w:p>
        </w:tc>
        <w:tc>
          <w:tcPr>
            <w:tcW w:type="dxa" w:w="2520"/>
          </w:tcPr>
          <w:p>
            <w:r>
              <w:t>Localidad / lote</w:t>
              <w:br/>
              <w:t>________________</w:t>
            </w:r>
          </w:p>
        </w:tc>
        <w:tc>
          <w:tcPr>
            <w:tcW w:type="dxa" w:w="2520"/>
          </w:tcPr>
          <w:p>
            <w:r>
              <w:t>Etapa fenológica</w:t>
              <w:br/>
              <w:t>________________</w:t>
            </w:r>
          </w:p>
        </w:tc>
        <w:tc>
          <w:tcPr>
            <w:tcW w:type="dxa" w:w="2520"/>
          </w:tcPr>
          <w:p>
            <w:r>
              <w:t>Plantas revisadas</w:t>
              <w:br/>
              <w:t>________________</w:t>
            </w:r>
          </w:p>
        </w:tc>
      </w:tr>
      <w:tr>
        <w:tc>
          <w:tcPr>
            <w:tcW w:type="dxa" w:w="2520"/>
          </w:tcPr>
          <w:p>
            <w:r>
              <w:t>Plantas con daño</w:t>
              <w:br/>
              <w:t>________________</w:t>
            </w:r>
          </w:p>
        </w:tc>
        <w:tc>
          <w:tcPr>
            <w:tcW w:type="dxa" w:w="2520"/>
          </w:tcPr>
          <w:p>
            <w:r>
              <w:t>Plantas con larvas vivas</w:t>
              <w:br/>
              <w:t>________________</w:t>
            </w:r>
          </w:p>
        </w:tc>
        <w:tc>
          <w:tcPr>
            <w:tcW w:type="dxa" w:w="2520"/>
          </w:tcPr>
          <w:p>
            <w:r>
              <w:t>Tamaño aproximado</w:t>
              <w:br/>
              <w:t>________________</w:t>
            </w:r>
          </w:p>
        </w:tc>
        <w:tc>
          <w:tcPr>
            <w:tcW w:type="dxa" w:w="2520"/>
          </w:tcPr>
          <w:p>
            <w:r>
              <w:t>Tipo de daño</w:t>
              <w:br/>
              <w:t>________________</w:t>
            </w:r>
          </w:p>
        </w:tc>
      </w:tr>
      <w:tr>
        <w:tc>
          <w:tcPr>
            <w:tcW w:type="dxa" w:w="2520"/>
          </w:tcPr>
          <w:p>
            <w:r>
              <w:t>Enemigos naturales</w:t>
              <w:br/>
              <w:t>________________</w:t>
            </w:r>
          </w:p>
        </w:tc>
        <w:tc>
          <w:tcPr>
            <w:tcW w:type="dxa" w:w="2520"/>
          </w:tcPr>
          <w:p>
            <w:r>
              <w:t>Manejo previo</w:t>
              <w:br/>
              <w:t>________________</w:t>
            </w:r>
          </w:p>
        </w:tc>
        <w:tc>
          <w:tcPr>
            <w:tcW w:type="dxa" w:w="2520"/>
          </w:tcPr>
          <w:p>
            <w:r>
              <w:t>Acción acordada</w:t>
              <w:br/>
              <w:t>________________</w:t>
            </w:r>
          </w:p>
        </w:tc>
        <w:tc>
          <w:tcPr>
            <w:tcW w:type="dxa" w:w="2520"/>
          </w:tcPr>
          <w:p>
            <w:r>
              <w:t>Fecha de nueva revisión</w:t>
              <w:br/>
              <w:t>________________</w:t>
            </w:r>
          </w:p>
        </w:tc>
      </w:tr>
    </w:tbl>
    <w:p>
      <w:pPr>
        <w:pStyle w:val="Heading1"/>
      </w:pPr>
      <w:r>
        <w:t>6. Reglas de decisión</w:t>
      </w:r>
    </w:p>
    <w:p>
      <w:pPr>
        <w:pStyle w:val="ListBullet"/>
      </w:pPr>
      <w:r>
        <w:t>Prevención - Revisar historial del lote, malezas, residuos y fechas de siembra. Reducir condiciones favorables y planear monitoreo.</w:t>
      </w:r>
    </w:p>
    <w:p>
      <w:pPr>
        <w:pStyle w:val="ListBullet"/>
      </w:pPr>
      <w:r>
        <w:t>Detección temprana - Abrir el cogollo y buscar larvas vivas pequeñas. Confirmar presencia; aumentar frecuencia de revisión.</w:t>
      </w:r>
    </w:p>
    <w:p>
      <w:pPr>
        <w:pStyle w:val="ListBullet"/>
      </w:pPr>
      <w:r>
        <w:t>Infestación incipiente - Priorizar medidas selectivas y biológicas compatibles con MIP. Intervenir antes de que la larva se profundice.</w:t>
      </w:r>
    </w:p>
    <w:p>
      <w:pPr>
        <w:pStyle w:val="ListBullet"/>
      </w:pPr>
      <w:r>
        <w:t>Daño avanzado - Evaluar viabilidad económica y cobertura; evitar aplicaciones tardías ineficaces. Consultar asistencia técnica y etiqueta vigente.</w:t>
      </w:r>
    </w:p>
    <w:p>
      <w:pPr>
        <w:pStyle w:val="ListBullet"/>
      </w:pPr>
      <w:r>
        <w:t>Después del control - Revisar larvas vivas, daño nuevo y enemigos naturales. Registrar eficacia y decidir si continuar monitoreo.</w:t>
      </w:r>
    </w:p>
    <w:p>
      <w:pPr>
        <w:pStyle w:val="Heading1"/>
      </w:pPr>
      <w:r>
        <w:t>7. Advertencias</w:t>
      </w:r>
    </w:p>
    <w:p>
      <w:r>
        <w:t>Material educativo y de apoyo a la toma de decisiones. Las recomendaciones deben adaptarse a la región, etapa del cultivo, nivel de infestación, etiqueta vigente del producto y normativa local. No sustituye el diagnóstico de personal técnico.</w:t>
      </w:r>
    </w:p>
    <w:p>
      <w:r>
        <w:t>No se deben generar dosis o intervalos de aplicación a partir de fragmentos aislados. La recomendación debe contrastarse con la etiqueta vigente y con la situación específica del lote.</w:t>
      </w:r>
    </w:p>
    <w:p>
      <w:pPr>
        <w:pStyle w:val="Heading1"/>
      </w:pPr>
      <w:r>
        <w:t>8. Trazabilidad</w:t>
      </w:r>
    </w:p>
    <w:p>
      <w:r>
        <w:t>Cuando este procedimiento sea usado por el asistente, la respuesta debe conservar el nombre del archivo recuperado, categoría, dominio y URL del fragmento fuente.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59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9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859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