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6B5E0A" w:rsidRPr="006B5E0A" w:rsidRDefault="006B5E0A" w:rsidP="006B5E0A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6B5E0A">
        <w:rPr>
          <w:rFonts w:ascii="Georgia" w:eastAsia="Times New Roman" w:hAnsi="Georgia" w:cs="Arial"/>
          <w:color w:val="333333"/>
          <w:kern w:val="36"/>
          <w:sz w:val="36"/>
          <w:szCs w:val="36"/>
        </w:rPr>
        <w:t>Principal Component Analysis</w:t>
      </w:r>
    </w:p>
    <w:p w:rsidR="006B5E0A" w:rsidRPr="006B5E0A" w:rsidRDefault="006B5E0A" w:rsidP="006B5E0A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6B5E0A" w:rsidRPr="006B5E0A" w:rsidRDefault="006B5E0A" w:rsidP="006B5E0A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B5E0A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B5E0A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B5E0A" w:rsidRPr="006B5E0A" w:rsidRDefault="006B5E0A" w:rsidP="006B5E0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B5E0A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6B5E0A" w:rsidRPr="006B5E0A" w:rsidRDefault="006B5E0A" w:rsidP="006B5E0A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Consider the following 2D dataset: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6in;height:315pt">
            <v:imagedata r:id="rId4" o:title="lkk6_L7kEeSZtCIACx4DqA_15.1-question"/>
          </v:shape>
        </w:pi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Which of the following figures correspond to possible values that PCA may return for 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u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1)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(the first eigenvector / first principal component)? Check all that apply (you may have to check more than one figure).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00" type="#_x0000_t75" style="width:20.25pt;height:15.75pt" o:ole="">
            <v:imagedata r:id="rId5" o:title=""/>
          </v:shape>
          <w:control r:id="rId6" w:name="DefaultOcxName" w:shapeid="_x0000_i1100"/>
        </w:object>
      </w:r>
      <w:r>
        <w:rPr>
          <w:rFonts w:ascii="Arial" w:eastAsia="Times New Roman" w:hAnsi="Arial" w:cs="Arial"/>
          <w:color w:val="333333"/>
          <w:sz w:val="24"/>
          <w:szCs w:val="24"/>
        </w:rPr>
        <w:pict>
          <v:shape id="_x0000_i1094" type="#_x0000_t75" style="width:6in;height:315pt">
            <v:imagedata r:id="rId7" o:title="wBdxSL7kEeSKOiIAC1ARFQ_15.1-a"/>
          </v:shape>
        </w:pic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02" type="#_x0000_t75" style="width:20.25pt;height:15.75pt" o:ole="">
            <v:imagedata r:id="rId5" o:title=""/>
          </v:shape>
          <w:control r:id="rId8" w:name="DefaultOcxName1" w:shapeid="_x0000_i1102"/>
        </w:object>
      </w:r>
      <w:r>
        <w:rPr>
          <w:rFonts w:ascii="Arial" w:eastAsia="Times New Roman" w:hAnsi="Arial" w:cs="Arial"/>
          <w:color w:val="333333"/>
          <w:sz w:val="24"/>
          <w:szCs w:val="24"/>
        </w:rPr>
        <w:pict>
          <v:shape id="_x0000_i1095" type="#_x0000_t75" style="width:6in;height:315pt">
            <v:imagedata r:id="rId9" o:title="6lGHcL7kEeSZtCIACx4DqA_15.1-b"/>
          </v:shape>
        </w:pic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82" type="#_x0000_t75" style="width:20.25pt;height:15.75pt" o:ole="">
            <v:imagedata r:id="rId10" o:title=""/>
          </v:shape>
          <w:control r:id="rId11" w:name="DefaultOcxName2" w:shapeid="_x0000_i1082"/>
        </w:object>
      </w:r>
      <w:r>
        <w:rPr>
          <w:rFonts w:ascii="Arial" w:eastAsia="Times New Roman" w:hAnsi="Arial" w:cs="Arial"/>
          <w:color w:val="333333"/>
          <w:sz w:val="24"/>
          <w:szCs w:val="24"/>
        </w:rPr>
        <w:pict>
          <v:shape id="_x0000_i1096" type="#_x0000_t75" style="width:6in;height:315pt">
            <v:imagedata r:id="rId12" o:title="_Say2r7kEeSKOiIAC1ARFQ_15.1-c"/>
          </v:shape>
        </w:pic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81" type="#_x0000_t75" style="width:20.25pt;height:15.75pt" o:ole="">
            <v:imagedata r:id="rId10" o:title=""/>
          </v:shape>
          <w:control r:id="rId13" w:name="DefaultOcxName3" w:shapeid="_x0000_i1081"/>
        </w:object>
      </w:r>
      <w:r>
        <w:rPr>
          <w:rFonts w:ascii="Arial" w:eastAsia="Times New Roman" w:hAnsi="Arial" w:cs="Arial"/>
          <w:color w:val="333333"/>
          <w:sz w:val="24"/>
          <w:szCs w:val="24"/>
        </w:rPr>
        <w:pict>
          <v:shape id="_x0000_i1097" type="#_x0000_t75" style="width:6in;height:315pt">
            <v:imagedata r:id="rId14" o:title="DoOVFr7lEeSjMiIAC7MDiQ_15.1-d"/>
          </v:shape>
        </w:pict>
      </w:r>
    </w:p>
    <w:p w:rsidR="006B5E0A" w:rsidRPr="006B5E0A" w:rsidRDefault="006B5E0A" w:rsidP="006B5E0A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6B5E0A" w:rsidRPr="006B5E0A" w:rsidRDefault="006B5E0A" w:rsidP="006B5E0A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B5E0A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B5E0A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B5E0A" w:rsidRPr="006B5E0A" w:rsidRDefault="006B5E0A" w:rsidP="006B5E0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B5E0A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6B5E0A" w:rsidRPr="006B5E0A" w:rsidRDefault="006B5E0A" w:rsidP="006B5E0A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Which of the following is a reasonable way to select the number of principal components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(Recall that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is the dimensionality of the input data and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is the number of input examples.)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5.75pt" o:ole="">
            <v:imagedata r:id="rId15" o:title=""/>
          </v:shape>
          <w:control r:id="rId16" w:name="DefaultOcxName4" w:shapeid="_x0000_i1080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to be 99% of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(i.e.,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=0.99</w:t>
      </w:r>
      <w:r w:rsidRPr="006B5E0A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∗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, rounded to the nearest integer).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15" o:title=""/>
          </v:shape>
          <w:control r:id="rId17" w:name="DefaultOcxName5" w:shapeid="_x0000_i1079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to be the smallest value so that at least 1% of the variance is retained.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5.75pt" o:ole="">
            <v:imagedata r:id="rId18" o:title=""/>
          </v:shape>
          <w:control r:id="rId19" w:name="DefaultOcxName6" w:shapeid="_x0000_i1107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Choose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to be the smallest value so that at least 99% of the variance is retained.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15" o:title=""/>
          </v:shape>
          <w:control r:id="rId20" w:name="DefaultOcxName7" w:shapeid="_x0000_i1077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Choose the value of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that minimizes the approximation error 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||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approx</w:t>
      </w:r>
      <w:proofErr w:type="spellEnd"/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||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B5E0A" w:rsidRPr="006B5E0A" w:rsidRDefault="006B5E0A" w:rsidP="006B5E0A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B5E0A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6B5E0A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B5E0A" w:rsidRPr="006B5E0A" w:rsidRDefault="006B5E0A" w:rsidP="006B5E0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B5E0A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6B5E0A" w:rsidRPr="006B5E0A" w:rsidRDefault="006B5E0A" w:rsidP="006B5E0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Suppose someone tells you that they ran PCA in such a way that "95% of the variance was retained." What is an equivalent statement to this?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6" type="#_x0000_t75" style="width:20.25pt;height:15.75pt" o:ole="">
            <v:imagedata r:id="rId15" o:title=""/>
          </v:shape>
          <w:control r:id="rId21" w:name="DefaultOcxName8" w:shapeid="_x0000_i1076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)||21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)−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approx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||2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≥0.05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15" o:title=""/>
          </v:shape>
          <w:control r:id="rId22" w:name="DefaultOcxName9" w:shapeid="_x0000_i1075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)||21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)−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approx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||2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≤0.95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4" type="#_x0000_t75" style="width:20.25pt;height:15.75pt" o:ole="">
            <v:imagedata r:id="rId15" o:title=""/>
          </v:shape>
          <w:control r:id="rId23" w:name="DefaultOcxName10" w:shapeid="_x0000_i1074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)||21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)−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approx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||2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≤0.05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5.75pt" o:ole="">
            <v:imagedata r:id="rId18" o:title=""/>
          </v:shape>
          <w:control r:id="rId24" w:name="DefaultOcxName11" w:shapeid="_x0000_i1106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)−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approx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||21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6B5E0A">
        <w:rPr>
          <w:rFonts w:ascii="MathJax_Size1" w:eastAsia="Times New Roman" w:hAnsi="MathJax_Size1" w:cs="Arial"/>
          <w:color w:val="333333"/>
          <w:sz w:val="18"/>
          <w:szCs w:val="18"/>
          <w:bdr w:val="none" w:sz="0" w:space="0" w:color="auto" w:frame="1"/>
        </w:rPr>
        <w:t>∑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=1||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)||2</w:t>
      </w:r>
      <w:r w:rsidRPr="006B5E0A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≤0.05</w:t>
      </w:r>
    </w:p>
    <w:p w:rsidR="006B5E0A" w:rsidRPr="006B5E0A" w:rsidRDefault="006B5E0A" w:rsidP="006B5E0A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B5E0A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B5E0A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B5E0A" w:rsidRPr="006B5E0A" w:rsidRDefault="006B5E0A" w:rsidP="006B5E0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B5E0A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6B5E0A" w:rsidRPr="006B5E0A" w:rsidRDefault="006B5E0A" w:rsidP="006B5E0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2" type="#_x0000_t75" style="width:20.25pt;height:15.75pt" o:ole="">
            <v:imagedata r:id="rId10" o:title=""/>
          </v:shape>
          <w:control r:id="rId25" w:name="DefaultOcxName12" w:shapeid="_x0000_i1072"/>
        </w:object>
      </w:r>
    </w:p>
    <w:p w:rsidR="006B5E0A" w:rsidRPr="006B5E0A" w:rsidRDefault="006B5E0A" w:rsidP="006B5E0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PCA can be used only to reduce the dimensionality of data by 1 (such as 3D to 2D, or 2D to 1D).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3" type="#_x0000_t75" style="width:20.25pt;height:15.75pt" o:ole="">
            <v:imagedata r:id="rId5" o:title=""/>
          </v:shape>
          <w:control r:id="rId26" w:name="DefaultOcxName13" w:shapeid="_x0000_i1103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Given an input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B5E0A">
        <w:rPr>
          <w:rFonts w:ascii="宋体" w:eastAsia="宋体" w:hAnsi="宋体" w:cs="宋体" w:hint="eastAsia"/>
          <w:color w:val="333333"/>
          <w:sz w:val="26"/>
          <w:szCs w:val="26"/>
          <w:bdr w:val="none" w:sz="0" w:space="0" w:color="auto" w:frame="1"/>
        </w:rPr>
        <w:t>∈</w:t>
      </w:r>
      <w:r w:rsidRPr="006B5E0A">
        <w:rPr>
          <w:rFonts w:ascii="MathJax_AMS" w:eastAsia="Times New Roman" w:hAnsi="MathJax_AMS" w:cs="Arial"/>
          <w:color w:val="333333"/>
          <w:sz w:val="26"/>
          <w:szCs w:val="26"/>
          <w:bdr w:val="none" w:sz="0" w:space="0" w:color="auto" w:frame="1"/>
        </w:rPr>
        <w:t>R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, PCA compresses it to a lower-dimensional vector </w:t>
      </w:r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6B5E0A">
        <w:rPr>
          <w:rFonts w:ascii="宋体" w:eastAsia="宋体" w:hAnsi="宋体" w:cs="宋体" w:hint="eastAsia"/>
          <w:color w:val="333333"/>
          <w:sz w:val="26"/>
          <w:szCs w:val="26"/>
          <w:bdr w:val="none" w:sz="0" w:space="0" w:color="auto" w:frame="1"/>
        </w:rPr>
        <w:t>∈</w:t>
      </w:r>
      <w:proofErr w:type="spellStart"/>
      <w:r w:rsidRPr="006B5E0A">
        <w:rPr>
          <w:rFonts w:ascii="MathJax_AMS" w:eastAsia="Times New Roman" w:hAnsi="MathJax_AMS" w:cs="Arial"/>
          <w:color w:val="333333"/>
          <w:sz w:val="26"/>
          <w:szCs w:val="26"/>
          <w:bdr w:val="none" w:sz="0" w:space="0" w:color="auto" w:frame="1"/>
        </w:rPr>
        <w:t>R</w:t>
      </w:r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proofErr w:type="spellEnd"/>
      <w:r w:rsidRPr="006B5E0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5.75pt" o:ole="">
            <v:imagedata r:id="rId5" o:title=""/>
          </v:shape>
          <w:control r:id="rId27" w:name="DefaultOcxName14" w:shapeid="_x0000_i1105"/>
        </w:object>
      </w:r>
    </w:p>
    <w:p w:rsidR="006B5E0A" w:rsidRPr="006B5E0A" w:rsidRDefault="006B5E0A" w:rsidP="006B5E0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If the input features are on very different scales, it is a good idea to perform feature scaling before applying PCA.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5.75pt" o:ole="">
            <v:imagedata r:id="rId10" o:title=""/>
          </v:shape>
          <w:control r:id="rId28" w:name="DefaultOcxName15" w:shapeid="_x0000_i1069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Feature scaling is not useful for PCA, since the eigenvector calculation (such as using Octave's </w:t>
      </w:r>
      <w:proofErr w:type="spellStart"/>
      <w:proofErr w:type="gramStart"/>
      <w:r w:rsidRPr="006B5E0A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svd</w:t>
      </w:r>
      <w:proofErr w:type="spellEnd"/>
      <w:r w:rsidRPr="006B5E0A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6B5E0A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Sigma)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 routine) takes care of this automatically.</w:t>
      </w:r>
    </w:p>
    <w:p w:rsidR="006B5E0A" w:rsidRPr="006B5E0A" w:rsidRDefault="006B5E0A" w:rsidP="006B5E0A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B5E0A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6B5E0A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6B5E0A" w:rsidRPr="006B5E0A" w:rsidRDefault="006B5E0A" w:rsidP="006B5E0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B5E0A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6B5E0A" w:rsidRPr="006B5E0A" w:rsidRDefault="006B5E0A" w:rsidP="006B5E0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 following are recommended applications of PCA? Select all that apply.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8" type="#_x0000_t75" style="width:20.25pt;height:15.75pt" o:ole="">
            <v:imagedata r:id="rId10" o:title=""/>
          </v:shape>
          <w:control r:id="rId29" w:name="DefaultOcxName16" w:shapeid="_x0000_i1068"/>
        </w:object>
      </w:r>
    </w:p>
    <w:p w:rsidR="006B5E0A" w:rsidRPr="006B5E0A" w:rsidRDefault="006B5E0A" w:rsidP="006B5E0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To get more features to feed into a learning algorithm.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5" o:title=""/>
          </v:shape>
          <w:control r:id="rId30" w:name="DefaultOcxName17" w:shapeid="_x0000_i1108"/>
        </w:object>
      </w:r>
    </w:p>
    <w:p w:rsidR="006B5E0A" w:rsidRPr="006B5E0A" w:rsidRDefault="006B5E0A" w:rsidP="006B5E0A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Data compression: Reduce the dimension of your input data </w:t>
      </w:r>
      <w:proofErr w:type="gramStart"/>
      <w:r w:rsidRPr="006B5E0A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5E0A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6B5E0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6B5E0A">
        <w:rPr>
          <w:rFonts w:ascii="Arial" w:eastAsia="Times New Roman" w:hAnsi="Arial" w:cs="Arial"/>
          <w:color w:val="333333"/>
          <w:sz w:val="21"/>
          <w:szCs w:val="21"/>
        </w:rPr>
        <w:t>, which will be used in a supervised learning algorithm (i.e., use PCA so that your supervised learning algorithm runs faster).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6" type="#_x0000_t75" style="width:20.25pt;height:15.75pt" o:ole="">
            <v:imagedata r:id="rId10" o:title=""/>
          </v:shape>
          <w:control r:id="rId31" w:name="DefaultOcxName18" w:shapeid="_x0000_i1066"/>
        </w:object>
      </w:r>
    </w:p>
    <w:p w:rsidR="006B5E0A" w:rsidRPr="006B5E0A" w:rsidRDefault="006B5E0A" w:rsidP="006B5E0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Clustering: To automatically group examples into coherent groups.</w:t>
      </w:r>
      <w:bookmarkStart w:id="0" w:name="_GoBack"/>
      <w:bookmarkEnd w:id="0"/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5E0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5.75pt" o:ole="">
            <v:imagedata r:id="rId5" o:title=""/>
          </v:shape>
          <w:control r:id="rId32" w:name="DefaultOcxName19" w:shapeid="_x0000_i1110"/>
        </w:object>
      </w:r>
    </w:p>
    <w:p w:rsidR="006B5E0A" w:rsidRPr="006B5E0A" w:rsidRDefault="006B5E0A" w:rsidP="006B5E0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Data visualization: Reduce data to 2D (or 3D) so that it can be plotted.</w:t>
      </w:r>
    </w:p>
    <w:p w:rsidR="006B5E0A" w:rsidRPr="006B5E0A" w:rsidRDefault="006B5E0A" w:rsidP="006B5E0A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2 questions unanswered</w:t>
      </w:r>
    </w:p>
    <w:p w:rsidR="006B5E0A" w:rsidRPr="006B5E0A" w:rsidRDefault="006B5E0A" w:rsidP="006B5E0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B5E0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5F1217" w:rsidRDefault="005F1217"/>
    <w:sectPr w:rsidR="005F12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0A"/>
    <w:rsid w:val="000F1FC2"/>
    <w:rsid w:val="0040793C"/>
    <w:rsid w:val="00572D77"/>
    <w:rsid w:val="005E07A3"/>
    <w:rsid w:val="005F1217"/>
    <w:rsid w:val="006B5E0A"/>
    <w:rsid w:val="00780CFC"/>
    <w:rsid w:val="00C6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07DF7-474B-4B82-8180-CAFB1255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6B5E0A"/>
  </w:style>
  <w:style w:type="paragraph" w:styleId="NormalWeb">
    <w:name w:val="Normal (Web)"/>
    <w:basedOn w:val="Normal"/>
    <w:uiPriority w:val="99"/>
    <w:semiHidden/>
    <w:unhideWhenUsed/>
    <w:rsid w:val="006B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B5E0A"/>
  </w:style>
  <w:style w:type="character" w:customStyle="1" w:styleId="c-assess-question-title">
    <w:name w:val="c-assess-question-title"/>
    <w:basedOn w:val="DefaultParagraphFont"/>
    <w:rsid w:val="006B5E0A"/>
  </w:style>
  <w:style w:type="character" w:customStyle="1" w:styleId="apple-converted-space">
    <w:name w:val="apple-converted-space"/>
    <w:basedOn w:val="DefaultParagraphFont"/>
    <w:rsid w:val="006B5E0A"/>
  </w:style>
  <w:style w:type="character" w:customStyle="1" w:styleId="mi">
    <w:name w:val="mi"/>
    <w:basedOn w:val="DefaultParagraphFont"/>
    <w:rsid w:val="006B5E0A"/>
  </w:style>
  <w:style w:type="character" w:customStyle="1" w:styleId="mo">
    <w:name w:val="mo"/>
    <w:basedOn w:val="DefaultParagraphFont"/>
    <w:rsid w:val="006B5E0A"/>
  </w:style>
  <w:style w:type="character" w:customStyle="1" w:styleId="mn">
    <w:name w:val="mn"/>
    <w:basedOn w:val="DefaultParagraphFont"/>
    <w:rsid w:val="006B5E0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C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C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C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C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223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7418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4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0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106923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2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7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695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133084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9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7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4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6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9696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76484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6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2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3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7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990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29720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60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8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8084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904750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9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9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0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3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9.wmf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image" Target="media/image5.wm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7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8</cp:revision>
  <dcterms:created xsi:type="dcterms:W3CDTF">2016-04-10T14:53:00Z</dcterms:created>
  <dcterms:modified xsi:type="dcterms:W3CDTF">2016-04-11T18:02:00Z</dcterms:modified>
</cp:coreProperties>
</file>