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AgriSmart Latacunga</w:t>
        <w:br/>
        <w:t>Hito H2  Inventario de servicios del backend</w:t>
      </w:r>
    </w:p>
    <w:p>
      <w:pPr>
        <w:jc w:val="center"/>
      </w:pPr>
      <w:r>
        <w:t>Grupo 1  Infraestructura y Servicios Cloud</w:t>
      </w:r>
    </w:p>
    <w:p>
      <w:pPr>
        <w:jc w:val="center"/>
      </w:pPr>
      <w:r>
        <w:t>Universidad Técnica de Cotopaxi  |  Carrera de Sistemas de Información  |  Séptimo ciclo</w:t>
      </w:r>
    </w:p>
    <w:p>
      <w:r>
        <w:t>Asignatura: Computación en la Nube, Arquitectura y Seguridad de SI</w:t>
      </w:r>
    </w:p>
    <w:p>
      <w:r>
        <w:t>Integrantes: [Completar nombres y apellidos]</w:t>
      </w:r>
    </w:p>
    <w:p>
      <w:r>
        <w:t>Docente: [Completar]                         Fecha de entrega: [Completar]</w:t>
      </w:r>
    </w:p>
    <w:p>
      <w:r>
        <w:t>Estado: propuesta técnica de H2; disponibilidad de recursos y proveedores pendiente de comprobación.</w:t>
      </w:r>
    </w:p>
    <w:p>
      <w:pPr>
        <w:pStyle w:val="Heading1"/>
      </w:pPr>
      <w:r>
        <w:t>1. Introducción</w:t>
      </w:r>
    </w:p>
    <w:p>
      <w:r>
        <w:t>AgriSmart Latacunga propone una solución de agricultura de precisión que integra dispositivos ESP32 y LoRaWAN, un nodo local fog, servicios de nube y una aplicación móvil Flutter con funcionamiento sin conexión. Para que el backend sea viable, primero se requiere identificar cada servicio, su función, dónde se ejecutará y de qué otros componentes depende. Este documento desarrolla el inventario a cargo del Grupo 1 en el hito H2. No constituye evidencia de despliegues ya realizados.</w:t>
      </w:r>
    </w:p>
    <w:p>
      <w:pPr>
        <w:pStyle w:val="Heading1"/>
      </w:pPr>
      <w:r>
        <w:t>2. Objetivo y alcance</w:t>
      </w:r>
    </w:p>
    <w:p>
      <w:r>
        <w:t>Objetivo: identificar, describir y priorizar los servicios de infraestructura, plataforma e integración necesarios para el backend de AgriSmart Latacunga, de modo que los demás equipos puedan clasificarlos, analizar su seguridad y justificar las decisiones arquitectónicas.</w:t>
      </w:r>
    </w:p>
    <w:p>
      <w:pPr>
        <w:pStyle w:val="ListBullet"/>
      </w:pPr>
      <w:r>
        <w:t>Incluye API, cómputo, persistencia transaccional, archivos, identidad, integración IoT, mensajería, monitoreo, automatización, copias de seguridad y comunicaciones.</w:t>
      </w:r>
    </w:p>
    <w:p>
      <w:pPr>
        <w:pStyle w:val="ListBullet"/>
      </w:pPr>
      <w:r>
        <w:t>Distingue servicios en AWS, software propio y componentes locales fog/edge.</w:t>
      </w:r>
    </w:p>
    <w:p>
      <w:pPr>
        <w:pStyle w:val="ListBullet"/>
      </w:pPr>
      <w:r>
        <w:t>Registra estados verificables; no incluye aprovisionamiento, compras ni uso de credenciales de cuentas personales.</w:t>
      </w:r>
    </w:p>
    <w:p>
      <w:pPr>
        <w:pStyle w:val="Heading1"/>
      </w:pPr>
      <w:r>
        <w:t>3. Referencia de la arquitectura</w:t>
      </w:r>
    </w:p>
    <w:p>
      <w:r>
        <w:t>Flujo previsto: sensores ESP32/LoRaWAN → gateway y ChirpStack en fog → broker MQTT e ingesta → base de series temporales fog → sincronización segura → servicios cloud/API → aplicación Flutter y panel de investigación. La app conserva datos localmente mediante SQLite. Si Internet falla, la captura y el almacenamiento local deben continuar; la sincronización se reanuda al restablecerse la red.</w:t>
      </w:r>
    </w:p>
    <w:p>
      <w:r>
        <w:t>Este flujo es una propuesta extraída de la versión 3 del proyecto y debe validarse con el equipo general. El backend cloud no recibe directamente cada lectura LoRaWAN: la arquitectura distingue claramente el gateway y el fog del procesamiento en AWS.</w:t>
      </w:r>
    </w:p>
    <w:p>
      <w:pPr>
        <w:pStyle w:val="Heading1"/>
      </w:pPr>
      <w:r>
        <w:t>4. Inventario técnico de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7"/>
        <w:gridCol w:w="1637"/>
        <w:gridCol w:w="1637"/>
        <w:gridCol w:w="1637"/>
        <w:gridCol w:w="1637"/>
        <w:gridCol w:w="1637"/>
      </w:tblGrid>
      <w:tr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Tecnología candidata</w:t>
            </w:r>
          </w:p>
        </w:tc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1637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S01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Cómputo backend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AWS EC2 o servicio administrado por decidir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Ejecutar API y tareas de aplicación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S02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API de aplicación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Servicio REST propio; OpenAPI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Exponer datos y operaciones de agricultores/parcelas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Por desarrollar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S03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Base de datos operacional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PostgreSQL en Amazon RDS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Persistir usuarios seudonimizados, parcelas y registros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S04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Objetos y respaldos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Amazon S3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Guardar datasets, exportaciones, archivos y modelos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S05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Identidad y acceso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Amazon Cognito u OIDC equivalente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Autenticar usuarios y roles con control de acceso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S06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Red y protección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VPC, subredes, SG, TLS y DNS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Aislar componentes y proteger comunicaciones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Por diseñar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S07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Observabilidad cloud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CloudWatch; métricas y logs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Registrar errores, disponibilidad y alertas operativas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S08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CI/CD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GitHub Actions + repositorio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Automatizar pruebas y despliegues versionados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SaaS externo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Por confirmar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S09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Notificaciones móviles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Firebase Cloud Messaging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Avisos y alertas cuando el teléfono tenga conectividad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Servicio externo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S10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Correo opcional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Amazon SES u otro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Enviar mensajes de soporte o verificación si aplica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Cloud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S11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Gateway LoRaWAN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Gateway + ChirpStack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Concentrar tramas y gestionar dispositivos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Fog/local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Recurso por verificar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S12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Mensajería fog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Broker MQTT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Distribuir eventos a consumidores locales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Fog/local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S13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Series temporales fog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PostgreSQL/TimescaleDB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Guardar lecturas aun sin Internet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Fog/local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Propuesto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S14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Sincronización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Servicio propio store-and-forward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Replicar lecturas de forma idempotente a nube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Fog↔cloud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Por desarrollar</w:t>
            </w:r>
          </w:p>
        </w:tc>
      </w:tr>
      <w:tr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S15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Inferencia local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Servicio de modelos IA en fog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Producir recomendaciones disponibles sin Internet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Fog/local</w:t>
            </w:r>
          </w:p>
        </w:tc>
        <w:tc>
          <w:tcPr>
            <w:tcW w:type="dxa" w:w="1637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Por validar</w:t>
            </w:r>
          </w:p>
        </w:tc>
      </w:tr>
      <w:tr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S16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Datos móviles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SQLite en Flutter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Permitir consulta y cola de acciones offline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Dispositivo</w:t>
            </w:r>
          </w:p>
        </w:tc>
        <w:tc>
          <w:tcPr>
            <w:tcW w:type="dxa" w:w="1637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Por desarrollar</w:t>
            </w:r>
          </w:p>
        </w:tc>
      </w:tr>
    </w:tbl>
    <w:p/>
    <w:p>
      <w:r>
        <w:t>Nota: "Propuesto" significa identificado en el planteamiento; "Por desarrollar" no implica que exista; "Por confirmar" requiere evidencia institucional. Los nombres comerciales no equivalen a un inventario contratado.</w:t>
      </w:r>
    </w:p>
    <w:p>
      <w:pPr>
        <w:pStyle w:val="Heading1"/>
      </w:pPr>
      <w:r>
        <w:t>5. Servicios mínimos y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Servicios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Condición para avanzar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P0 crítico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S01, S02, S03, S06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Sin cómputo, API, datos y red segura no existe backend cloud operable.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Elegir alojamiento y contratos API/datos.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P1 necesario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S04, S05, S07, S08, S14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Identidad, trazabilidad, archivos y sincronización confiable.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Definir permisos, políticas de backup y pruebas.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P2 complementario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S09, S10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Mensajería externa condicionada al diseño de experiencia.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Confirmar casos de uso y costo.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Infraestructura local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S11, S12, S13, S15, S16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Permite funcionamiento rural con desconexiones.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Coordinar con módulos fog, IoT y app.</w:t>
            </w:r>
          </w:p>
        </w:tc>
      </w:tr>
    </w:tbl>
    <w:p/>
    <w:p>
      <w:r>
        <w:t>Dependencias clave: la API necesita conectividad privada a PostgreSQL, mecanismo de autenticación, secretos y registros; el sincronizador necesita identificación única por lectura, reintentos y reglas de resolución; la notificación push requiere dispositivo registrado y conexión de salida.</w:t>
      </w:r>
    </w:p>
    <w:p>
      <w:pPr>
        <w:pStyle w:val="Heading1"/>
      </w:pPr>
      <w:r>
        <w:t>6. Mapa del backend por ubicación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Servicios que operan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Interfaz principal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Responsabilidad del sistema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Parcela / edge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ESP32, sensores, radio LoRa, buffer local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Paquetes LoRaWAN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Medición y reenvío; calibración y energía.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Fog institucional/local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ChirpStack, MQTT, TimescaleDB, alertas, sincronizador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MQTT/HTTPS seguro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Persistencia durante cortes y envío posterior.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AWS / cloud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API, RDS, S3, identidad, monitoreo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HTTPS REST y réplica segura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Consolidación, acceso y administración central.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Flutter, SQLite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HTTPS + caché local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Uso offline y sincronización eventual.</w:t>
            </w:r>
          </w:p>
        </w:tc>
      </w:tr>
    </w:tbl>
    <w:p/>
    <w:p>
      <w:pPr>
        <w:pStyle w:val="Heading1"/>
      </w:pPr>
      <w:r>
        <w:t>7. Validación de recursos existentes</w:t>
      </w:r>
    </w:p>
    <w:p>
      <w:r>
        <w:t>El documento fuente menciona servidores HP existentes y tecnologías planificadas, pero no aporta evidencia de que estén aprovisionadas para la clase. Este registro debe completarse con el responsable del curso antes de afirmar que un servicio existe.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Estado actual verificable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Evidencia que debe adjuntarse</w:t>
            </w:r>
          </w:p>
        </w:tc>
        <w:tc>
          <w:tcPr>
            <w:tcW w:type="dxa" w:w="2455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Repositorio GitHub del curso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URL del repositorio y captura de README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Coordinación H1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Cuenta AWS del grupo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Identificador de cuenta parcial y roles, sin secretos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Coordinación cloud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Instancia EC2 / servicio API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Inventario de recursos; no mostrar IP privada sensible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Infraestructura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RDS PostgreSQL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Captura de estado y tipo de instancia, sin claves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Datos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Bucket S3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Inventario de buckets y política revisada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Datos</w:t>
            </w:r>
          </w:p>
        </w:tc>
      </w:tr>
      <w:tr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Gateway LoRaWAN y servidores HP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Mencionados en propuesta; operación no comprobada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Acta/inventario institucional y prueba básica</w:t>
            </w:r>
          </w:p>
        </w:tc>
        <w:tc>
          <w:tcPr>
            <w:tcW w:type="dxa" w:w="2455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Equipo IoT/fog</w:t>
            </w:r>
          </w:p>
        </w:tc>
      </w:tr>
      <w:tr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CI y monitoreo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No confirmado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Workflow y captura de ejecución o tablero</w:t>
            </w:r>
          </w:p>
        </w:tc>
        <w:tc>
          <w:tcPr>
            <w:tcW w:type="dxa" w:w="245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DevOps</w:t>
            </w:r>
          </w:p>
        </w:tc>
      </w:tr>
    </w:tbl>
    <w:p/>
    <w:p>
      <w:pPr>
        <w:pStyle w:val="Heading1"/>
      </w:pPr>
      <w:r>
        <w:t>8. Seguridad y riesgos del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Control propuesto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Evidencia futura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Credenciales expuestas en repositorio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Usar roles, gestores de secretos y .gitignore; prohibir access keys en capturas.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Revisión de repositorio y política IAM.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Base de datos públicamente accesible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RDS en subred privada, SG restrictivos y cifrado.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Diagrama de red y configuración sin secretos.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Pérdida de lecturas ante cortes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Colas locales, reintentos idempotentes, backup y pruebas de reconexión.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Prueba de desconexión/reenvío.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Costos inesperados de AWS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Presupuesto, alertas, etiquetas y apagado de recursos no esenciales.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Captura de presupuesto y estimación.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Datos personales y geográficos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Acceso por roles, seudonimización, minimización y consentimiento.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Política de datos aprobada.</w:t>
            </w:r>
          </w:p>
        </w:tc>
      </w:tr>
    </w:tbl>
    <w:p/>
    <w:p>
      <w:r>
        <w:t>Riesgo residual: las medidas propuestas reducen la exposición, pero no sustituyen auditorías de seguridad, verificación de respaldos ni pruebas en campo.</w:t>
      </w:r>
    </w:p>
    <w:p>
      <w:pPr>
        <w:pStyle w:val="Heading1"/>
      </w:pPr>
      <w:r>
        <w:t>9. Actividades y evidencias del Grupo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Producto verificable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Revisar arquitectura y listar componentes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Inventario S01–S16 y alcance.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Validar dependencias y ubicación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Mapa por edge/fog/cloud/cliente.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Consultar recursos que realmente existen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Tabla de estados con evidencias o pendientes.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Registrar riesgos y acuerdos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Riesgos, controles y notas para equipos 2–4.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Entregar fragmento aprobado a docs/nube-H2.md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Commit y actualización del README.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Socializar a los otros equipos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Acta o comentario de revisión y cambios.</w:t>
            </w:r>
          </w:p>
        </w:tc>
      </w:tr>
    </w:tbl>
    <w:p/>
    <w:p>
      <w:r>
        <w:t>Capturas sugeridas: estructura del repositorio, arquitectura del proyecto, inventario cloud obtenido sin secretos y commit que incorpora el apartado. No se deben fabricar capturas ni declarar recursos operativos sin validación.</w:t>
      </w:r>
    </w:p>
    <w:p>
      <w:pPr>
        <w:pStyle w:val="Heading1"/>
      </w:pPr>
      <w:r>
        <w:t>10. Entrega a los otros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Equipo receptor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Información entregada</w:t>
            </w:r>
          </w:p>
        </w:tc>
        <w:tc>
          <w:tcPr>
            <w:tcW w:type="dxa" w:w="3273"/>
            <w:vAlign w:val="center"/>
            <w:shd w:fill="173C76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Decisión que deberá completar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Grupo 2  Modelos cloud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S01–S16, ubicación y tecnología candidata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Clasificar servicios concretos IaaS/PaaS/SaaS y justificar.</w:t>
            </w:r>
          </w:p>
        </w:tc>
      </w:tr>
      <w:tr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Grupo 3  Seguridad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Datos almacenados, interfaces, zonas y riesgos</w:t>
            </w:r>
          </w:p>
        </w:tc>
        <w:tc>
          <w:tcPr>
            <w:tcW w:type="dxa" w:w="3273"/>
            <w:vAlign w:val="center"/>
            <w:shd w:fill="F2F6FA"/>
          </w:tcPr>
          <w:p>
            <w:pPr>
              <w:spacing w:after="40"/>
            </w:pPr>
            <w:r>
              <w:rPr>
                <w:sz w:val="16"/>
              </w:rPr>
              <w:t>Responsabilidades compartidas, identidad y manejo de secretos.</w:t>
            </w:r>
          </w:p>
        </w:tc>
      </w:tr>
      <w:tr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Grupo 4  Arquitectura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Dependencias P0/P1 y alternativas</w:t>
            </w:r>
          </w:p>
        </w:tc>
        <w:tc>
          <w:tcPr>
            <w:tcW w:type="dxa" w:w="327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Decisión versionada de alojamiento de API y base de datos.</w:t>
            </w:r>
          </w:p>
        </w:tc>
      </w:tr>
    </w:tbl>
    <w:p/>
    <w:p>
      <w:r>
        <w:t>Acuerdo recomendado: el inventario funciona como lista base controlada por versiones. Ningún equipo debe sustituir un componente sin comunicarlo y actualizar las dependencias.</w:t>
      </w:r>
    </w:p>
    <w:p>
      <w:pPr>
        <w:pStyle w:val="Heading1"/>
      </w:pPr>
      <w:r>
        <w:t>11. Conclusiones</w:t>
      </w:r>
    </w:p>
    <w:p>
      <w:pPr>
        <w:pStyle w:val="ListBullet"/>
      </w:pPr>
      <w:r>
        <w:t>El backend AgriSmart exige distinguir infraestructura local fog y servicios en nube; esta separación responde a la conectividad rural intermitente.</w:t>
      </w:r>
    </w:p>
    <w:p>
      <w:pPr>
        <w:pStyle w:val="ListBullet"/>
      </w:pPr>
      <w:r>
        <w:t>La base de la primera versión debe concentrarse en API, persistencia, identidad, red segura y sincronización confiable antes de incorporar servicios opcionales.</w:t>
      </w:r>
    </w:p>
    <w:p>
      <w:pPr>
        <w:pStyle w:val="ListBullet"/>
      </w:pPr>
      <w:r>
        <w:t>El inventario es una propuesta técnica consistente con la versión 3; el estado real de cada recurso debe validarse con evidencia en el repositorio.</w:t>
      </w:r>
    </w:p>
    <w:p>
      <w:pPr>
        <w:pStyle w:val="ListBullet"/>
      </w:pPr>
      <w:r>
        <w:t>La clasificación de servicios, responsabilidades y decisión definitiva de arquitectura corresponden a las siguientes estaciones y deben mantener trazabilidad con el inventario del Grupo 1.</w:t>
      </w:r>
    </w:p>
    <w:p>
      <w:pPr>
        <w:pStyle w:val="Heading1"/>
      </w:pPr>
      <w:r>
        <w:t>12. Referencias de trabajo</w:t>
      </w:r>
    </w:p>
    <w:p>
      <w:pPr>
        <w:pStyle w:val="ListBullet"/>
      </w:pPr>
      <w:r>
        <w:t>Proyecto AgriSmart Latacunga, versión 3, documento proporcionado por la asignatura (26 de octubre de 2026), especialmente sección 6: Arquitectura tecnológica.</w:t>
      </w:r>
    </w:p>
    <w:p>
      <w:pPr>
        <w:pStyle w:val="ListBullet"/>
      </w:pPr>
      <w:r>
        <w:t>Guía visual del laboratorio H2: Modelos de servicio del backend, asignatura Computación en la Nube, Arquitectura y Seguridad de SI, UTC (capturas proporcionadas).</w:t>
      </w:r>
    </w:p>
    <w:p>
      <w:pPr>
        <w:pStyle w:val="ListBullet"/>
      </w:pPr>
      <w:r>
        <w:t>Documentación oficial de AWS de EC2, RDS, S3, VPC, Cognito y CloudWatch (consultar fichas vigentes durante la selección del proveedor).</w:t>
      </w:r>
    </w:p>
    <w:p>
      <w:pPr>
        <w:pStyle w:val="ListBullet"/>
      </w:pPr>
      <w:r>
        <w:t>Documentación técnica de ChirpStack, PostgreSQL/TimescaleDB, Flutter y GitHub Actions (consultar versiones adoptadas por el curso).</w:t>
      </w:r>
    </w:p>
    <w:p>
      <w:pPr>
        <w:pStyle w:val="Heading1"/>
      </w:pPr>
      <w:r>
        <w:t>Anexo  Lista de control antes de entregar</w:t>
      </w:r>
    </w:p>
    <w:p>
      <w:pPr>
        <w:pStyle w:val="ListBullet"/>
      </w:pPr>
      <w:r>
        <w:t>[ ] Sustituir nombres, fecha, docente y responsables.</w:t>
      </w:r>
    </w:p>
    <w:p>
      <w:pPr>
        <w:pStyle w:val="ListBullet"/>
      </w:pPr>
      <w:r>
        <w:t>[ ] Confirmar con el grupo de H1 el repositorio y decisiones ya tomadas.</w:t>
      </w:r>
    </w:p>
    <w:p>
      <w:pPr>
        <w:pStyle w:val="ListBullet"/>
      </w:pPr>
      <w:r>
        <w:t>[ ] Validar estados de recursos mediante capturas o inventario.</w:t>
      </w:r>
    </w:p>
    <w:p>
      <w:pPr>
        <w:pStyle w:val="ListBullet"/>
      </w:pPr>
      <w:r>
        <w:t>[ ] Revisar los componentes propuestos con los otros grupos.</w:t>
      </w:r>
    </w:p>
    <w:p>
      <w:pPr>
        <w:pStyle w:val="ListBullet"/>
      </w:pPr>
      <w:r>
        <w:t>[ ] Integrar el contenido en docs/nube-H2.md y enlazarlo desde README.</w:t>
      </w:r>
    </w:p>
    <w:p>
      <w:pPr>
        <w:pStyle w:val="ListBullet"/>
      </w:pPr>
      <w:r>
        <w:t>[ ] Registrar commit, capturas y revisión sin exponer credenciales.</w:t>
      </w:r>
    </w:p>
    <w:sectPr w:rsidR="00FC693F" w:rsidRPr="0006063C" w:rsidSect="00034616">
      <w:footerReference w:type="default" r:id="rId9"/>
      <w:pgSz w:w="12240" w:h="15840"/>
      <w:pgMar w:top="1123" w:right="1210" w:bottom="1051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AgriSmart Latacunga  |  Grupo 1  |  Hito H2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