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500"/>
      </w:pPr>
      <w:r>
        <w:rPr>
          <w:rFonts w:ascii="Calibri" w:cs="Calibri" w:eastAsia="Calibri" w:hAnsi="Calibri"/>
          <w:b/>
          <w:bCs/>
          <w:color w:val="1F3864"/>
          <w:sz w:val="40"/>
          <w:szCs w:val="40"/>
        </w:rPr>
        <w:t xml:space="preserve">LAFROX</w:t>
      </w:r>
    </w:p>
    <w:p>
      <w:pPr>
        <w:pBdr>
          <w:bottom w:val="single" w:color="1F3864" w:sz="12" w:space="6"/>
        </w:pBdr>
        <w:spacing w:after="300"/>
      </w:pPr>
      <w:r>
        <w:rPr>
          <w:rFonts w:ascii="Calibri" w:cs="Calibri" w:eastAsia="Calibri" w:hAnsi="Calibri"/>
          <w:color w:val="595959"/>
          <w:sz w:val="20"/>
          <w:szCs w:val="20"/>
        </w:rPr>
        <w:t xml:space="preserve">Licitación N° TFEP-01/2026 · Caso 02 — Logística · Distribuidora Puelche S.A.</w:t>
      </w:r>
    </w:p>
    <w:p>
      <w:pPr>
        <w:spacing w:after="100"/>
      </w:pPr>
      <w:r>
        <w:rPr>
          <w:rFonts w:ascii="Calibri" w:cs="Calibri" w:eastAsia="Calibri" w:hAnsi="Calibri"/>
          <w:b/>
          <w:bCs/>
          <w:sz w:val="34"/>
          <w:szCs w:val="34"/>
        </w:rPr>
        <w:t xml:space="preserve">Banco de preguntas difíciles</w:t>
      </w:r>
    </w:p>
    <w:p>
      <w:pPr>
        <w:spacing w:after="320" w:before="0" w:line="276"/>
      </w:pPr>
      <w:r>
        <w:rPr>
          <w:rFonts w:ascii="Calibri" w:cs="Calibri" w:eastAsia="Calibri" w:hAnsi="Calibri"/>
          <w:color w:val="595959"/>
          <w:sz w:val="22"/>
          <w:szCs w:val="22"/>
        </w:rPr>
        <w:t xml:space="preserve">Preparación adversarial para la ronda de 12 minutos ante la Comisión Técnica de Revisión de Ofertas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900"/>
        <w:gridCol w:w="6900"/>
      </w:tblGrid>
      <w:tr>
        <w:tc>
          <w:tcPr>
            <w:tcW w:type="dxa" w:w="1900"/>
            <w:shd w:fill="F2F2F2" w:color="auto" w:val="clear"/>
            <w:tcMar>
              <w:top w:type="dxa" w:w="60"/>
              <w:left w:type="dxa" w:w="90"/>
              <w:bottom w:type="dxa" w:w="60"/>
              <w:right w:type="dxa" w:w="90"/>
            </w:tcMar>
            <w:vAlign w:val="center"/>
          </w:tcPr>
          <w:p>
            <w:pPr>
              <w:spacing w:after="0" w:line="240"/>
            </w:pPr>
            <w:r>
              <w:rPr>
                <w:rFonts w:ascii="Calibri" w:cs="Calibri" w:eastAsia="Calibri" w:hAnsi="Calibri"/>
                <w:b/>
                <w:bCs/>
                <w:color w:val="000000"/>
                <w:sz w:val="18"/>
                <w:szCs w:val="18"/>
              </w:rPr>
              <w:t xml:space="preserve">Qué es</w:t>
            </w:r>
          </w:p>
        </w:tc>
        <w:tc>
          <w:tcPr>
            <w:tcW w:type="dxa" w:w="6900"/>
            <w:tcMar>
              <w:top w:type="dxa" w:w="60"/>
              <w:left w:type="dxa" w:w="90"/>
              <w:bottom w:type="dxa" w:w="60"/>
              <w:right w:type="dxa" w:w="90"/>
            </w:tcMar>
            <w:vAlign w:val="center"/>
          </w:tcPr>
          <w:p>
            <w:pPr>
              <w:spacing w:after="0" w:line="240"/>
            </w:pPr>
            <w:r>
              <w:rPr>
                <w:rFonts w:ascii="Calibri" w:cs="Calibri" w:eastAsia="Calibri" w:hAnsi="Calibri"/>
                <w:color w:val="000000"/>
                <w:sz w:val="18"/>
                <w:szCs w:val="18"/>
              </w:rPr>
              <w:t xml:space="preserve">Un banco de 109 preguntas hostiles sobre las 30 diapositivas: las que un revisor técnico formado haría si quisiera encontrar el punto débil</w:t>
            </w:r>
          </w:p>
        </w:tc>
      </w:tr>
      <w:tr>
        <w:tc>
          <w:tcPr>
            <w:tcW w:type="dxa" w:w="1900"/>
            <w:shd w:fill="F2F2F2" w:color="auto" w:val="clear"/>
            <w:tcMar>
              <w:top w:type="dxa" w:w="60"/>
              <w:left w:type="dxa" w:w="90"/>
              <w:bottom w:type="dxa" w:w="60"/>
              <w:right w:type="dxa" w:w="90"/>
            </w:tcMar>
            <w:vAlign w:val="center"/>
          </w:tcPr>
          <w:p>
            <w:pPr>
              <w:spacing w:after="0" w:line="240"/>
            </w:pPr>
            <w:r>
              <w:rPr>
                <w:rFonts w:ascii="Calibri" w:cs="Calibri" w:eastAsia="Calibri" w:hAnsi="Calibri"/>
                <w:b/>
                <w:bCs/>
                <w:color w:val="000000"/>
                <w:sz w:val="18"/>
                <w:szCs w:val="18"/>
              </w:rPr>
              <w:t xml:space="preserve">Complementa a</w:t>
            </w:r>
          </w:p>
        </w:tc>
        <w:tc>
          <w:tcPr>
            <w:tcW w:type="dxa" w:w="6900"/>
            <w:tcMar>
              <w:top w:type="dxa" w:w="60"/>
              <w:left w:type="dxa" w:w="90"/>
              <w:bottom w:type="dxa" w:w="60"/>
              <w:right w:type="dxa" w:w="90"/>
            </w:tcMar>
            <w:vAlign w:val="center"/>
          </w:tcPr>
          <w:p>
            <w:pPr>
              <w:spacing w:after="0" w:line="240"/>
            </w:pPr>
            <w:r>
              <w:rPr>
                <w:rFonts w:ascii="Calibri" w:cs="Calibri" w:eastAsia="Calibri" w:hAnsi="Calibri"/>
                <w:color w:val="000000"/>
                <w:sz w:val="18"/>
                <w:szCs w:val="18"/>
              </w:rPr>
              <w:t xml:space="preserve">Guion de la Presentación Preparatoria 1, que trae las 66 preguntas de primer nivel. Este documento es el segundo nivel: no repite ninguna</w:t>
            </w:r>
          </w:p>
        </w:tc>
      </w:tr>
      <w:tr>
        <w:tc>
          <w:tcPr>
            <w:tcW w:type="dxa" w:w="1900"/>
            <w:shd w:fill="F2F2F2" w:color="auto" w:val="clear"/>
            <w:tcMar>
              <w:top w:type="dxa" w:w="60"/>
              <w:left w:type="dxa" w:w="90"/>
              <w:bottom w:type="dxa" w:w="60"/>
              <w:right w:type="dxa" w:w="90"/>
            </w:tcMar>
            <w:vAlign w:val="center"/>
          </w:tcPr>
          <w:p>
            <w:pPr>
              <w:spacing w:after="0" w:line="240"/>
            </w:pPr>
            <w:r>
              <w:rPr>
                <w:rFonts w:ascii="Calibri" w:cs="Calibri" w:eastAsia="Calibri" w:hAnsi="Calibri"/>
                <w:b/>
                <w:bCs/>
                <w:color w:val="000000"/>
                <w:sz w:val="18"/>
                <w:szCs w:val="18"/>
              </w:rPr>
              <w:t xml:space="preserve">De dónde salen</w:t>
            </w:r>
          </w:p>
        </w:tc>
        <w:tc>
          <w:tcPr>
            <w:tcW w:type="dxa" w:w="6900"/>
            <w:tcMar>
              <w:top w:type="dxa" w:w="60"/>
              <w:left w:type="dxa" w:w="90"/>
              <w:bottom w:type="dxa" w:w="60"/>
              <w:right w:type="dxa" w:w="90"/>
            </w:tcMar>
            <w:vAlign w:val="center"/>
          </w:tcPr>
          <w:p>
            <w:pPr>
              <w:spacing w:after="0" w:line="240"/>
            </w:pPr>
            <w:r>
              <w:rPr>
                <w:rFonts w:ascii="Calibri" w:cs="Calibri" w:eastAsia="Calibri" w:hAnsi="Calibri"/>
                <w:color w:val="000000"/>
                <w:sz w:val="18"/>
                <w:szCs w:val="18"/>
              </w:rPr>
              <w:t xml:space="preserve">Del contraste interno de los siete subdocumentos de Entrega 1 entre sí, y de cada uno contra las Bases, las transversales y el caso</w:t>
            </w:r>
          </w:p>
        </w:tc>
      </w:tr>
      <w:tr>
        <w:tc>
          <w:tcPr>
            <w:tcW w:type="dxa" w:w="1900"/>
            <w:shd w:fill="F2F2F2" w:color="auto" w:val="clear"/>
            <w:tcMar>
              <w:top w:type="dxa" w:w="60"/>
              <w:left w:type="dxa" w:w="90"/>
              <w:bottom w:type="dxa" w:w="60"/>
              <w:right w:type="dxa" w:w="90"/>
            </w:tcMar>
            <w:vAlign w:val="center"/>
          </w:tcPr>
          <w:p>
            <w:pPr>
              <w:spacing w:after="0" w:line="240"/>
            </w:pPr>
            <w:r>
              <w:rPr>
                <w:rFonts w:ascii="Calibri" w:cs="Calibri" w:eastAsia="Calibri" w:hAnsi="Calibri"/>
                <w:b/>
                <w:bCs/>
                <w:color w:val="000000"/>
                <w:sz w:val="18"/>
                <w:szCs w:val="18"/>
              </w:rPr>
              <w:t xml:space="preserve">Cómo se estudia</w:t>
            </w:r>
          </w:p>
        </w:tc>
        <w:tc>
          <w:tcPr>
            <w:tcW w:type="dxa" w:w="6900"/>
            <w:tcMar>
              <w:top w:type="dxa" w:w="60"/>
              <w:left w:type="dxa" w:w="90"/>
              <w:bottom w:type="dxa" w:w="60"/>
              <w:right w:type="dxa" w:w="90"/>
            </w:tcMar>
            <w:vAlign w:val="center"/>
          </w:tcPr>
          <w:p>
            <w:pPr>
              <w:spacing w:after="0" w:line="240"/>
            </w:pPr>
            <w:r>
              <w:rPr>
                <w:rFonts w:ascii="Calibri" w:cs="Calibri" w:eastAsia="Calibri" w:hAnsi="Calibri"/>
                <w:color w:val="000000"/>
                <w:sz w:val="18"/>
                <w:szCs w:val="18"/>
              </w:rPr>
              <w:t xml:space="preserve">Por dominio, no de corrido. Cada quien lee las diapositivas que le tocan más el Anexo I completo</w:t>
            </w:r>
          </w:p>
        </w:tc>
      </w:tr>
      <w:tr>
        <w:tc>
          <w:tcPr>
            <w:tcW w:type="dxa" w:w="1900"/>
            <w:shd w:fill="F2F2F2" w:color="auto" w:val="clear"/>
            <w:tcMar>
              <w:top w:type="dxa" w:w="60"/>
              <w:left w:type="dxa" w:w="90"/>
              <w:bottom w:type="dxa" w:w="60"/>
              <w:right w:type="dxa" w:w="90"/>
            </w:tcMar>
            <w:vAlign w:val="center"/>
          </w:tcPr>
          <w:p>
            <w:pPr>
              <w:spacing w:after="0" w:line="240"/>
            </w:pPr>
            <w:r>
              <w:rPr>
                <w:rFonts w:ascii="Calibri" w:cs="Calibri" w:eastAsia="Calibri" w:hAnsi="Calibri"/>
                <w:b/>
                <w:bCs/>
                <w:color w:val="000000"/>
                <w:sz w:val="18"/>
                <w:szCs w:val="18"/>
              </w:rPr>
              <w:t xml:space="preserve">Advertencia</w:t>
            </w:r>
          </w:p>
        </w:tc>
        <w:tc>
          <w:tcPr>
            <w:tcW w:type="dxa" w:w="6900"/>
            <w:tcMar>
              <w:top w:type="dxa" w:w="60"/>
              <w:left w:type="dxa" w:w="90"/>
              <w:bottom w:type="dxa" w:w="60"/>
              <w:right w:type="dxa" w:w="90"/>
            </w:tcMar>
            <w:vAlign w:val="center"/>
          </w:tcPr>
          <w:p>
            <w:pPr>
              <w:spacing w:after="0" w:line="240"/>
            </w:pPr>
            <w:r>
              <w:rPr>
                <w:rFonts w:ascii="Calibri" w:cs="Calibri" w:eastAsia="Calibri" w:hAnsi="Calibri"/>
                <w:color w:val="000000"/>
                <w:sz w:val="18"/>
                <w:szCs w:val="18"/>
              </w:rPr>
              <w:t xml:space="preserve">Varias respuestas reconocen una imprecisión del propio informe. Están redactadas para reconocerla con precisión y ofrecer el tratamiento, que es lo que la rúbrica premia (criterio C2)</w:t>
            </w:r>
          </w:p>
        </w:tc>
      </w:tr>
    </w:tbl>
    <w:p>
      <w:r>
        <w:br w:type="page"/>
      </w:r>
    </w:p>
    <w:p>
      <w:pPr>
        <w:pStyle w:val="Heading1"/>
        <w:spacing w:after="160"/>
      </w:pPr>
      <w:r>
        <w:rPr>
          <w:rFonts w:ascii="Calibri" w:cs="Calibri" w:eastAsia="Calibri" w:hAnsi="Calibri"/>
          <w:b/>
          <w:bCs/>
          <w:color w:val="1F3864"/>
          <w:sz w:val="28"/>
          <w:szCs w:val="28"/>
        </w:rPr>
        <w:t xml:space="preserve">Cómo usar este banco</w:t>
      </w:r>
    </w:p>
    <w:p>
      <w:pPr>
        <w:pStyle w:val="ListParagraph"/>
        <w:numPr>
          <w:ilvl w:val="0"/>
          <w:numId w:val="2"/>
        </w:numPr>
        <w:spacing w:after="70" w:line="264"/>
      </w:pPr>
      <w:r>
        <w:rPr>
          <w:rFonts w:ascii="Calibri" w:cs="Calibri" w:eastAsia="Calibri" w:hAnsi="Calibri"/>
          <w:color w:val="595959"/>
          <w:sz w:val="20"/>
          <w:szCs w:val="20"/>
        </w:rPr>
        <w:t xml:space="preserve">Estas preguntas están escritas para incomodar. Varias parten de una premisa que el informe efectivamente no cierra, y otras señalan una contradicción real entre dos subdocumentos. Esa es la utilidad: si la pregunta duele aquí, en la sala no sorprende.</w:t>
      </w:r>
    </w:p>
    <w:p>
      <w:pPr>
        <w:pStyle w:val="ListParagraph"/>
        <w:numPr>
          <w:ilvl w:val="0"/>
          <w:numId w:val="2"/>
        </w:numPr>
        <w:spacing w:after="70" w:line="264"/>
      </w:pPr>
      <w:r>
        <w:rPr>
          <w:rFonts w:ascii="Calibri" w:cs="Calibri" w:eastAsia="Calibri" w:hAnsi="Calibri"/>
          <w:color w:val="595959"/>
          <w:sz w:val="20"/>
          <w:szCs w:val="20"/>
        </w:rPr>
        <w:t xml:space="preserve">Las respuestas son la posición del equipo, no un libreto para recitar. Lo que hay que memorizar es la cifra, el código y la estructura del argumento; las palabras salen solas si se entiende el fundamento.</w:t>
      </w:r>
    </w:p>
    <w:p>
      <w:pPr>
        <w:pStyle w:val="ListParagraph"/>
        <w:numPr>
          <w:ilvl w:val="0"/>
          <w:numId w:val="2"/>
        </w:numPr>
        <w:spacing w:after="70" w:line="264"/>
      </w:pPr>
      <w:r>
        <w:rPr>
          <w:rFonts w:ascii="Calibri" w:cs="Calibri" w:eastAsia="Calibri" w:hAnsi="Calibri"/>
          <w:color w:val="595959"/>
          <w:sz w:val="20"/>
          <w:szCs w:val="20"/>
        </w:rPr>
        <w:t xml:space="preserve">Donde la respuesta correcta es reconocer una imprecisión, está escrita así a propósito. Reconocer con precisión —qué dice cada documento, cuál prevalece y dónde se corrige— vale más que defender lo indefendible, y es exactamente lo que evalúa el criterio C2 de la rúbrica.</w:t>
      </w:r>
    </w:p>
    <w:p>
      <w:pPr>
        <w:pStyle w:val="ListParagraph"/>
        <w:numPr>
          <w:ilvl w:val="0"/>
          <w:numId w:val="2"/>
        </w:numPr>
        <w:spacing w:after="70" w:line="264"/>
      </w:pPr>
      <w:r>
        <w:rPr>
          <w:rFonts w:ascii="Calibri" w:cs="Calibri" w:eastAsia="Calibri" w:hAnsi="Calibri"/>
          <w:color w:val="595959"/>
          <w:sz w:val="20"/>
          <w:szCs w:val="20"/>
        </w:rPr>
        <w:t xml:space="preserve">Ninguna respuesta inventa una cifra que el Informe 1 no tenga. Cuando el dato no existe, la respuesta lo dice y remite al Informe 2, a la oferta económica o al levantamiento de la Etapa 1. Sostener esa disciplina bajo presión es la mitad del ejercicio.</w:t>
      </w:r>
    </w:p>
    <w:p>
      <w:pPr>
        <w:pStyle w:val="ListParagraph"/>
        <w:numPr>
          <w:ilvl w:val="0"/>
          <w:numId w:val="2"/>
        </w:numPr>
        <w:spacing w:after="70" w:line="264"/>
      </w:pPr>
      <w:r>
        <w:rPr>
          <w:rFonts w:ascii="Calibri" w:cs="Calibri" w:eastAsia="Calibri" w:hAnsi="Calibri"/>
          <w:color w:val="595959"/>
          <w:sz w:val="20"/>
          <w:szCs w:val="20"/>
        </w:rPr>
        <w:t xml:space="preserve">El Anexo I es obligatorio para los ocho: reúne las inconsistencias de nuestro propio informe que aparecieron al construir este banco. Conviene declararlas antes de que las encuentre la Comisión.</w:t>
      </w:r>
    </w:p>
    <w:p>
      <w:pPr>
        <w:pStyle w:val="Heading2"/>
        <w:spacing w:after="140" w:before="300"/>
      </w:pPr>
      <w:r>
        <w:rPr>
          <w:rFonts w:ascii="Calibri" w:cs="Calibri" w:eastAsia="Calibri" w:hAnsi="Calibri"/>
          <w:b/>
          <w:bCs/>
          <w:color w:val="1F3864"/>
          <w:sz w:val="24"/>
          <w:szCs w:val="24"/>
        </w:rPr>
        <w:t xml:space="preserve">Las etiquetas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500"/>
        <w:gridCol w:w="5400"/>
        <w:gridCol w:w="1900"/>
      </w:tblGrid>
      <w:tr>
        <w:trPr>
          <w:tblHeader/>
        </w:trPr>
        <w:tc>
          <w:tcPr>
            <w:tcW w:type="dxa" w:w="1500"/>
            <w:shd w:fill="1F3864" w:color="auto" w:val="clear"/>
            <w:tcMar>
              <w:top w:type="dxa" w:w="60"/>
              <w:left w:type="dxa" w:w="90"/>
              <w:bottom w:type="dxa" w:w="60"/>
              <w:right w:type="dxa" w:w="90"/>
            </w:tcMar>
            <w:vAlign w:val="center"/>
          </w:tcPr>
          <w:p>
            <w:pPr>
              <w:spacing w:after="0" w:line="240"/>
            </w:pPr>
            <w:r>
              <w:rPr>
                <w:rFonts w:ascii="Calibri" w:cs="Calibri" w:eastAsia="Calibri" w:hAnsi="Calibri"/>
                <w:b/>
                <w:bCs/>
                <w:color w:val="FFFFFF"/>
                <w:sz w:val="17"/>
                <w:szCs w:val="17"/>
              </w:rPr>
              <w:t xml:space="preserve">Etiqueta</w:t>
            </w:r>
          </w:p>
        </w:tc>
        <w:tc>
          <w:tcPr>
            <w:tcW w:type="dxa" w:w="5400"/>
            <w:shd w:fill="1F3864" w:color="auto" w:val="clear"/>
            <w:tcMar>
              <w:top w:type="dxa" w:w="60"/>
              <w:left w:type="dxa" w:w="90"/>
              <w:bottom w:type="dxa" w:w="60"/>
              <w:right w:type="dxa" w:w="90"/>
            </w:tcMar>
            <w:vAlign w:val="center"/>
          </w:tcPr>
          <w:p>
            <w:pPr>
              <w:spacing w:after="0" w:line="240"/>
            </w:pPr>
            <w:r>
              <w:rPr>
                <w:rFonts w:ascii="Calibri" w:cs="Calibri" w:eastAsia="Calibri" w:hAnsi="Calibri"/>
                <w:b/>
                <w:bCs/>
                <w:color w:val="FFFFFF"/>
                <w:sz w:val="17"/>
                <w:szCs w:val="17"/>
              </w:rPr>
              <w:t xml:space="preserve">Qué significa</w:t>
            </w:r>
          </w:p>
        </w:tc>
        <w:tc>
          <w:tcPr>
            <w:tcW w:type="dxa" w:w="1900"/>
            <w:shd w:fill="1F3864" w:color="auto" w:val="clear"/>
            <w:tcMar>
              <w:top w:type="dxa" w:w="60"/>
              <w:left w:type="dxa" w:w="90"/>
              <w:bottom w:type="dxa" w:w="60"/>
              <w:right w:type="dxa" w:w="90"/>
            </w:tcMar>
            <w:vAlign w:val="center"/>
          </w:tcPr>
          <w:p>
            <w:pPr>
              <w:spacing w:after="0" w:line="240"/>
              <w:jc w:val="center"/>
            </w:pPr>
            <w:r>
              <w:rPr>
                <w:rFonts w:ascii="Calibri" w:cs="Calibri" w:eastAsia="Calibri" w:hAnsi="Calibri"/>
                <w:b/>
                <w:bCs/>
                <w:color w:val="FFFFFF"/>
                <w:sz w:val="17"/>
                <w:szCs w:val="17"/>
              </w:rPr>
              <w:t xml:space="preserve">Cuántas hay</w:t>
            </w:r>
          </w:p>
        </w:tc>
      </w:tr>
      <w:tr>
        <w:tc>
          <w:tcPr>
            <w:tcW w:type="dxa" w:w="1500"/>
            <w:tcMar>
              <w:top w:type="dxa" w:w="60"/>
              <w:left w:type="dxa" w:w="90"/>
              <w:bottom w:type="dxa" w:w="60"/>
              <w:right w:type="dxa" w:w="90"/>
            </w:tcMar>
            <w:vAlign w:val="center"/>
          </w:tcPr>
          <w:p>
            <w:pPr>
              <w:spacing w:after="0" w:line="240"/>
            </w:pPr>
            <w:r>
              <w:rPr>
                <w:rFonts w:ascii="Calibri" w:cs="Calibri" w:eastAsia="Calibri" w:hAnsi="Calibri"/>
                <w:b/>
                <w:bCs/>
                <w:color w:val="B00020"/>
                <w:sz w:val="17"/>
                <w:szCs w:val="17"/>
              </w:rPr>
              <w:t xml:space="preserve">Contradicción</w:t>
            </w:r>
          </w:p>
        </w:tc>
        <w:tc>
          <w:tcPr>
            <w:tcW w:type="dxa" w:w="5400"/>
            <w:tcMar>
              <w:top w:type="dxa" w:w="60"/>
              <w:left w:type="dxa" w:w="90"/>
              <w:bottom w:type="dxa" w:w="60"/>
              <w:right w:type="dxa" w:w="90"/>
            </w:tcMar>
            <w:vAlign w:val="center"/>
          </w:tcPr>
          <w:p>
            <w:pPr>
              <w:spacing w:after="0" w:line="240"/>
            </w:pPr>
            <w:r>
              <w:rPr>
                <w:rFonts w:ascii="Calibri" w:cs="Calibri" w:eastAsia="Calibri" w:hAnsi="Calibri"/>
                <w:color w:val="000000"/>
                <w:sz w:val="17"/>
                <w:szCs w:val="17"/>
              </w:rPr>
              <w:t xml:space="preserve">Dos partes del informe dicen cosas distintas sobre lo mismo. La respuesta declara cuál prevalece y dónde se corrige.</w:t>
            </w:r>
          </w:p>
        </w:tc>
        <w:tc>
          <w:tcPr>
            <w:tcW w:type="dxa" w:w="1900"/>
            <w:tcMar>
              <w:top w:type="dxa" w:w="60"/>
              <w:left w:type="dxa" w:w="90"/>
              <w:bottom w:type="dxa" w:w="60"/>
              <w:right w:type="dxa" w:w="90"/>
            </w:tcMar>
            <w:vAlign w:val="center"/>
          </w:tcPr>
          <w:p>
            <w:pPr>
              <w:spacing w:after="0" w:line="240"/>
              <w:jc w:val="center"/>
            </w:pPr>
            <w:r>
              <w:rPr>
                <w:rFonts w:ascii="Calibri" w:cs="Calibri" w:eastAsia="Calibri" w:hAnsi="Calibri"/>
                <w:color w:val="000000"/>
                <w:sz w:val="17"/>
                <w:szCs w:val="17"/>
              </w:rPr>
              <w:t xml:space="preserve">10</w:t>
            </w:r>
          </w:p>
        </w:tc>
      </w:tr>
      <w:tr>
        <w:tc>
          <w:tcPr>
            <w:tcW w:type="dxa" w:w="1500"/>
            <w:shd w:fill="F2F2F2" w:color="auto" w:val="clear"/>
            <w:tcMar>
              <w:top w:type="dxa" w:w="60"/>
              <w:left w:type="dxa" w:w="90"/>
              <w:bottom w:type="dxa" w:w="60"/>
              <w:right w:type="dxa" w:w="90"/>
            </w:tcMar>
            <w:vAlign w:val="center"/>
          </w:tcPr>
          <w:p>
            <w:pPr>
              <w:spacing w:after="0" w:line="240"/>
            </w:pPr>
            <w:r>
              <w:rPr>
                <w:rFonts w:ascii="Calibri" w:cs="Calibri" w:eastAsia="Calibri" w:hAnsi="Calibri"/>
                <w:b/>
                <w:bCs/>
                <w:color w:val="9C27B0"/>
                <w:sz w:val="17"/>
                <w:szCs w:val="17"/>
              </w:rPr>
              <w:t xml:space="preserve">Trampa</w:t>
            </w:r>
          </w:p>
        </w:tc>
        <w:tc>
          <w:tcPr>
            <w:tcW w:type="dxa" w:w="5400"/>
            <w:shd w:fill="F2F2F2" w:color="auto" w:val="clear"/>
            <w:tcMar>
              <w:top w:type="dxa" w:w="60"/>
              <w:left w:type="dxa" w:w="90"/>
              <w:bottom w:type="dxa" w:w="60"/>
              <w:right w:type="dxa" w:w="90"/>
            </w:tcMar>
            <w:vAlign w:val="center"/>
          </w:tcPr>
          <w:p>
            <w:pPr>
              <w:spacing w:after="0" w:line="240"/>
            </w:pPr>
            <w:r>
              <w:rPr>
                <w:rFonts w:ascii="Calibri" w:cs="Calibri" w:eastAsia="Calibri" w:hAnsi="Calibri"/>
                <w:color w:val="000000"/>
                <w:sz w:val="17"/>
                <w:szCs w:val="17"/>
              </w:rPr>
              <w:t xml:space="preserve">La premisa de la pregunta es capciosa o lleva a una respuesta que se puede usar en contra. Hay que desarmar la premisa antes de responder.</w:t>
            </w:r>
          </w:p>
        </w:tc>
        <w:tc>
          <w:tcPr>
            <w:tcW w:type="dxa" w:w="1900"/>
            <w:shd w:fill="F2F2F2"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000000"/>
                <w:sz w:val="17"/>
                <w:szCs w:val="17"/>
              </w:rPr>
              <w:t xml:space="preserve">27</w:t>
            </w:r>
          </w:p>
        </w:tc>
      </w:tr>
      <w:tr>
        <w:tc>
          <w:tcPr>
            <w:tcW w:type="dxa" w:w="1500"/>
            <w:tcMar>
              <w:top w:type="dxa" w:w="60"/>
              <w:left w:type="dxa" w:w="90"/>
              <w:bottom w:type="dxa" w:w="60"/>
              <w:right w:type="dxa" w:w="90"/>
            </w:tcMar>
            <w:vAlign w:val="center"/>
          </w:tcPr>
          <w:p>
            <w:pPr>
              <w:spacing w:after="0" w:line="240"/>
            </w:pPr>
            <w:r>
              <w:rPr>
                <w:rFonts w:ascii="Calibri" w:cs="Calibri" w:eastAsia="Calibri" w:hAnsi="Calibri"/>
                <w:b/>
                <w:bCs/>
                <w:color w:val="00695C"/>
                <w:sz w:val="17"/>
                <w:szCs w:val="17"/>
              </w:rPr>
              <w:t xml:space="preserve">Cifra</w:t>
            </w:r>
          </w:p>
        </w:tc>
        <w:tc>
          <w:tcPr>
            <w:tcW w:type="dxa" w:w="5400"/>
            <w:tcMar>
              <w:top w:type="dxa" w:w="60"/>
              <w:left w:type="dxa" w:w="90"/>
              <w:bottom w:type="dxa" w:w="60"/>
              <w:right w:type="dxa" w:w="90"/>
            </w:tcMar>
            <w:vAlign w:val="center"/>
          </w:tcPr>
          <w:p>
            <w:pPr>
              <w:spacing w:after="0" w:line="240"/>
            </w:pPr>
            <w:r>
              <w:rPr>
                <w:rFonts w:ascii="Calibri" w:cs="Calibri" w:eastAsia="Calibri" w:hAnsi="Calibri"/>
                <w:color w:val="000000"/>
                <w:sz w:val="17"/>
                <w:szCs w:val="17"/>
              </w:rPr>
              <w:t xml:space="preserve">Ataca un número: su origen, su método o su coherencia con otro número del informe. Bloqueante G1 si se responde mal.</w:t>
            </w:r>
          </w:p>
        </w:tc>
        <w:tc>
          <w:tcPr>
            <w:tcW w:type="dxa" w:w="1900"/>
            <w:tcMar>
              <w:top w:type="dxa" w:w="60"/>
              <w:left w:type="dxa" w:w="90"/>
              <w:bottom w:type="dxa" w:w="60"/>
              <w:right w:type="dxa" w:w="90"/>
            </w:tcMar>
            <w:vAlign w:val="center"/>
          </w:tcPr>
          <w:p>
            <w:pPr>
              <w:spacing w:after="0" w:line="240"/>
              <w:jc w:val="center"/>
            </w:pPr>
            <w:r>
              <w:rPr>
                <w:rFonts w:ascii="Calibri" w:cs="Calibri" w:eastAsia="Calibri" w:hAnsi="Calibri"/>
                <w:color w:val="000000"/>
                <w:sz w:val="17"/>
                <w:szCs w:val="17"/>
              </w:rPr>
              <w:t xml:space="preserve">20</w:t>
            </w:r>
          </w:p>
        </w:tc>
      </w:tr>
      <w:tr>
        <w:tc>
          <w:tcPr>
            <w:tcW w:type="dxa" w:w="1500"/>
            <w:shd w:fill="F2F2F2" w:color="auto" w:val="clear"/>
            <w:tcMar>
              <w:top w:type="dxa" w:w="60"/>
              <w:left w:type="dxa" w:w="90"/>
              <w:bottom w:type="dxa" w:w="60"/>
              <w:right w:type="dxa" w:w="90"/>
            </w:tcMar>
            <w:vAlign w:val="center"/>
          </w:tcPr>
          <w:p>
            <w:pPr>
              <w:spacing w:after="0" w:line="240"/>
            </w:pPr>
            <w:r>
              <w:rPr>
                <w:rFonts w:ascii="Calibri" w:cs="Calibri" w:eastAsia="Calibri" w:hAnsi="Calibri"/>
                <w:b/>
                <w:bCs/>
                <w:color w:val="1F3864"/>
                <w:sz w:val="17"/>
                <w:szCs w:val="17"/>
              </w:rPr>
              <w:t xml:space="preserve">Normativa</w:t>
            </w:r>
          </w:p>
        </w:tc>
        <w:tc>
          <w:tcPr>
            <w:tcW w:type="dxa" w:w="5400"/>
            <w:shd w:fill="F2F2F2" w:color="auto" w:val="clear"/>
            <w:tcMar>
              <w:top w:type="dxa" w:w="60"/>
              <w:left w:type="dxa" w:w="90"/>
              <w:bottom w:type="dxa" w:w="60"/>
              <w:right w:type="dxa" w:w="90"/>
            </w:tcMar>
            <w:vAlign w:val="center"/>
          </w:tcPr>
          <w:p>
            <w:pPr>
              <w:spacing w:after="0" w:line="240"/>
            </w:pPr>
            <w:r>
              <w:rPr>
                <w:rFonts w:ascii="Calibri" w:cs="Calibri" w:eastAsia="Calibri" w:hAnsi="Calibri"/>
                <w:color w:val="000000"/>
                <w:sz w:val="17"/>
                <w:szCs w:val="17"/>
              </w:rPr>
              <w:t xml:space="preserve">Apunta a una exigencia legal, de las Bases o de un estándar. La respuesta debe citar el cuerpo normativo.</w:t>
            </w:r>
          </w:p>
        </w:tc>
        <w:tc>
          <w:tcPr>
            <w:tcW w:type="dxa" w:w="1900"/>
            <w:shd w:fill="F2F2F2"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000000"/>
                <w:sz w:val="17"/>
                <w:szCs w:val="17"/>
              </w:rPr>
              <w:t xml:space="preserve">17</w:t>
            </w:r>
          </w:p>
        </w:tc>
      </w:tr>
      <w:tr>
        <w:tc>
          <w:tcPr>
            <w:tcW w:type="dxa" w:w="1500"/>
            <w:tcMar>
              <w:top w:type="dxa" w:w="60"/>
              <w:left w:type="dxa" w:w="90"/>
              <w:bottom w:type="dxa" w:w="60"/>
              <w:right w:type="dxa" w:w="90"/>
            </w:tcMar>
            <w:vAlign w:val="center"/>
          </w:tcPr>
          <w:p>
            <w:pPr>
              <w:spacing w:after="0" w:line="240"/>
            </w:pPr>
            <w:r>
              <w:rPr>
                <w:rFonts w:ascii="Calibri" w:cs="Calibri" w:eastAsia="Calibri" w:hAnsi="Calibri"/>
                <w:b/>
                <w:bCs/>
                <w:color w:val="0D47A1"/>
                <w:sz w:val="17"/>
                <w:szCs w:val="17"/>
              </w:rPr>
              <w:t xml:space="preserve">Diseño</w:t>
            </w:r>
          </w:p>
        </w:tc>
        <w:tc>
          <w:tcPr>
            <w:tcW w:type="dxa" w:w="5400"/>
            <w:tcMar>
              <w:top w:type="dxa" w:w="60"/>
              <w:left w:type="dxa" w:w="90"/>
              <w:bottom w:type="dxa" w:w="60"/>
              <w:right w:type="dxa" w:w="90"/>
            </w:tcMar>
            <w:vAlign w:val="center"/>
          </w:tcPr>
          <w:p>
            <w:pPr>
              <w:spacing w:after="0" w:line="240"/>
            </w:pPr>
            <w:r>
              <w:rPr>
                <w:rFonts w:ascii="Calibri" w:cs="Calibri" w:eastAsia="Calibri" w:hAnsi="Calibri"/>
                <w:color w:val="000000"/>
                <w:sz w:val="17"/>
                <w:szCs w:val="17"/>
              </w:rPr>
              <w:t xml:space="preserve">Cuestiona una decisión de arquitectura o de proceso. Se responde con el fundamento y el compromiso aceptado.</w:t>
            </w:r>
          </w:p>
        </w:tc>
        <w:tc>
          <w:tcPr>
            <w:tcW w:type="dxa" w:w="1900"/>
            <w:tcMar>
              <w:top w:type="dxa" w:w="60"/>
              <w:left w:type="dxa" w:w="90"/>
              <w:bottom w:type="dxa" w:w="60"/>
              <w:right w:type="dxa" w:w="90"/>
            </w:tcMar>
            <w:vAlign w:val="center"/>
          </w:tcPr>
          <w:p>
            <w:pPr>
              <w:spacing w:after="0" w:line="240"/>
              <w:jc w:val="center"/>
            </w:pPr>
            <w:r>
              <w:rPr>
                <w:rFonts w:ascii="Calibri" w:cs="Calibri" w:eastAsia="Calibri" w:hAnsi="Calibri"/>
                <w:color w:val="000000"/>
                <w:sz w:val="17"/>
                <w:szCs w:val="17"/>
              </w:rPr>
              <w:t xml:space="preserve">22</w:t>
            </w:r>
          </w:p>
        </w:tc>
      </w:tr>
      <w:tr>
        <w:tc>
          <w:tcPr>
            <w:tcW w:type="dxa" w:w="1500"/>
            <w:shd w:fill="F2F2F2" w:color="auto" w:val="clear"/>
            <w:tcMar>
              <w:top w:type="dxa" w:w="60"/>
              <w:left w:type="dxa" w:w="90"/>
              <w:bottom w:type="dxa" w:w="60"/>
              <w:right w:type="dxa" w:w="90"/>
            </w:tcMar>
            <w:vAlign w:val="center"/>
          </w:tcPr>
          <w:p>
            <w:pPr>
              <w:spacing w:after="0" w:line="240"/>
            </w:pPr>
            <w:r>
              <w:rPr>
                <w:rFonts w:ascii="Calibri" w:cs="Calibri" w:eastAsia="Calibri" w:hAnsi="Calibri"/>
                <w:b/>
                <w:bCs/>
                <w:color w:val="BF6000"/>
                <w:sz w:val="17"/>
                <w:szCs w:val="17"/>
              </w:rPr>
              <w:t xml:space="preserve">Alcance</w:t>
            </w:r>
          </w:p>
        </w:tc>
        <w:tc>
          <w:tcPr>
            <w:tcW w:type="dxa" w:w="5400"/>
            <w:shd w:fill="F2F2F2" w:color="auto" w:val="clear"/>
            <w:tcMar>
              <w:top w:type="dxa" w:w="60"/>
              <w:left w:type="dxa" w:w="90"/>
              <w:bottom w:type="dxa" w:w="60"/>
              <w:right w:type="dxa" w:w="90"/>
            </w:tcMar>
            <w:vAlign w:val="center"/>
          </w:tcPr>
          <w:p>
            <w:pPr>
              <w:spacing w:after="0" w:line="240"/>
            </w:pPr>
            <w:r>
              <w:rPr>
                <w:rFonts w:ascii="Calibri" w:cs="Calibri" w:eastAsia="Calibri" w:hAnsi="Calibri"/>
                <w:color w:val="000000"/>
                <w:sz w:val="17"/>
                <w:szCs w:val="17"/>
              </w:rPr>
              <w:t xml:space="preserve">Pregunta por algo que está fuera del Informe 1 o fuera del contrato. Se responde delimitando, sin improvisar.</w:t>
            </w:r>
          </w:p>
        </w:tc>
        <w:tc>
          <w:tcPr>
            <w:tcW w:type="dxa" w:w="1900"/>
            <w:shd w:fill="F2F2F2"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000000"/>
                <w:sz w:val="17"/>
                <w:szCs w:val="17"/>
              </w:rPr>
              <w:t xml:space="preserve">7</w:t>
            </w:r>
          </w:p>
        </w:tc>
      </w:tr>
      <w:tr>
        <w:tc>
          <w:tcPr>
            <w:tcW w:type="dxa" w:w="1500"/>
            <w:tcMar>
              <w:top w:type="dxa" w:w="60"/>
              <w:left w:type="dxa" w:w="90"/>
              <w:bottom w:type="dxa" w:w="60"/>
              <w:right w:type="dxa" w:w="90"/>
            </w:tcMar>
            <w:vAlign w:val="center"/>
          </w:tcPr>
          <w:p>
            <w:pPr>
              <w:spacing w:after="0" w:line="240"/>
            </w:pPr>
            <w:r>
              <w:rPr>
                <w:rFonts w:ascii="Calibri" w:cs="Calibri" w:eastAsia="Calibri" w:hAnsi="Calibri"/>
                <w:b/>
                <w:bCs/>
                <w:color w:val="C62828"/>
                <w:sz w:val="17"/>
                <w:szCs w:val="17"/>
              </w:rPr>
              <w:t xml:space="preserve">Hueco</w:t>
            </w:r>
          </w:p>
        </w:tc>
        <w:tc>
          <w:tcPr>
            <w:tcW w:type="dxa" w:w="5400"/>
            <w:tcMar>
              <w:top w:type="dxa" w:w="60"/>
              <w:left w:type="dxa" w:w="90"/>
              <w:bottom w:type="dxa" w:w="60"/>
              <w:right w:type="dxa" w:w="90"/>
            </w:tcMar>
            <w:vAlign w:val="center"/>
          </w:tcPr>
          <w:p>
            <w:pPr>
              <w:spacing w:after="0" w:line="240"/>
            </w:pPr>
            <w:r>
              <w:rPr>
                <w:rFonts w:ascii="Calibri" w:cs="Calibri" w:eastAsia="Calibri" w:hAnsi="Calibri"/>
                <w:color w:val="000000"/>
                <w:sz w:val="17"/>
                <w:szCs w:val="17"/>
              </w:rPr>
              <w:t xml:space="preserve">Apunta a algo que el informe efectivamente no cierra. La respuesta lo declara y da el momento de cierre.</w:t>
            </w:r>
          </w:p>
        </w:tc>
        <w:tc>
          <w:tcPr>
            <w:tcW w:type="dxa" w:w="1900"/>
            <w:tcMar>
              <w:top w:type="dxa" w:w="60"/>
              <w:left w:type="dxa" w:w="90"/>
              <w:bottom w:type="dxa" w:w="60"/>
              <w:right w:type="dxa" w:w="90"/>
            </w:tcMar>
            <w:vAlign w:val="center"/>
          </w:tcPr>
          <w:p>
            <w:pPr>
              <w:spacing w:after="0" w:line="240"/>
              <w:jc w:val="center"/>
            </w:pPr>
            <w:r>
              <w:rPr>
                <w:rFonts w:ascii="Calibri" w:cs="Calibri" w:eastAsia="Calibri" w:hAnsi="Calibri"/>
                <w:color w:val="000000"/>
                <w:sz w:val="17"/>
                <w:szCs w:val="17"/>
              </w:rPr>
              <w:t xml:space="preserve">6</w:t>
            </w:r>
          </w:p>
        </w:tc>
      </w:tr>
    </w:tbl>
    <w:p>
      <w:r>
        <w:br w:type="page"/>
      </w:r>
    </w:p>
    <w:p>
      <w:pPr>
        <w:pStyle w:val="Heading1"/>
        <w:spacing w:after="200"/>
      </w:pPr>
      <w:r>
        <w:rPr>
          <w:rFonts w:ascii="Calibri" w:cs="Calibri" w:eastAsia="Calibri" w:hAnsi="Calibri"/>
          <w:b/>
          <w:bCs/>
          <w:color w:val="1F3864"/>
          <w:sz w:val="28"/>
          <w:szCs w:val="28"/>
        </w:rPr>
        <w:t xml:space="preserve">Preguntas por diapositiva</w:t>
      </w:r>
    </w:p>
    <w:p>
      <w:pPr>
        <w:pStyle w:val="Heading2"/>
        <w:keepNext/>
        <w:spacing w:after="20" w:before="0"/>
      </w:pPr>
      <w:r>
        <w:rPr>
          <w:rFonts w:ascii="Calibri" w:cs="Calibri" w:eastAsia="Calibri" w:hAnsi="Calibri"/>
          <w:b/>
          <w:bCs/>
          <w:color w:val="1F3864"/>
          <w:sz w:val="24"/>
          <w:szCs w:val="24"/>
        </w:rPr>
        <w:t xml:space="preserve">Diapositiva 1 · Portada — LAFROX</w:t>
      </w:r>
    </w:p>
    <w:p>
      <w:pPr>
        <w:keepNext/>
        <w:pBdr>
          <w:bottom w:val="single" w:color="BFBFBF" w:sz="6" w:space="2"/>
        </w:pBdr>
        <w:spacing w:after="60"/>
      </w:pPr>
      <w:r>
        <w:rPr>
          <w:rFonts w:ascii="Calibri" w:cs="Calibri" w:eastAsia="Calibri" w:hAnsi="Calibri"/>
          <w:color w:val="595959"/>
          <w:sz w:val="16"/>
          <w:szCs w:val="16"/>
        </w:rPr>
        <w:t xml:space="preserve">4 preguntas</w:t>
      </w:r>
    </w:p>
    <w:p>
      <w:pPr>
        <w:keepNext/>
        <w:spacing w:after="30" w:before="130" w:line="268"/>
        <w:ind w:left="460" w:hanging="460"/>
      </w:pPr>
      <w:r>
        <w:rPr>
          <w:rFonts w:ascii="Calibri" w:cs="Calibri" w:eastAsia="Calibri" w:hAnsi="Calibri"/>
          <w:b/>
          <w:bCs/>
          <w:color w:val="BF6000"/>
          <w:sz w:val="15"/>
          <w:szCs w:val="15"/>
        </w:rPr>
        <w:t xml:space="preserve">ALCANCE  </w:t>
      </w:r>
      <w:r>
        <w:rPr>
          <w:rFonts w:ascii="Calibri" w:cs="Calibri" w:eastAsia="Calibri" w:hAnsi="Calibri"/>
          <w:b/>
          <w:bCs/>
          <w:i/>
          <w:iCs/>
          <w:color w:val="000000"/>
          <w:sz w:val="19"/>
          <w:szCs w:val="19"/>
        </w:rPr>
        <w:t xml:space="preserve">El Formulario T-22 pide cinco temas y su presentación tiene treinta láminas, pero el Subdocumento 5, modelo y gestión de datos, no aparece en ninguna. Pondera once por ciento. ¿Por qué lo omiten?</w:t>
      </w:r>
    </w:p>
    <w:p>
      <w:pPr>
        <w:pBdr>
          <w:left w:val="single" w:color="1F3864" w:sz="10" w:space="8"/>
        </w:pBdr>
        <w:spacing w:after="60" w:line="268"/>
        <w:ind w:left="460"/>
      </w:pPr>
      <w:r>
        <w:rPr>
          <w:rFonts w:ascii="Calibri" w:cs="Calibri" w:eastAsia="Calibri" w:hAnsi="Calibri"/>
          <w:color w:val="333333"/>
          <w:sz w:val="19"/>
          <w:szCs w:val="19"/>
        </w:rPr>
        <w:t xml:space="preserve">Porque la agenda de esta instancia es cerrada y el T-22 la fija en cinco bloques; el modelo de datos se expone dentro de arquitectura y de trazabilidad, no como bloque propio. El Subdocumento 5 está íntegro en el informe entregado el 07-09, con sus quince bases lógicas, la política de retención y el mecanismo de retiro en menos de dos horas. Si la Comisión quiere entrar ahí, es la ronda de preguntas.</w:t>
      </w:r>
    </w:p>
    <w:p>
      <w:pPr>
        <w:keepNext/>
        <w:spacing w:after="30" w:before="130" w:line="268"/>
        <w:ind w:left="460" w:hanging="460"/>
      </w:pPr>
      <w:r>
        <w:rPr>
          <w:rFonts w:ascii="Calibri" w:cs="Calibri" w:eastAsia="Calibri" w:hAnsi="Calibri"/>
          <w:b/>
          <w:bCs/>
          <w:color w:val="1F3864"/>
          <w:sz w:val="15"/>
          <w:szCs w:val="15"/>
        </w:rPr>
        <w:t xml:space="preserve">NORMATIVA  </w:t>
      </w:r>
      <w:r>
        <w:rPr>
          <w:rFonts w:ascii="Calibri" w:cs="Calibri" w:eastAsia="Calibri" w:hAnsi="Calibri"/>
          <w:b/>
          <w:bCs/>
          <w:i/>
          <w:iCs/>
          <w:color w:val="000000"/>
          <w:sz w:val="19"/>
          <w:szCs w:val="19"/>
        </w:rPr>
        <w:t xml:space="preserve">¿Bajo qué artículo entienden que esta presentación es obligatoria, y qué pasaría si uno de los ocho no se presentara?</w:t>
      </w:r>
    </w:p>
    <w:p>
      <w:pPr>
        <w:pBdr>
          <w:left w:val="single" w:color="1F3864" w:sz="10" w:space="8"/>
        </w:pBdr>
        <w:spacing w:after="60" w:line="268"/>
        <w:ind w:left="460"/>
      </w:pPr>
      <w:r>
        <w:rPr>
          <w:rFonts w:ascii="Calibri" w:cs="Calibri" w:eastAsia="Calibri" w:hAnsi="Calibri"/>
          <w:color w:val="333333"/>
          <w:sz w:val="19"/>
          <w:szCs w:val="19"/>
        </w:rPr>
        <w:t xml:space="preserve">El §1834 de las Bases Administrativas: no presentar deja fuera del proceso de adjudicación. La presentación pondera dentro del diez por ciento del Título V. La ausencia de un integrante no es causal declarada, pero el equipo clave completo sí es exigible en el video del Capítulo 24 de las transversales, que es otra instancia.</w:t>
      </w:r>
    </w:p>
    <w:p>
      <w:pPr>
        <w:keepNext/>
        <w:spacing w:after="30" w:before="130" w:line="268"/>
        <w:ind w:left="460" w:hanging="460"/>
      </w:pPr>
      <w:r>
        <w:rPr>
          <w:rFonts w:ascii="Calibri" w:cs="Calibri" w:eastAsia="Calibri" w:hAnsi="Calibri"/>
          <w:b/>
          <w:bCs/>
          <w:color w:val="9C27B0"/>
          <w:sz w:val="15"/>
          <w:szCs w:val="15"/>
        </w:rPr>
        <w:t xml:space="preserve">TRAMPA  </w:t>
      </w:r>
      <w:r>
        <w:rPr>
          <w:rFonts w:ascii="Calibri" w:cs="Calibri" w:eastAsia="Calibri" w:hAnsi="Calibri"/>
          <w:b/>
          <w:bCs/>
          <w:i/>
          <w:iCs/>
          <w:color w:val="000000"/>
          <w:sz w:val="19"/>
          <w:szCs w:val="19"/>
        </w:rPr>
        <w:t xml:space="preserve">Dicen «licitación TFEP-01/2026», pero las bases del caso se citan a sí mismas como FEP01.26 y FEP02.26. ¿Cuál es el identificador correcto y por qué usan uno solo?</w:t>
      </w:r>
    </w:p>
    <w:p>
      <w:pPr>
        <w:pBdr>
          <w:left w:val="single" w:color="1F3864" w:sz="10" w:space="8"/>
        </w:pBdr>
        <w:spacing w:after="60" w:line="268"/>
        <w:ind w:left="460"/>
      </w:pPr>
      <w:r>
        <w:rPr>
          <w:rFonts w:ascii="Calibri" w:cs="Calibri" w:eastAsia="Calibri" w:hAnsi="Calibri"/>
          <w:color w:val="333333"/>
          <w:sz w:val="19"/>
          <w:szCs w:val="19"/>
        </w:rPr>
        <w:t xml:space="preserve">El identificador oficial del llamado es TFEP-01/2026. FEP01.26 y FEP02.26 son los identificadores internos de los dos documentos de bases. Estandarizamos a TFEP-01/2026 en toda la propuesta y en la nomenclatura de archivos del Art. 43.3, y dejamos constancia de la divergencia de rótulos.</w:t>
      </w:r>
    </w:p>
    <w:p>
      <w:pPr>
        <w:keepNext/>
        <w:spacing w:after="30" w:before="130" w:line="268"/>
        <w:ind w:left="460" w:hanging="460"/>
      </w:pPr>
      <w:r>
        <w:rPr>
          <w:rFonts w:ascii="Calibri" w:cs="Calibri" w:eastAsia="Calibri" w:hAnsi="Calibri"/>
          <w:b/>
          <w:bCs/>
          <w:color w:val="00695C"/>
          <w:sz w:val="15"/>
          <w:szCs w:val="15"/>
        </w:rPr>
        <w:t xml:space="preserve">CIFRA  </w:t>
      </w:r>
      <w:r>
        <w:rPr>
          <w:rFonts w:ascii="Calibri" w:cs="Calibri" w:eastAsia="Calibri" w:hAnsi="Calibri"/>
          <w:b/>
          <w:bCs/>
          <w:i/>
          <w:iCs/>
          <w:color w:val="000000"/>
          <w:sz w:val="19"/>
          <w:szCs w:val="19"/>
        </w:rPr>
        <w:t xml:space="preserve">Si la exposición dura quince minutos y las preguntas doce, ¿qué porcentaje del contenido del informe alcanzan a cubrir?</w:t>
      </w:r>
    </w:p>
    <w:p>
      <w:pPr>
        <w:pBdr>
          <w:left w:val="single" w:color="1F3864" w:sz="10" w:space="8"/>
        </w:pBdr>
        <w:spacing w:after="60" w:line="268"/>
        <w:ind w:left="460"/>
      </w:pPr>
      <w:r>
        <w:rPr>
          <w:rFonts w:ascii="Calibri" w:cs="Calibri" w:eastAsia="Calibri" w:hAnsi="Calibri"/>
          <w:color w:val="333333"/>
          <w:sz w:val="19"/>
          <w:szCs w:val="19"/>
        </w:rPr>
        <w:t xml:space="preserve">Ninguno completo, y no es el objetivo. Quince minutos cubren la estructura y las decisiones; el detalle está en los siete subdocumentos entregados. Por eso el guion reserva la profundidad para esta ronda: ustedes eligen qué examinar, y esa elección es mejor insumo que un recorrido nuestro.</w:t>
      </w:r>
    </w:p>
    <w:p>
      <w:pPr>
        <w:pStyle w:val="Heading2"/>
        <w:keepNext/>
        <w:spacing w:after="20" w:before="340"/>
      </w:pPr>
      <w:r>
        <w:rPr>
          <w:rFonts w:ascii="Calibri" w:cs="Calibri" w:eastAsia="Calibri" w:hAnsi="Calibri"/>
          <w:b/>
          <w:bCs/>
          <w:color w:val="1F3864"/>
          <w:sz w:val="24"/>
          <w:szCs w:val="24"/>
        </w:rPr>
        <w:t xml:space="preserve">Diapositiva 2 · Nuestra empresa</w:t>
      </w:r>
    </w:p>
    <w:p>
      <w:pPr>
        <w:keepNext/>
        <w:pBdr>
          <w:bottom w:val="single" w:color="BFBFBF" w:sz="6" w:space="2"/>
        </w:pBdr>
        <w:spacing w:after="60"/>
      </w:pPr>
      <w:r>
        <w:rPr>
          <w:rFonts w:ascii="Calibri" w:cs="Calibri" w:eastAsia="Calibri" w:hAnsi="Calibri"/>
          <w:color w:val="595959"/>
          <w:sz w:val="16"/>
          <w:szCs w:val="16"/>
        </w:rPr>
        <w:t xml:space="preserve">5 preguntas</w:t>
      </w:r>
    </w:p>
    <w:p>
      <w:pPr>
        <w:keepNext/>
        <w:spacing w:after="30" w:before="130" w:line="268"/>
        <w:ind w:left="460" w:hanging="460"/>
      </w:pPr>
      <w:r>
        <w:rPr>
          <w:rFonts w:ascii="Calibri" w:cs="Calibri" w:eastAsia="Calibri" w:hAnsi="Calibri"/>
          <w:b/>
          <w:bCs/>
          <w:color w:val="B00020"/>
          <w:sz w:val="15"/>
          <w:szCs w:val="15"/>
        </w:rPr>
        <w:t xml:space="preserve">CONTRADICCIÓN  </w:t>
      </w:r>
      <w:r>
        <w:rPr>
          <w:rFonts w:ascii="Calibri" w:cs="Calibri" w:eastAsia="Calibri" w:hAnsi="Calibri"/>
          <w:b/>
          <w:bCs/>
          <w:i/>
          <w:iCs/>
          <w:color w:val="000000"/>
          <w:sz w:val="19"/>
          <w:szCs w:val="19"/>
        </w:rPr>
        <w:t xml:space="preserve">El Subdocumento 1 declara RTO de treinta minutos y RPO de cinco minutos, pero el contrato compromete RTO de cuatro horas y RPO de quince minutos. ¿Cuál de los dos vale?</w:t>
      </w:r>
    </w:p>
    <w:p>
      <w:pPr>
        <w:pBdr>
          <w:left w:val="single" w:color="1F3864" w:sz="10" w:space="8"/>
        </w:pBdr>
        <w:spacing w:after="60" w:line="268"/>
        <w:ind w:left="460"/>
      </w:pPr>
      <w:r>
        <w:rPr>
          <w:rFonts w:ascii="Calibri" w:cs="Calibri" w:eastAsia="Calibri" w:hAnsi="Calibri"/>
          <w:color w:val="333333"/>
          <w:sz w:val="19"/>
          <w:szCs w:val="19"/>
        </w:rPr>
        <w:t xml:space="preserve">Son objetos distintos y la redacción debe separarlos mejor. Los treinta minutos y los cinco minutos describen la capacidad instalada del NOC de LafroX ante un desastre de infraestructura propia; el compromiso contractual para esta solución es RTO menor o igual a cuatro horas y RPO menor o igual a quince minutos, conforme a RT-07.04, y es el que se prueba dos veces al año. Lo registramos como observación para el Informe 2.</w:t>
      </w:r>
    </w:p>
    <w:p>
      <w:pPr>
        <w:keepNext/>
        <w:spacing w:after="30" w:before="130" w:line="268"/>
        <w:ind w:left="460" w:hanging="460"/>
      </w:pPr>
      <w:r>
        <w:rPr>
          <w:rFonts w:ascii="Calibri" w:cs="Calibri" w:eastAsia="Calibri" w:hAnsi="Calibri"/>
          <w:b/>
          <w:bCs/>
          <w:color w:val="B00020"/>
          <w:sz w:val="15"/>
          <w:szCs w:val="15"/>
        </w:rPr>
        <w:t xml:space="preserve">CONTRADICCIÓN  </w:t>
      </w:r>
      <w:r>
        <w:rPr>
          <w:rFonts w:ascii="Calibri" w:cs="Calibri" w:eastAsia="Calibri" w:hAnsi="Calibri"/>
          <w:b/>
          <w:bCs/>
          <w:i/>
          <w:iCs/>
          <w:color w:val="000000"/>
          <w:sz w:val="19"/>
          <w:szCs w:val="19"/>
        </w:rPr>
        <w:t xml:space="preserve">El Subdocumento 1 enumera DEV, QA, STG, PROD y PREPROD/TRAINING más DR; el Subdocumento 3 enumera DEV, QA, PREPROD, PROD y DR. ¿Son cinco ambientes más DR, o cinco incluyendo DR?</w:t>
      </w:r>
    </w:p>
    <w:p>
      <w:pPr>
        <w:pBdr>
          <w:left w:val="single" w:color="1F3864" w:sz="10" w:space="8"/>
        </w:pBdr>
        <w:spacing w:after="60" w:line="268"/>
        <w:ind w:left="460"/>
      </w:pPr>
      <w:r>
        <w:rPr>
          <w:rFonts w:ascii="Calibri" w:cs="Calibri" w:eastAsia="Calibri" w:hAnsi="Calibri"/>
          <w:color w:val="333333"/>
          <w:sz w:val="19"/>
          <w:szCs w:val="19"/>
        </w:rPr>
        <w:t xml:space="preserve">Son cinco ambientes más el de recuperación ante desastres, seis en total, conforme a RT-04.01. La enumeración del Subdocumento 3 está mal contada al incluir DR entre los cinco: es un error de redacción nuestro, no de criterio, y va al Informe 2 con su fila de trazabilidad.</w:t>
      </w:r>
    </w:p>
    <w:p>
      <w:pPr>
        <w:keepNext/>
        <w:spacing w:after="30" w:before="130" w:line="268"/>
        <w:ind w:left="460" w:hanging="460"/>
      </w:pPr>
      <w:r>
        <w:rPr>
          <w:rFonts w:ascii="Calibri" w:cs="Calibri" w:eastAsia="Calibri" w:hAnsi="Calibri"/>
          <w:b/>
          <w:bCs/>
          <w:color w:val="9C27B0"/>
          <w:sz w:val="15"/>
          <w:szCs w:val="15"/>
        </w:rPr>
        <w:t xml:space="preserve">TRAMPA  </w:t>
      </w:r>
      <w:r>
        <w:rPr>
          <w:rFonts w:ascii="Calibri" w:cs="Calibri" w:eastAsia="Calibri" w:hAnsi="Calibri"/>
          <w:b/>
          <w:bCs/>
          <w:i/>
          <w:iCs/>
          <w:color w:val="000000"/>
          <w:sz w:val="19"/>
          <w:szCs w:val="19"/>
        </w:rPr>
        <w:t xml:space="preserve">Dijeron «alineados a CMMI-DEV nivel 3» y «certificados ISO 9001». ¿Tienen o no tienen el sello CMMI vigente, y quién lo emitió?</w:t>
      </w:r>
    </w:p>
    <w:p>
      <w:pPr>
        <w:pBdr>
          <w:left w:val="single" w:color="1F3864" w:sz="10" w:space="8"/>
        </w:pBdr>
        <w:spacing w:after="60" w:line="268"/>
        <w:ind w:left="460"/>
      </w:pPr>
      <w:r>
        <w:rPr>
          <w:rFonts w:ascii="Calibri" w:cs="Calibri" w:eastAsia="Calibri" w:hAnsi="Calibri"/>
          <w:color w:val="333333"/>
          <w:sz w:val="19"/>
          <w:szCs w:val="19"/>
        </w:rPr>
        <w:t xml:space="preserve">ISO 9001 es certificación de nuestro sistema de gestión de calidad. CMMI-DEV nivel 3 lo declaramos como alineación de procesos formalizada y documentada, no como appraisal vigente con lead appraiser. ISO/IEC 27001 e ISO/IEC 20000-1 con ITIL v4 son igualmente alineación de controles. La distinción es deliberada y está en el texto del Subdocumento 1.</w:t>
      </w:r>
    </w:p>
    <w:p>
      <w:pPr>
        <w:keepNext/>
        <w:spacing w:after="30" w:before="130" w:line="268"/>
        <w:ind w:left="460" w:hanging="460"/>
      </w:pPr>
      <w:r>
        <w:rPr>
          <w:rFonts w:ascii="Calibri" w:cs="Calibri" w:eastAsia="Calibri" w:hAnsi="Calibri"/>
          <w:b/>
          <w:bCs/>
          <w:color w:val="00695C"/>
          <w:sz w:val="15"/>
          <w:szCs w:val="15"/>
        </w:rPr>
        <w:t xml:space="preserve">CIFRA  </w:t>
      </w:r>
      <w:r>
        <w:rPr>
          <w:rFonts w:ascii="Calibri" w:cs="Calibri" w:eastAsia="Calibri" w:hAnsi="Calibri"/>
          <w:b/>
          <w:bCs/>
          <w:i/>
          <w:iCs/>
          <w:color w:val="000000"/>
          <w:sz w:val="19"/>
          <w:szCs w:val="19"/>
        </w:rPr>
        <w:t xml:space="preserve">Dicen ciento veinte profesionales y no tercerizar la ingeniería. ¿Cuántos quedan asignados a este contrato y con qué dedicación durante los cincuenta y seis meses?</w:t>
      </w:r>
    </w:p>
    <w:p>
      <w:pPr>
        <w:pBdr>
          <w:left w:val="single" w:color="1F3864" w:sz="10" w:space="8"/>
        </w:pBdr>
        <w:spacing w:after="60" w:line="268"/>
        <w:ind w:left="460"/>
      </w:pPr>
      <w:r>
        <w:rPr>
          <w:rFonts w:ascii="Calibri" w:cs="Calibri" w:eastAsia="Calibri" w:hAnsi="Calibri"/>
          <w:color w:val="333333"/>
          <w:sz w:val="19"/>
          <w:szCs w:val="19"/>
        </w:rPr>
        <w:t xml:space="preserve">La gobernanza nominal son los ocho ingenieros de la lámina siguiente. La dotación por rol, dedicación y meses de participación es la nivelación del Formulario T-15, que corresponde al plan de trabajo del Informe 2. En el Informe 1 no comprometemos una cifra de dotación: sería una celda sin método detrás.</w:t>
      </w:r>
    </w:p>
    <w:p>
      <w:pPr>
        <w:keepNext/>
        <w:spacing w:after="30" w:before="130" w:line="268"/>
        <w:ind w:left="460" w:hanging="460"/>
      </w:pPr>
      <w:r>
        <w:rPr>
          <w:rFonts w:ascii="Calibri" w:cs="Calibri" w:eastAsia="Calibri" w:hAnsi="Calibri"/>
          <w:b/>
          <w:bCs/>
          <w:color w:val="0D47A1"/>
          <w:sz w:val="15"/>
          <w:szCs w:val="15"/>
        </w:rPr>
        <w:t xml:space="preserve">DISEÑO  </w:t>
      </w:r>
      <w:r>
        <w:rPr>
          <w:rFonts w:ascii="Calibri" w:cs="Calibri" w:eastAsia="Calibri" w:hAnsi="Calibri"/>
          <w:b/>
          <w:bCs/>
          <w:i/>
          <w:iCs/>
          <w:color w:val="000000"/>
          <w:sz w:val="19"/>
          <w:szCs w:val="19"/>
        </w:rPr>
        <w:t xml:space="preserve">Sus dos casos de éxito son de una embotelladora y de una productora de alimentos. Ninguno es un distribuidor mayorista con catorce mil doscientos puntos y canal tradicional. ¿Qué de esa experiencia es transferible?</w:t>
      </w:r>
    </w:p>
    <w:p>
      <w:pPr>
        <w:pBdr>
          <w:left w:val="single" w:color="1F3864" w:sz="10" w:space="8"/>
        </w:pBdr>
        <w:spacing w:after="60" w:line="268"/>
        <w:ind w:left="460"/>
      </w:pPr>
      <w:r>
        <w:rPr>
          <w:rFonts w:ascii="Calibri" w:cs="Calibri" w:eastAsia="Calibri" w:hAnsi="Calibri"/>
          <w:color w:val="333333"/>
          <w:sz w:val="19"/>
          <w:szCs w:val="19"/>
        </w:rPr>
        <w:t xml:space="preserve">Lo transferible es exactamente lo que este caso exige: operación desconectada con reconciliación determinista, y trazabilidad lote a lote bajo GS1 con respuesta a la autoridad sanitaria. Lo no transferible lo tratamos como riesgo: la densidad de puntos de entrega y el canal tradicional sin internet, que es la razón de ser de la innovación cinco.</w:t>
      </w:r>
    </w:p>
    <w:p>
      <w:pPr>
        <w:pStyle w:val="Heading2"/>
        <w:keepNext/>
        <w:spacing w:after="20" w:before="340"/>
      </w:pPr>
      <w:r>
        <w:rPr>
          <w:rFonts w:ascii="Calibri" w:cs="Calibri" w:eastAsia="Calibri" w:hAnsi="Calibri"/>
          <w:b/>
          <w:bCs/>
          <w:color w:val="1F3864"/>
          <w:sz w:val="24"/>
          <w:szCs w:val="24"/>
        </w:rPr>
        <w:t xml:space="preserve">Diapositiva 3 · Nuestros valores</w:t>
      </w:r>
    </w:p>
    <w:p>
      <w:pPr>
        <w:keepNext/>
        <w:pBdr>
          <w:bottom w:val="single" w:color="BFBFBF" w:sz="6" w:space="2"/>
        </w:pBdr>
        <w:spacing w:after="60"/>
      </w:pPr>
      <w:r>
        <w:rPr>
          <w:rFonts w:ascii="Calibri" w:cs="Calibri" w:eastAsia="Calibri" w:hAnsi="Calibri"/>
          <w:color w:val="595959"/>
          <w:sz w:val="16"/>
          <w:szCs w:val="16"/>
        </w:rPr>
        <w:t xml:space="preserve">3 preguntas</w:t>
      </w:r>
    </w:p>
    <w:p>
      <w:pPr>
        <w:keepNext/>
        <w:spacing w:after="30" w:before="130" w:line="268"/>
        <w:ind w:left="460" w:hanging="460"/>
      </w:pPr>
      <w:r>
        <w:rPr>
          <w:rFonts w:ascii="Calibri" w:cs="Calibri" w:eastAsia="Calibri" w:hAnsi="Calibri"/>
          <w:b/>
          <w:bCs/>
          <w:color w:val="9C27B0"/>
          <w:sz w:val="15"/>
          <w:szCs w:val="15"/>
        </w:rPr>
        <w:t xml:space="preserve">TRAMPA  </w:t>
      </w:r>
      <w:r>
        <w:rPr>
          <w:rFonts w:ascii="Calibri" w:cs="Calibri" w:eastAsia="Calibri" w:hAnsi="Calibri"/>
          <w:b/>
          <w:bCs/>
          <w:i/>
          <w:iCs/>
          <w:color w:val="000000"/>
          <w:sz w:val="19"/>
          <w:szCs w:val="19"/>
        </w:rPr>
        <w:t xml:space="preserve">Su misión habla de capturar el dato en el origen. En la cámara a menos veintidós grados no hay señal y en la ruta rural tampoco. ¿No es el origen, precisamente, donde no pueden capturar?</w:t>
      </w:r>
    </w:p>
    <w:p>
      <w:pPr>
        <w:pBdr>
          <w:left w:val="single" w:color="1F3864" w:sz="10" w:space="8"/>
        </w:pBdr>
        <w:spacing w:after="60" w:line="268"/>
        <w:ind w:left="460"/>
      </w:pPr>
      <w:r>
        <w:rPr>
          <w:rFonts w:ascii="Calibri" w:cs="Calibri" w:eastAsia="Calibri" w:hAnsi="Calibri"/>
          <w:color w:val="333333"/>
          <w:sz w:val="19"/>
          <w:szCs w:val="19"/>
        </w:rPr>
        <w:t xml:space="preserve">Capturar en el origen no es transmitir en el origen. El dato se captura y se sella localmente en el dispositivo, cifrado y con identificador único, y se transmite cuando hay enlace. Lo que eliminamos es la transcripción posterior, que es donde hoy se pierde la causa del faltante y el número de lote.</w:t>
      </w:r>
    </w:p>
    <w:p>
      <w:pPr>
        <w:keepNext/>
        <w:spacing w:after="30" w:before="130" w:line="268"/>
        <w:ind w:left="460" w:hanging="460"/>
      </w:pPr>
      <w:r>
        <w:rPr>
          <w:rFonts w:ascii="Calibri" w:cs="Calibri" w:eastAsia="Calibri" w:hAnsi="Calibri"/>
          <w:b/>
          <w:bCs/>
          <w:color w:val="1F3864"/>
          <w:sz w:val="15"/>
          <w:szCs w:val="15"/>
        </w:rPr>
        <w:t xml:space="preserve">NORMATIVA  </w:t>
      </w:r>
      <w:r>
        <w:rPr>
          <w:rFonts w:ascii="Calibri" w:cs="Calibri" w:eastAsia="Calibri" w:hAnsi="Calibri"/>
          <w:b/>
          <w:bCs/>
          <w:i/>
          <w:iCs/>
          <w:color w:val="000000"/>
          <w:sz w:val="19"/>
          <w:szCs w:val="19"/>
        </w:rPr>
        <w:t xml:space="preserve">Declaran compromiso ESG y ruteo que reduce emisiones. ¿Comprometen alguna meta medible de reducción, o queda en enunciado?</w:t>
      </w:r>
    </w:p>
    <w:p>
      <w:pPr>
        <w:pBdr>
          <w:left w:val="single" w:color="1F3864" w:sz="10" w:space="8"/>
        </w:pBdr>
        <w:spacing w:after="60" w:line="268"/>
        <w:ind w:left="460"/>
      </w:pPr>
      <w:r>
        <w:rPr>
          <w:rFonts w:ascii="Calibri" w:cs="Calibri" w:eastAsia="Calibri" w:hAnsi="Calibri"/>
          <w:color w:val="333333"/>
          <w:sz w:val="19"/>
          <w:szCs w:val="19"/>
        </w:rPr>
        <w:t xml:space="preserve">En el Informe 1 no comprometemos una meta de emisiones: comprometemos la ocupación de flota, setenta y cinco por ciento o más, y ningún camión bajo el sesenta y cinco sin autorización, que es el resultado R18-14 y el vector que reduce kilómetros. Convertir eso a toneladas de CO₂ requiere un factor de emisión acordado con el CLIENTE; no lo damos por supuesto.</w:t>
      </w:r>
    </w:p>
    <w:p>
      <w:pPr>
        <w:keepNext/>
        <w:spacing w:after="30" w:before="130" w:line="268"/>
        <w:ind w:left="460" w:hanging="460"/>
      </w:pPr>
      <w:r>
        <w:rPr>
          <w:rFonts w:ascii="Calibri" w:cs="Calibri" w:eastAsia="Calibri" w:hAnsi="Calibri"/>
          <w:b/>
          <w:bCs/>
          <w:color w:val="0D47A1"/>
          <w:sz w:val="15"/>
          <w:szCs w:val="15"/>
        </w:rPr>
        <w:t xml:space="preserve">DISEÑO  </w:t>
      </w:r>
      <w:r>
        <w:rPr>
          <w:rFonts w:ascii="Calibri" w:cs="Calibri" w:eastAsia="Calibri" w:hAnsi="Calibri"/>
          <w:b/>
          <w:bCs/>
          <w:i/>
          <w:iCs/>
          <w:color w:val="000000"/>
          <w:sz w:val="19"/>
          <w:szCs w:val="19"/>
        </w:rPr>
        <w:t xml:space="preserve">«Continuidad sin importar la conectividad» es un absoluto. ¿Qué función queda inoperable sin red, y lo declararon?</w:t>
      </w:r>
    </w:p>
    <w:p>
      <w:pPr>
        <w:pBdr>
          <w:left w:val="single" w:color="1F3864" w:sz="10" w:space="8"/>
        </w:pBdr>
        <w:spacing w:after="60" w:line="268"/>
        <w:ind w:left="460"/>
      </w:pPr>
      <w:r>
        <w:rPr>
          <w:rFonts w:ascii="Calibri" w:cs="Calibri" w:eastAsia="Calibri" w:hAnsi="Calibri"/>
          <w:color w:val="333333"/>
          <w:sz w:val="19"/>
          <w:szCs w:val="19"/>
        </w:rPr>
        <w:t xml:space="preserve">Sí, RT-03.13 obliga a declararlo. Sin red no operan: la emisión del documento tributario ante el SII, la autorización de pago con tarjeta, el intercambio EDI con las cadenas y los tableros centralizados. Todas degradan con procedimiento manual declarado y sin pérdida de datos; ninguna pertenece a la ventana crítica de despacho.</w:t>
      </w:r>
    </w:p>
    <w:p>
      <w:pPr>
        <w:pStyle w:val="Heading2"/>
        <w:keepNext/>
        <w:spacing w:after="20" w:before="340"/>
      </w:pPr>
      <w:r>
        <w:rPr>
          <w:rFonts w:ascii="Calibri" w:cs="Calibri" w:eastAsia="Calibri" w:hAnsi="Calibri"/>
          <w:b/>
          <w:bCs/>
          <w:color w:val="1F3864"/>
          <w:sz w:val="24"/>
          <w:szCs w:val="24"/>
        </w:rPr>
        <w:t xml:space="preserve">Diapositiva 4 · Nuestro equipo</w:t>
      </w:r>
    </w:p>
    <w:p>
      <w:pPr>
        <w:keepNext/>
        <w:pBdr>
          <w:bottom w:val="single" w:color="BFBFBF" w:sz="6" w:space="2"/>
        </w:pBdr>
        <w:spacing w:after="60"/>
      </w:pPr>
      <w:r>
        <w:rPr>
          <w:rFonts w:ascii="Calibri" w:cs="Calibri" w:eastAsia="Calibri" w:hAnsi="Calibri"/>
          <w:color w:val="595959"/>
          <w:sz w:val="16"/>
          <w:szCs w:val="16"/>
        </w:rPr>
        <w:t xml:space="preserve">3 preguntas</w:t>
      </w:r>
    </w:p>
    <w:p>
      <w:pPr>
        <w:keepNext/>
        <w:spacing w:after="30" w:before="130" w:line="268"/>
        <w:ind w:left="460" w:hanging="460"/>
      </w:pPr>
      <w:r>
        <w:rPr>
          <w:rFonts w:ascii="Calibri" w:cs="Calibri" w:eastAsia="Calibri" w:hAnsi="Calibri"/>
          <w:b/>
          <w:bCs/>
          <w:color w:val="B00020"/>
          <w:sz w:val="15"/>
          <w:szCs w:val="15"/>
        </w:rPr>
        <w:t xml:space="preserve">CONTRADICCIÓN  </w:t>
      </w:r>
      <w:r>
        <w:rPr>
          <w:rFonts w:ascii="Calibri" w:cs="Calibri" w:eastAsia="Calibri" w:hAnsi="Calibri"/>
          <w:b/>
          <w:bCs/>
          <w:i/>
          <w:iCs/>
          <w:color w:val="000000"/>
          <w:sz w:val="19"/>
          <w:szCs w:val="19"/>
        </w:rPr>
        <w:t xml:space="preserve">La lámina asigna dos arquitectos de soluciones y dos ingenieros de integración, pero el Subdocumento 1 dice responsable único por dominio. ¿Quién manda cuando los dos arquitectos discrepan?</w:t>
      </w:r>
    </w:p>
    <w:p>
      <w:pPr>
        <w:pBdr>
          <w:left w:val="single" w:color="1F3864" w:sz="10" w:space="8"/>
        </w:pBdr>
        <w:spacing w:after="60" w:line="268"/>
        <w:ind w:left="460"/>
      </w:pPr>
      <w:r>
        <w:rPr>
          <w:rFonts w:ascii="Calibri" w:cs="Calibri" w:eastAsia="Calibri" w:hAnsi="Calibri"/>
          <w:color w:val="333333"/>
          <w:sz w:val="19"/>
          <w:szCs w:val="19"/>
        </w:rPr>
        <w:t xml:space="preserve">El responsable único por dominio es nominal: hay un titular y un par de respaldo, y la línea de decisión termina en el Jefe de Proyecto. En la práctica separamos arquitectura lógica de física entre los dos titulares, con el registro de decisiones de arquitectura, los ADR fechados, como mecanismo formal de cierre de discrepancias.</w:t>
      </w:r>
    </w:p>
    <w:p>
      <w:pPr>
        <w:keepNext/>
        <w:spacing w:after="30" w:before="130" w:line="268"/>
        <w:ind w:left="460" w:hanging="460"/>
      </w:pPr>
      <w:r>
        <w:rPr>
          <w:rFonts w:ascii="Calibri" w:cs="Calibri" w:eastAsia="Calibri" w:hAnsi="Calibri"/>
          <w:b/>
          <w:bCs/>
          <w:color w:val="BF6000"/>
          <w:sz w:val="15"/>
          <w:szCs w:val="15"/>
        </w:rPr>
        <w:t xml:space="preserve">ALCANCE  </w:t>
      </w:r>
      <w:r>
        <w:rPr>
          <w:rFonts w:ascii="Calibri" w:cs="Calibri" w:eastAsia="Calibri" w:hAnsi="Calibri"/>
          <w:b/>
          <w:bCs/>
          <w:i/>
          <w:iCs/>
          <w:color w:val="000000"/>
          <w:sz w:val="19"/>
          <w:szCs w:val="19"/>
        </w:rPr>
        <w:t xml:space="preserve">El caso exige un Encargado de Seguridad de la Información y un Líder de Implantación y Gestión del Cambio. No los veo nominados con ese título. ¿Existen?</w:t>
      </w:r>
    </w:p>
    <w:p>
      <w:pPr>
        <w:pBdr>
          <w:left w:val="single" w:color="1F3864" w:sz="10" w:space="8"/>
        </w:pBdr>
        <w:spacing w:after="60" w:line="268"/>
        <w:ind w:left="460"/>
      </w:pPr>
      <w:r>
        <w:rPr>
          <w:rFonts w:ascii="Calibri" w:cs="Calibri" w:eastAsia="Calibri" w:hAnsi="Calibri"/>
          <w:color w:val="333333"/>
          <w:sz w:val="19"/>
          <w:szCs w:val="19"/>
        </w:rPr>
        <w:t xml:space="preserve">Existen y están cubiertos: seguridad de la información recae en Patricio Henríquez junto con calidad e infraestructura, y la implantación y gestión del cambio se conduce desde la jefatura de proyecto con el líder de implantación declarado en la estructura del Subdocumento 1. La nomenclatura de la lámina es funcional, no contractual.</w:t>
      </w:r>
    </w:p>
    <w:p>
      <w:pPr>
        <w:keepNext/>
        <w:spacing w:after="30" w:before="130" w:line="268"/>
        <w:ind w:left="460" w:hanging="460"/>
      </w:pPr>
      <w:r>
        <w:rPr>
          <w:rFonts w:ascii="Calibri" w:cs="Calibri" w:eastAsia="Calibri" w:hAnsi="Calibri"/>
          <w:b/>
          <w:bCs/>
          <w:color w:val="00695C"/>
          <w:sz w:val="15"/>
          <w:szCs w:val="15"/>
        </w:rPr>
        <w:t xml:space="preserve">CIFRA  </w:t>
      </w:r>
      <w:r>
        <w:rPr>
          <w:rFonts w:ascii="Calibri" w:cs="Calibri" w:eastAsia="Calibri" w:hAnsi="Calibri"/>
          <w:b/>
          <w:bCs/>
          <w:i/>
          <w:iCs/>
          <w:color w:val="000000"/>
          <w:sz w:val="19"/>
          <w:szCs w:val="19"/>
        </w:rPr>
        <w:t xml:space="preserve">Ocho personas para doce módulos, seis sitios y cincuenta y seis meses. ¿Cuántas horas-persona estimaron y con qué técnica?</w:t>
      </w:r>
    </w:p>
    <w:p>
      <w:pPr>
        <w:pBdr>
          <w:left w:val="single" w:color="1F3864" w:sz="10" w:space="8"/>
        </w:pBdr>
        <w:spacing w:after="60" w:line="268"/>
        <w:ind w:left="460"/>
      </w:pPr>
      <w:r>
        <w:rPr>
          <w:rFonts w:ascii="Calibri" w:cs="Calibri" w:eastAsia="Calibri" w:hAnsi="Calibri"/>
          <w:color w:val="333333"/>
          <w:sz w:val="19"/>
          <w:szCs w:val="19"/>
        </w:rPr>
        <w:t xml:space="preserve">La estimación de esfuerzo y su desglose por rol es el Formulario T-15 y forma parte del plan de trabajo del Informe 2. En el Informe 1 no hay una cifra de horas-persona, y prefiero decir eso a improvisarla aquí.</w:t>
      </w:r>
    </w:p>
    <w:p>
      <w:pPr>
        <w:pStyle w:val="Heading2"/>
        <w:keepNext/>
        <w:spacing w:after="20" w:before="340"/>
      </w:pPr>
      <w:r>
        <w:rPr>
          <w:rFonts w:ascii="Calibri" w:cs="Calibri" w:eastAsia="Calibri" w:hAnsi="Calibri"/>
          <w:b/>
          <w:bCs/>
          <w:color w:val="1F3864"/>
          <w:sz w:val="24"/>
          <w:szCs w:val="24"/>
        </w:rPr>
        <w:t xml:space="preserve">Diapositiva 5 · Armado de rutas</w:t>
      </w:r>
    </w:p>
    <w:p>
      <w:pPr>
        <w:keepNext/>
        <w:pBdr>
          <w:bottom w:val="single" w:color="BFBFBF" w:sz="6" w:space="2"/>
        </w:pBdr>
        <w:spacing w:after="60"/>
      </w:pPr>
      <w:r>
        <w:rPr>
          <w:rFonts w:ascii="Calibri" w:cs="Calibri" w:eastAsia="Calibri" w:hAnsi="Calibri"/>
          <w:color w:val="595959"/>
          <w:sz w:val="16"/>
          <w:szCs w:val="16"/>
        </w:rPr>
        <w:t xml:space="preserve">4 preguntas</w:t>
      </w:r>
    </w:p>
    <w:p>
      <w:pPr>
        <w:keepNext/>
        <w:spacing w:after="30" w:before="130" w:line="268"/>
        <w:ind w:left="460" w:hanging="460"/>
      </w:pPr>
      <w:r>
        <w:rPr>
          <w:rFonts w:ascii="Calibri" w:cs="Calibri" w:eastAsia="Calibri" w:hAnsi="Calibri"/>
          <w:b/>
          <w:bCs/>
          <w:color w:val="9C27B0"/>
          <w:sz w:val="15"/>
          <w:szCs w:val="15"/>
        </w:rPr>
        <w:t xml:space="preserve">TRAMPA  </w:t>
      </w:r>
      <w:r>
        <w:rPr>
          <w:rFonts w:ascii="Calibri" w:cs="Calibri" w:eastAsia="Calibri" w:hAnsi="Calibri"/>
          <w:b/>
          <w:bCs/>
          <w:i/>
          <w:iCs/>
          <w:color w:val="000000"/>
          <w:sz w:val="19"/>
          <w:szCs w:val="19"/>
        </w:rPr>
        <w:t xml:space="preserve">Si el conocimiento de rutas está en la cabeza del planificador y él se jubila en dos años, el mes dieciséis ya es tarde para varias campañas. ¿Qué pasa si se va antes de la producción?</w:t>
      </w:r>
    </w:p>
    <w:p>
      <w:pPr>
        <w:pBdr>
          <w:left w:val="single" w:color="1F3864" w:sz="10" w:space="8"/>
        </w:pBdr>
        <w:spacing w:after="60" w:line="268"/>
        <w:ind w:left="460"/>
      </w:pPr>
      <w:r>
        <w:rPr>
          <w:rFonts w:ascii="Calibri" w:cs="Calibri" w:eastAsia="Calibri" w:hAnsi="Calibri"/>
          <w:color w:val="333333"/>
          <w:sz w:val="19"/>
          <w:szCs w:val="19"/>
        </w:rPr>
        <w:t xml:space="preserve">Por eso la captura ocurre durante la Etapa 1, entre los meses uno y quince, no en la producción: es el resultado R18-16, cuya evidencia son las sesiones de transferencia y la parametrización validada del motor. La bitácora de sus correcciones empieza en la marcha blanca. Si se fuera antes, lo capturado ya está parametrizado; lo que se perdería es el afinamiento.</w:t>
      </w:r>
    </w:p>
    <w:p>
      <w:pPr>
        <w:keepNext/>
        <w:spacing w:after="30" w:before="130" w:line="268"/>
        <w:ind w:left="460" w:hanging="460"/>
      </w:pPr>
      <w:r>
        <w:rPr>
          <w:rFonts w:ascii="Calibri" w:cs="Calibri" w:eastAsia="Calibri" w:hAnsi="Calibri"/>
          <w:b/>
          <w:bCs/>
          <w:color w:val="0D47A1"/>
          <w:sz w:val="15"/>
          <w:szCs w:val="15"/>
        </w:rPr>
        <w:t xml:space="preserve">DISEÑO  </w:t>
      </w:r>
      <w:r>
        <w:rPr>
          <w:rFonts w:ascii="Calibri" w:cs="Calibri" w:eastAsia="Calibri" w:hAnsi="Calibri"/>
          <w:b/>
          <w:bCs/>
          <w:i/>
          <w:iCs/>
          <w:color w:val="000000"/>
          <w:sz w:val="19"/>
          <w:szCs w:val="19"/>
        </w:rPr>
        <w:t xml:space="preserve">Su motor optimiza con capacidades y ventanas. El planificador decide por restricciones que no están en ningún dato: un puente, un camino en mal estado. ¿De dónde saldrán esos atributos?</w:t>
      </w:r>
    </w:p>
    <w:p>
      <w:pPr>
        <w:pBdr>
          <w:left w:val="single" w:color="1F3864" w:sz="10" w:space="8"/>
        </w:pBdr>
        <w:spacing w:after="60" w:line="268"/>
        <w:ind w:left="460"/>
      </w:pPr>
      <w:r>
        <w:rPr>
          <w:rFonts w:ascii="Calibri" w:cs="Calibri" w:eastAsia="Calibri" w:hAnsi="Calibri"/>
          <w:color w:val="333333"/>
          <w:sz w:val="19"/>
          <w:szCs w:val="19"/>
        </w:rPr>
        <w:t xml:space="preserve">De dos fuentes: la elicitación con él en la Etapa 1, que carga esas restricciones como atributos de arco y de cliente en la capa georreferenciada con PostGIS, y la bitácora de correcciones, que expone la restricción que no se levantó. El motor propone y él corrige; la corrección es dato, no excepción.</w:t>
      </w:r>
    </w:p>
    <w:p>
      <w:pPr>
        <w:keepNext/>
        <w:spacing w:after="30" w:before="130" w:line="268"/>
        <w:ind w:left="460" w:hanging="460"/>
      </w:pPr>
      <w:r>
        <w:rPr>
          <w:rFonts w:ascii="Calibri" w:cs="Calibri" w:eastAsia="Calibri" w:hAnsi="Calibri"/>
          <w:b/>
          <w:bCs/>
          <w:color w:val="00695C"/>
          <w:sz w:val="15"/>
          <w:szCs w:val="15"/>
        </w:rPr>
        <w:t xml:space="preserve">CIFRA  </w:t>
      </w:r>
      <w:r>
        <w:rPr>
          <w:rFonts w:ascii="Calibri" w:cs="Calibri" w:eastAsia="Calibri" w:hAnsi="Calibri"/>
          <w:b/>
          <w:bCs/>
          <w:i/>
          <w:iCs/>
          <w:color w:val="000000"/>
          <w:sz w:val="19"/>
          <w:szCs w:val="19"/>
        </w:rPr>
        <w:t xml:space="preserve">Mil cuatrocientas entregas entre noventa y seis camiones son catorce por camión. En el peak son dos mil seiscientas, veintisiete por camión, con la misma flota. ¿El motor resuelve eso o hace falta más flota?</w:t>
      </w:r>
    </w:p>
    <w:p>
      <w:pPr>
        <w:pBdr>
          <w:left w:val="single" w:color="1F3864" w:sz="10" w:space="8"/>
        </w:pBdr>
        <w:spacing w:after="60" w:line="268"/>
        <w:ind w:left="460"/>
      </w:pPr>
      <w:r>
        <w:rPr>
          <w:rFonts w:ascii="Calibri" w:cs="Calibri" w:eastAsia="Calibri" w:hAnsi="Calibri"/>
          <w:color w:val="333333"/>
          <w:sz w:val="19"/>
          <w:szCs w:val="19"/>
        </w:rPr>
        <w:t xml:space="preserve">El motor resuelve la asignación; la capacidad física es decisión del CLIENTE. Lo que la solución aporta es visibilidad: hoy la ocupación media es sesenta y ocho por ciento, con días al cuarenta y uno. Subirla a setenta y cinco absorbe parte del peak sin flota adicional. Cuánta flota falta es una conclusión que se podrá calcular recién cuando el costo por entrega exista.</w:t>
      </w:r>
    </w:p>
    <w:p>
      <w:pPr>
        <w:keepNext/>
        <w:spacing w:after="30" w:before="130" w:line="268"/>
        <w:ind w:left="460" w:hanging="460"/>
      </w:pPr>
      <w:r>
        <w:rPr>
          <w:rFonts w:ascii="Calibri" w:cs="Calibri" w:eastAsia="Calibri" w:hAnsi="Calibri"/>
          <w:b/>
          <w:bCs/>
          <w:color w:val="C62828"/>
          <w:sz w:val="15"/>
          <w:szCs w:val="15"/>
        </w:rPr>
        <w:t xml:space="preserve">HUECO  </w:t>
      </w:r>
      <w:r>
        <w:rPr>
          <w:rFonts w:ascii="Calibri" w:cs="Calibri" w:eastAsia="Calibri" w:hAnsi="Calibri"/>
          <w:b/>
          <w:bCs/>
          <w:i/>
          <w:iCs/>
          <w:color w:val="000000"/>
          <w:sz w:val="19"/>
          <w:szCs w:val="19"/>
        </w:rPr>
        <w:t xml:space="preserve">La ruta automática debe generarse en menos de veinte minutos. ¿Con qué algoritmo, y lo probaron con dos mil seiscientas entregas?</w:t>
      </w:r>
    </w:p>
    <w:p>
      <w:pPr>
        <w:pBdr>
          <w:left w:val="single" w:color="1F3864" w:sz="10" w:space="8"/>
        </w:pBdr>
        <w:spacing w:after="60" w:line="268"/>
        <w:ind w:left="460"/>
      </w:pPr>
      <w:r>
        <w:rPr>
          <w:rFonts w:ascii="Calibri" w:cs="Calibri" w:eastAsia="Calibri" w:hAnsi="Calibri"/>
          <w:color w:val="333333"/>
          <w:sz w:val="19"/>
          <w:szCs w:val="19"/>
        </w:rPr>
        <w:t xml:space="preserve">Ruteo con capacidad y ventanas de tiempo resuelto por heurística, con el detalle en el catálogo funcional. La verificación a escala de peak es parte de las pruebas de carga a una coma cinco veces el volumen declarado, y ocurre en la marcha blanca; en el Informe 1 no afirmamos haberla ejecutado.</w:t>
      </w:r>
    </w:p>
    <w:p>
      <w:pPr>
        <w:pStyle w:val="Heading2"/>
        <w:keepNext/>
        <w:spacing w:after="20" w:before="340"/>
      </w:pPr>
      <w:r>
        <w:rPr>
          <w:rFonts w:ascii="Calibri" w:cs="Calibri" w:eastAsia="Calibri" w:hAnsi="Calibri"/>
          <w:b/>
          <w:bCs/>
          <w:color w:val="1F3864"/>
          <w:sz w:val="24"/>
          <w:szCs w:val="24"/>
        </w:rPr>
        <w:t xml:space="preserve">Diapositiva 6 · Preparación de pedidos</w:t>
      </w:r>
    </w:p>
    <w:p>
      <w:pPr>
        <w:keepNext/>
        <w:pBdr>
          <w:bottom w:val="single" w:color="BFBFBF" w:sz="6" w:space="2"/>
        </w:pBdr>
        <w:spacing w:after="60"/>
      </w:pPr>
      <w:r>
        <w:rPr>
          <w:rFonts w:ascii="Calibri" w:cs="Calibri" w:eastAsia="Calibri" w:hAnsi="Calibri"/>
          <w:color w:val="595959"/>
          <w:sz w:val="16"/>
          <w:szCs w:val="16"/>
        </w:rPr>
        <w:t xml:space="preserve">4 preguntas</w:t>
      </w:r>
    </w:p>
    <w:p>
      <w:pPr>
        <w:keepNext/>
        <w:spacing w:after="30" w:before="130" w:line="268"/>
        <w:ind w:left="460" w:hanging="460"/>
      </w:pPr>
      <w:r>
        <w:rPr>
          <w:rFonts w:ascii="Calibri" w:cs="Calibri" w:eastAsia="Calibri" w:hAnsi="Calibri"/>
          <w:b/>
          <w:bCs/>
          <w:color w:val="C62828"/>
          <w:sz w:val="15"/>
          <w:szCs w:val="15"/>
        </w:rPr>
        <w:t xml:space="preserve">HUECO  </w:t>
      </w:r>
      <w:r>
        <w:rPr>
          <w:rFonts w:ascii="Calibri" w:cs="Calibri" w:eastAsia="Calibri" w:hAnsi="Calibri"/>
          <w:b/>
          <w:bCs/>
          <w:i/>
          <w:iCs/>
          <w:color w:val="000000"/>
          <w:sz w:val="19"/>
          <w:szCs w:val="19"/>
        </w:rPr>
        <w:t xml:space="preserve">Nombran terminales Zebra EC55, TC58e y MC9400. Ninguno de esos tres está certificado para operación continua a menos veintidós grados. ¿Cuál usan en la cámara?</w:t>
      </w:r>
    </w:p>
    <w:p>
      <w:pPr>
        <w:pBdr>
          <w:left w:val="single" w:color="1F3864" w:sz="10" w:space="8"/>
        </w:pBdr>
        <w:spacing w:after="60" w:line="268"/>
        <w:ind w:left="460"/>
      </w:pPr>
      <w:r>
        <w:rPr>
          <w:rFonts w:ascii="Calibri" w:cs="Calibri" w:eastAsia="Calibri" w:hAnsi="Calibri"/>
          <w:color w:val="333333"/>
          <w:sz w:val="19"/>
          <w:szCs w:val="19"/>
        </w:rPr>
        <w:t xml:space="preserve">Tiene razón en que la certificación específica es el punto abierto, y por eso está declarada como investigación adicional de la innovación dos. Lo que sí comprometemos es el requisito: terminal operable con guantes térmicos en el rango de congelado, con confirmación de línea en un segundo o menos. El modelo se cierra con el estudio de mercado y su certificación antes del inventario del Formulario T-11.</w:t>
      </w:r>
    </w:p>
    <w:p>
      <w:pPr>
        <w:keepNext/>
        <w:spacing w:after="30" w:before="130" w:line="268"/>
        <w:ind w:left="460" w:hanging="460"/>
      </w:pPr>
      <w:r>
        <w:rPr>
          <w:rFonts w:ascii="Calibri" w:cs="Calibri" w:eastAsia="Calibri" w:hAnsi="Calibri"/>
          <w:b/>
          <w:bCs/>
          <w:color w:val="0D47A1"/>
          <w:sz w:val="15"/>
          <w:szCs w:val="15"/>
        </w:rPr>
        <w:t xml:space="preserve">DISEÑO  </w:t>
      </w:r>
      <w:r>
        <w:rPr>
          <w:rFonts w:ascii="Calibri" w:cs="Calibri" w:eastAsia="Calibri" w:hAnsi="Calibri"/>
          <w:b/>
          <w:bCs/>
          <w:i/>
          <w:iCs/>
          <w:color w:val="000000"/>
          <w:sz w:val="19"/>
          <w:szCs w:val="19"/>
        </w:rPr>
        <w:t xml:space="preserve">Si la misión de picking se precarga al inicio del turno y no hay señal en cámara, ¿qué pasa cuando un pedido se modifica a las dos de la mañana?</w:t>
      </w:r>
    </w:p>
    <w:p>
      <w:pPr>
        <w:pBdr>
          <w:left w:val="single" w:color="1F3864" w:sz="10" w:space="8"/>
        </w:pBdr>
        <w:spacing w:after="60" w:line="268"/>
        <w:ind w:left="460"/>
      </w:pPr>
      <w:r>
        <w:rPr>
          <w:rFonts w:ascii="Calibri" w:cs="Calibri" w:eastAsia="Calibri" w:hAnsi="Calibri"/>
          <w:color w:val="333333"/>
          <w:sz w:val="19"/>
          <w:szCs w:val="19"/>
        </w:rPr>
        <w:t xml:space="preserve">No se modifica dentro de la ola en curso. La ola es la unidad de compromiso: un cambio posterior entra en la ola siguiente o se gestiona como excepción en el andén. Es una restricción de diseño consciente, porque la alternativa —sincronizar dentro de la cámara— no existe físicamente.</w:t>
      </w:r>
    </w:p>
    <w:p>
      <w:pPr>
        <w:keepNext/>
        <w:spacing w:after="30" w:before="130" w:line="268"/>
        <w:ind w:left="460" w:hanging="460"/>
      </w:pPr>
      <w:r>
        <w:rPr>
          <w:rFonts w:ascii="Calibri" w:cs="Calibri" w:eastAsia="Calibri" w:hAnsi="Calibri"/>
          <w:b/>
          <w:bCs/>
          <w:color w:val="00695C"/>
          <w:sz w:val="15"/>
          <w:szCs w:val="15"/>
        </w:rPr>
        <w:t xml:space="preserve">CIFRA  </w:t>
      </w:r>
      <w:r>
        <w:rPr>
          <w:rFonts w:ascii="Calibri" w:cs="Calibri" w:eastAsia="Calibri" w:hAnsi="Calibri"/>
          <w:b/>
          <w:bCs/>
          <w:i/>
          <w:iCs/>
          <w:color w:val="000000"/>
          <w:sz w:val="19"/>
          <w:szCs w:val="19"/>
        </w:rPr>
        <w:t xml:space="preserve">Ciento veinte preparadores con treinta y ocho por ciento de rotación anual y turnos de treinta minutos en cámara. ¿Cuántos terminales compraron, y cómo se comparten sin romper la trazabilidad del operador?</w:t>
      </w:r>
    </w:p>
    <w:p>
      <w:pPr>
        <w:pBdr>
          <w:left w:val="single" w:color="1F3864" w:sz="10" w:space="8"/>
        </w:pBdr>
        <w:spacing w:after="60" w:line="268"/>
        <w:ind w:left="460"/>
      </w:pPr>
      <w:r>
        <w:rPr>
          <w:rFonts w:ascii="Calibri" w:cs="Calibri" w:eastAsia="Calibri" w:hAnsi="Calibri"/>
          <w:color w:val="333333"/>
          <w:sz w:val="19"/>
          <w:szCs w:val="19"/>
        </w:rPr>
        <w:t xml:space="preserve">Los terminales de bodega son compartidos entre turnos: el operador autentica al inicio con PIN o biometría del dispositivo y descarga un token de vida acotada al turno, de modo que cada evento queda atribuido a la persona aunque el equipo sea compartido. La cantidad exacta está en el inventario del Formulario T-11, que acompaña a la propuesta final.</w:t>
      </w:r>
    </w:p>
    <w:p>
      <w:pPr>
        <w:keepNext/>
        <w:spacing w:after="30" w:before="130" w:line="268"/>
        <w:ind w:left="460" w:hanging="460"/>
      </w:pPr>
      <w:r>
        <w:rPr>
          <w:rFonts w:ascii="Calibri" w:cs="Calibri" w:eastAsia="Calibri" w:hAnsi="Calibri"/>
          <w:b/>
          <w:bCs/>
          <w:color w:val="9C27B0"/>
          <w:sz w:val="15"/>
          <w:szCs w:val="15"/>
        </w:rPr>
        <w:t xml:space="preserve">TRAMPA  </w:t>
      </w:r>
      <w:r>
        <w:rPr>
          <w:rFonts w:ascii="Calibri" w:cs="Calibri" w:eastAsia="Calibri" w:hAnsi="Calibri"/>
          <w:b/>
          <w:bCs/>
          <w:i/>
          <w:iCs/>
          <w:color w:val="000000"/>
          <w:sz w:val="19"/>
          <w:szCs w:val="19"/>
        </w:rPr>
        <w:t xml:space="preserve">Dicen «motivo obligatorio de faltante». Un preparador con guantes, a menos veintidós grados y en un turno de treinta minutos, va a elegir siempre la primera opción de la lista. ¿Cómo evitan que el dato sea basura?</w:t>
      </w:r>
    </w:p>
    <w:p>
      <w:pPr>
        <w:pBdr>
          <w:left w:val="single" w:color="1F3864" w:sz="10" w:space="8"/>
        </w:pBdr>
        <w:spacing w:after="60" w:line="268"/>
        <w:ind w:left="460"/>
      </w:pPr>
      <w:r>
        <w:rPr>
          <w:rFonts w:ascii="Calibri" w:cs="Calibri" w:eastAsia="Calibri" w:hAnsi="Calibri"/>
          <w:color w:val="333333"/>
          <w:sz w:val="19"/>
          <w:szCs w:val="19"/>
        </w:rPr>
        <w:t xml:space="preserve">Es una objeción legítima y la tratamos como riesgo de calidad del dato. Tres mitigaciones: lista corta de causales cerradas y ordenadas por frecuencia real, no alfabética; contraste automático de la causal contra el stock teórico del sistema, que detecta la causal inconsistente; y tablero de calidad de datos con la distribución de causales por operador y por turno. Si una causal explica el noventa por ciento, es alerta.</w:t>
      </w:r>
    </w:p>
    <w:p>
      <w:pPr>
        <w:pStyle w:val="Heading2"/>
        <w:keepNext/>
        <w:spacing w:after="20" w:before="340"/>
      </w:pPr>
      <w:r>
        <w:rPr>
          <w:rFonts w:ascii="Calibri" w:cs="Calibri" w:eastAsia="Calibri" w:hAnsi="Calibri"/>
          <w:b/>
          <w:bCs/>
          <w:color w:val="1F3864"/>
          <w:sz w:val="24"/>
          <w:szCs w:val="24"/>
        </w:rPr>
        <w:t xml:space="preserve">Diapositiva 7 · Carga y salida</w:t>
      </w:r>
    </w:p>
    <w:p>
      <w:pPr>
        <w:keepNext/>
        <w:pBdr>
          <w:bottom w:val="single" w:color="BFBFBF" w:sz="6" w:space="2"/>
        </w:pBdr>
        <w:spacing w:after="60"/>
      </w:pPr>
      <w:r>
        <w:rPr>
          <w:rFonts w:ascii="Calibri" w:cs="Calibri" w:eastAsia="Calibri" w:hAnsi="Calibri"/>
          <w:color w:val="595959"/>
          <w:sz w:val="16"/>
          <w:szCs w:val="16"/>
        </w:rPr>
        <w:t xml:space="preserve">3 preguntas</w:t>
      </w:r>
    </w:p>
    <w:p>
      <w:pPr>
        <w:keepNext/>
        <w:spacing w:after="30" w:before="130" w:line="268"/>
        <w:ind w:left="460" w:hanging="460"/>
      </w:pPr>
      <w:r>
        <w:rPr>
          <w:rFonts w:ascii="Calibri" w:cs="Calibri" w:eastAsia="Calibri" w:hAnsi="Calibri"/>
          <w:b/>
          <w:bCs/>
          <w:color w:val="B00020"/>
          <w:sz w:val="15"/>
          <w:szCs w:val="15"/>
        </w:rPr>
        <w:t xml:space="preserve">CONTRADICCIÓN  </w:t>
      </w:r>
      <w:r>
        <w:rPr>
          <w:rFonts w:ascii="Calibri" w:cs="Calibri" w:eastAsia="Calibri" w:hAnsi="Calibri"/>
          <w:b/>
          <w:bCs/>
          <w:i/>
          <w:iCs/>
          <w:color w:val="000000"/>
          <w:sz w:val="19"/>
          <w:szCs w:val="19"/>
        </w:rPr>
        <w:t xml:space="preserve">Comprometen indisponibilidad cero en la ventana de cinco y media a siete, pero el nivel de servicio es noventa y nueve coma nueve por ciento mensual, que son cuarenta y tres minutos de presupuesto de error. ¿Qué pasa si esos cuarenta y tres minutos caen dentro de la ventana?</w:t>
      </w:r>
    </w:p>
    <w:p>
      <w:pPr>
        <w:pBdr>
          <w:left w:val="single" w:color="1F3864" w:sz="10" w:space="8"/>
        </w:pBdr>
        <w:spacing w:after="60" w:line="268"/>
        <w:ind w:left="460"/>
      </w:pPr>
      <w:r>
        <w:rPr>
          <w:rFonts w:ascii="Calibri" w:cs="Calibri" w:eastAsia="Calibri" w:hAnsi="Calibri"/>
          <w:color w:val="333333"/>
          <w:sz w:val="19"/>
          <w:szCs w:val="19"/>
        </w:rPr>
        <w:t xml:space="preserve">Son dos compromisos de distinta naturaleza y conviven. El noventa y nueve coma nueve es el nivel de servicio de la transacción de negocio de extremo a extremo, medido mensualmente. La indisponibilidad cero en la ventana no se sostiene con presupuesto de error, sino con independencia: durante esos noventa minutos ninguna decisión depende del enlace, de la nube ni de un tercero, porque todo lo necesario está local y precargado. El presupuesto de error se consume fuera de la ventana.</w:t>
      </w:r>
    </w:p>
    <w:p>
      <w:pPr>
        <w:keepNext/>
        <w:spacing w:after="30" w:before="130" w:line="268"/>
        <w:ind w:left="460" w:hanging="460"/>
      </w:pPr>
      <w:r>
        <w:rPr>
          <w:rFonts w:ascii="Calibri" w:cs="Calibri" w:eastAsia="Calibri" w:hAnsi="Calibri"/>
          <w:b/>
          <w:bCs/>
          <w:color w:val="0D47A1"/>
          <w:sz w:val="15"/>
          <w:szCs w:val="15"/>
        </w:rPr>
        <w:t xml:space="preserve">DISEÑO  </w:t>
      </w:r>
      <w:r>
        <w:rPr>
          <w:rFonts w:ascii="Calibri" w:cs="Calibri" w:eastAsia="Calibri" w:hAnsi="Calibri"/>
          <w:b/>
          <w:bCs/>
          <w:i/>
          <w:iCs/>
          <w:color w:val="000000"/>
          <w:sz w:val="19"/>
          <w:szCs w:val="19"/>
        </w:rPr>
        <w:t xml:space="preserve">La carga dirigida inversa a la ruta supone que la ruta no cambia entre la noche y las cinco y media. ¿Y si un camión no arranca?</w:t>
      </w:r>
    </w:p>
    <w:p>
      <w:pPr>
        <w:pBdr>
          <w:left w:val="single" w:color="1F3864" w:sz="10" w:space="8"/>
        </w:pBdr>
        <w:spacing w:after="60" w:line="268"/>
        <w:ind w:left="460"/>
      </w:pPr>
      <w:r>
        <w:rPr>
          <w:rFonts w:ascii="Calibri" w:cs="Calibri" w:eastAsia="Calibri" w:hAnsi="Calibri"/>
          <w:color w:val="333333"/>
          <w:sz w:val="19"/>
          <w:szCs w:val="19"/>
        </w:rPr>
        <w:t xml:space="preserve">La secuencia de carga queda comprometida con la ruta del día; una baja de vehículo a esa hora es reasignación manual con recálculo, y el sistema recalcula la hora estimada de llegada de los clientes afectados. Lo que cambia respecto de hoy es que la reasignación no depende de que alguien recuerde el orden.</w:t>
      </w:r>
    </w:p>
    <w:p>
      <w:pPr>
        <w:keepNext/>
        <w:spacing w:after="30" w:before="130" w:line="268"/>
        <w:ind w:left="460" w:hanging="460"/>
      </w:pPr>
      <w:r>
        <w:rPr>
          <w:rFonts w:ascii="Calibri" w:cs="Calibri" w:eastAsia="Calibri" w:hAnsi="Calibri"/>
          <w:b/>
          <w:bCs/>
          <w:color w:val="1F3864"/>
          <w:sz w:val="15"/>
          <w:szCs w:val="15"/>
        </w:rPr>
        <w:t xml:space="preserve">NORMATIVA  </w:t>
      </w:r>
      <w:r>
        <w:rPr>
          <w:rFonts w:ascii="Calibri" w:cs="Calibri" w:eastAsia="Calibri" w:hAnsi="Calibri"/>
          <w:b/>
          <w:bCs/>
          <w:i/>
          <w:iCs/>
          <w:color w:val="000000"/>
          <w:sz w:val="19"/>
          <w:szCs w:val="19"/>
        </w:rPr>
        <w:t xml:space="preserve">¿La ventana crítica es de lunes a sábado o incluye domingos y festivos? ¿Y los congelamientos de cambios que fija el caso?</w:t>
      </w:r>
    </w:p>
    <w:p>
      <w:pPr>
        <w:pBdr>
          <w:left w:val="single" w:color="1F3864" w:sz="10" w:space="8"/>
        </w:pBdr>
        <w:spacing w:after="60" w:line="268"/>
        <w:ind w:left="460"/>
      </w:pPr>
      <w:r>
        <w:rPr>
          <w:rFonts w:ascii="Calibri" w:cs="Calibri" w:eastAsia="Calibri" w:hAnsi="Calibri"/>
          <w:color w:val="333333"/>
          <w:sz w:val="19"/>
          <w:szCs w:val="19"/>
        </w:rPr>
        <w:t xml:space="preserve">La ventana es de lunes a sábado. Los períodos de congelamiento declarados son del primero al veinticinco de septiembre, todo diciembre y los tres primeros días hábiles de cada mes: en esos períodos no se despliega a producción, y eso condiciona el calendario de las olas de implantación.</w:t>
      </w:r>
    </w:p>
    <w:p>
      <w:pPr>
        <w:pStyle w:val="Heading2"/>
        <w:keepNext/>
        <w:spacing w:after="20" w:before="340"/>
      </w:pPr>
      <w:r>
        <w:rPr>
          <w:rFonts w:ascii="Calibri" w:cs="Calibri" w:eastAsia="Calibri" w:hAnsi="Calibri"/>
          <w:b/>
          <w:bCs/>
          <w:color w:val="1F3864"/>
          <w:sz w:val="24"/>
          <w:szCs w:val="24"/>
        </w:rPr>
        <w:t xml:space="preserve">Diapositiva 8 · Reparto en la calle</w:t>
      </w:r>
    </w:p>
    <w:p>
      <w:pPr>
        <w:keepNext/>
        <w:pBdr>
          <w:bottom w:val="single" w:color="BFBFBF" w:sz="6" w:space="2"/>
        </w:pBdr>
        <w:spacing w:after="60"/>
      </w:pPr>
      <w:r>
        <w:rPr>
          <w:rFonts w:ascii="Calibri" w:cs="Calibri" w:eastAsia="Calibri" w:hAnsi="Calibri"/>
          <w:color w:val="595959"/>
          <w:sz w:val="16"/>
          <w:szCs w:val="16"/>
        </w:rPr>
        <w:t xml:space="preserve">4 preguntas</w:t>
      </w:r>
    </w:p>
    <w:p>
      <w:pPr>
        <w:keepNext/>
        <w:spacing w:after="30" w:before="130" w:line="268"/>
        <w:ind w:left="460" w:hanging="460"/>
      </w:pPr>
      <w:r>
        <w:rPr>
          <w:rFonts w:ascii="Calibri" w:cs="Calibri" w:eastAsia="Calibri" w:hAnsi="Calibri"/>
          <w:b/>
          <w:bCs/>
          <w:color w:val="1F3864"/>
          <w:sz w:val="15"/>
          <w:szCs w:val="15"/>
        </w:rPr>
        <w:t xml:space="preserve">NORMATIVA  </w:t>
      </w:r>
      <w:r>
        <w:rPr>
          <w:rFonts w:ascii="Calibri" w:cs="Calibri" w:eastAsia="Calibri" w:hAnsi="Calibri"/>
          <w:b/>
          <w:bCs/>
          <w:i/>
          <w:iCs/>
          <w:color w:val="000000"/>
          <w:sz w:val="19"/>
          <w:szCs w:val="19"/>
        </w:rPr>
        <w:t xml:space="preserve">La prueba de entrega con fotografía y nombre del receptor, ¿tiene el mismo valor probatorio que la firma? El acuse de recibo es lo que da mérito ejecutivo a la factura.</w:t>
      </w:r>
    </w:p>
    <w:p>
      <w:pPr>
        <w:pBdr>
          <w:left w:val="single" w:color="1F3864" w:sz="10" w:space="8"/>
        </w:pBdr>
        <w:spacing w:after="60" w:line="268"/>
        <w:ind w:left="460"/>
      </w:pPr>
      <w:r>
        <w:rPr>
          <w:rFonts w:ascii="Calibri" w:cs="Calibri" w:eastAsia="Calibri" w:hAnsi="Calibri"/>
          <w:color w:val="333333"/>
          <w:sz w:val="19"/>
          <w:szCs w:val="19"/>
        </w:rPr>
        <w:t xml:space="preserve">No tienen el mismo valor y no los equiparamos. La firma se aplica conforme a la Ley 19.799, con verificación de validez del certificado al momento de firmar, sello de tiempo y evidencia verificable después del vencimiento. La fotografía con nombre del receptor es evidencia alternativa para el caso declarado en la decisión 16.1 número quince: receptor que no es el titular, que no sabe firmar en pantalla o que se niega. El mérito ejecutivo depende del acuse de recibo de la guía electrónica, que la solución no altera.</w:t>
      </w:r>
    </w:p>
    <w:p>
      <w:pPr>
        <w:keepNext/>
        <w:spacing w:after="30" w:before="130" w:line="268"/>
        <w:ind w:left="460" w:hanging="460"/>
      </w:pPr>
      <w:r>
        <w:rPr>
          <w:rFonts w:ascii="Calibri" w:cs="Calibri" w:eastAsia="Calibri" w:hAnsi="Calibri"/>
          <w:b/>
          <w:bCs/>
          <w:color w:val="0D47A1"/>
          <w:sz w:val="15"/>
          <w:szCs w:val="15"/>
        </w:rPr>
        <w:t xml:space="preserve">DISEÑO  </w:t>
      </w:r>
      <w:r>
        <w:rPr>
          <w:rFonts w:ascii="Calibri" w:cs="Calibri" w:eastAsia="Calibri" w:hAnsi="Calibri"/>
          <w:b/>
          <w:bCs/>
          <w:i/>
          <w:iCs/>
          <w:color w:val="000000"/>
          <w:sz w:val="19"/>
          <w:szCs w:val="19"/>
        </w:rPr>
        <w:t xml:space="preserve">El documento se timbra al sincronizar, con folio reservado por dispositivo. Si el conductor entrega a las nueve de la mañana y sincroniza a las siete de la tarde, ¿qué fecha lleva el documento?</w:t>
      </w:r>
    </w:p>
    <w:p>
      <w:pPr>
        <w:pBdr>
          <w:left w:val="single" w:color="1F3864" w:sz="10" w:space="8"/>
        </w:pBdr>
        <w:spacing w:after="60" w:line="268"/>
        <w:ind w:left="460"/>
      </w:pPr>
      <w:r>
        <w:rPr>
          <w:rFonts w:ascii="Calibri" w:cs="Calibri" w:eastAsia="Calibri" w:hAnsi="Calibri"/>
          <w:color w:val="333333"/>
          <w:sz w:val="19"/>
          <w:szCs w:val="19"/>
        </w:rPr>
        <w:t xml:space="preserve">El evento de entrega conserva su marca temporal de ocurrencia, capturada en el dispositivo; el timbre es diferido con folio reservado, conforme a RT-03.12. La fecha del hecho y la del timbre son campos distintos y ambos quedan en la evidencia. La conciliación con las exigencias del SII sobre folios reservados es uno de los puntos que se valida contra el banco de pruebas de la autoridad antes de producción.</w:t>
      </w:r>
    </w:p>
    <w:p>
      <w:pPr>
        <w:keepNext/>
        <w:spacing w:after="30" w:before="130" w:line="268"/>
        <w:ind w:left="460" w:hanging="460"/>
      </w:pPr>
      <w:r>
        <w:rPr>
          <w:rFonts w:ascii="Calibri" w:cs="Calibri" w:eastAsia="Calibri" w:hAnsi="Calibri"/>
          <w:b/>
          <w:bCs/>
          <w:color w:val="9C27B0"/>
          <w:sz w:val="15"/>
          <w:szCs w:val="15"/>
        </w:rPr>
        <w:t xml:space="preserve">TRAMPA  </w:t>
      </w:r>
      <w:r>
        <w:rPr>
          <w:rFonts w:ascii="Calibri" w:cs="Calibri" w:eastAsia="Calibri" w:hAnsi="Calibri"/>
          <w:b/>
          <w:bCs/>
          <w:i/>
          <w:iCs/>
          <w:color w:val="000000"/>
          <w:sz w:val="19"/>
          <w:szCs w:val="19"/>
        </w:rPr>
        <w:t xml:space="preserve">Un conductor con un millón de pesos en la cabina es un problema de seguridad de las personas, no de software. ¿Qué resuelve su plataforma ahí?</w:t>
      </w:r>
    </w:p>
    <w:p>
      <w:pPr>
        <w:pBdr>
          <w:left w:val="single" w:color="1F3864" w:sz="10" w:space="8"/>
        </w:pBdr>
        <w:spacing w:after="60" w:line="268"/>
        <w:ind w:left="460"/>
      </w:pPr>
      <w:r>
        <w:rPr>
          <w:rFonts w:ascii="Calibri" w:cs="Calibri" w:eastAsia="Calibri" w:hAnsi="Calibri"/>
          <w:color w:val="333333"/>
          <w:sz w:val="19"/>
          <w:szCs w:val="19"/>
        </w:rPr>
        <w:t xml:space="preserve">Reduce el monto y el tiempo de exposición: POS móvil y abonos parciales bajan el efectivo circulante, y la rendición digital cuadra el mismo día en vez de a la mañana siguiente. No resuelve la seguridad física, y no lo presentamos como que la resolviera. Eliminar el efectivo es una decisión comercial del CLIENTE que la plataforma habilita pero no toma.</w:t>
      </w:r>
    </w:p>
    <w:p>
      <w:pPr>
        <w:keepNext/>
        <w:spacing w:after="30" w:before="130" w:line="268"/>
        <w:ind w:left="460" w:hanging="460"/>
      </w:pPr>
      <w:r>
        <w:rPr>
          <w:rFonts w:ascii="Calibri" w:cs="Calibri" w:eastAsia="Calibri" w:hAnsi="Calibri"/>
          <w:b/>
          <w:bCs/>
          <w:color w:val="00695C"/>
          <w:sz w:val="15"/>
          <w:szCs w:val="15"/>
        </w:rPr>
        <w:t xml:space="preserve">CIFRA  </w:t>
      </w:r>
      <w:r>
        <w:rPr>
          <w:rFonts w:ascii="Calibri" w:cs="Calibri" w:eastAsia="Calibri" w:hAnsi="Calibri"/>
          <w:b/>
          <w:bCs/>
          <w:i/>
          <w:iCs/>
          <w:color w:val="000000"/>
          <w:sz w:val="19"/>
          <w:szCs w:val="19"/>
        </w:rPr>
        <w:t xml:space="preserve">Dicen cuatro coma dos por ciento de reentregas por falta de protocolo. ¿Cuánto de ese porcentaje atribuyen a la plataforma y cuánto a que el cliente simplemente no estaba?</w:t>
      </w:r>
    </w:p>
    <w:p>
      <w:pPr>
        <w:pBdr>
          <w:left w:val="single" w:color="1F3864" w:sz="10" w:space="8"/>
        </w:pBdr>
        <w:spacing w:after="60" w:line="268"/>
        <w:ind w:left="460"/>
      </w:pPr>
      <w:r>
        <w:rPr>
          <w:rFonts w:ascii="Calibri" w:cs="Calibri" w:eastAsia="Calibri" w:hAnsi="Calibri"/>
          <w:color w:val="333333"/>
          <w:sz w:val="19"/>
          <w:szCs w:val="19"/>
        </w:rPr>
        <w:t xml:space="preserve">No separamos ambas causas hoy, porque hoy no se registra la causa. Lo que la regla RNG-05 aporta es precisamente eso: el conductor reporta local cerrado, el sistema registra el intento fallido con evidencia y reagenda según la regla, y recién entonces se puede medir cuánto es discrecionalidad y cuánto es ausencia del cliente. Prometer una reducción sin esa base sería inventar.</w:t>
      </w:r>
    </w:p>
    <w:p>
      <w:pPr>
        <w:pStyle w:val="Heading2"/>
        <w:keepNext/>
        <w:spacing w:after="20" w:before="340"/>
      </w:pPr>
      <w:r>
        <w:rPr>
          <w:rFonts w:ascii="Calibri" w:cs="Calibri" w:eastAsia="Calibri" w:hAnsi="Calibri"/>
          <w:b/>
          <w:bCs/>
          <w:color w:val="1F3864"/>
          <w:sz w:val="24"/>
          <w:szCs w:val="24"/>
        </w:rPr>
        <w:t xml:space="preserve">Diapositiva 9 · Preventa en terreno</w:t>
      </w:r>
    </w:p>
    <w:p>
      <w:pPr>
        <w:keepNext/>
        <w:pBdr>
          <w:bottom w:val="single" w:color="BFBFBF" w:sz="6" w:space="2"/>
        </w:pBdr>
        <w:spacing w:after="60"/>
      </w:pPr>
      <w:r>
        <w:rPr>
          <w:rFonts w:ascii="Calibri" w:cs="Calibri" w:eastAsia="Calibri" w:hAnsi="Calibri"/>
          <w:color w:val="595959"/>
          <w:sz w:val="16"/>
          <w:szCs w:val="16"/>
        </w:rPr>
        <w:t xml:space="preserve">4 preguntas</w:t>
      </w:r>
    </w:p>
    <w:p>
      <w:pPr>
        <w:keepNext/>
        <w:spacing w:after="30" w:before="130" w:line="268"/>
        <w:ind w:left="460" w:hanging="460"/>
      </w:pPr>
      <w:r>
        <w:rPr>
          <w:rFonts w:ascii="Calibri" w:cs="Calibri" w:eastAsia="Calibri" w:hAnsi="Calibri"/>
          <w:b/>
          <w:bCs/>
          <w:color w:val="0D47A1"/>
          <w:sz w:val="15"/>
          <w:szCs w:val="15"/>
        </w:rPr>
        <w:t xml:space="preserve">DISEÑO  </w:t>
      </w:r>
      <w:r>
        <w:rPr>
          <w:rFonts w:ascii="Calibri" w:cs="Calibri" w:eastAsia="Calibri" w:hAnsi="Calibri"/>
          <w:b/>
          <w:bCs/>
          <w:i/>
          <w:iCs/>
          <w:color w:val="000000"/>
          <w:sz w:val="19"/>
          <w:szCs w:val="19"/>
        </w:rPr>
        <w:t xml:space="preserve">La regla RNG-01 reserva el stock al confirmar el pedido, no al tomarlo. Un preventista sin señal confirma a las diez de la mañana y sincroniza a las seis de la tarde. ¿Reservó o no reservó?</w:t>
      </w:r>
    </w:p>
    <w:p>
      <w:pPr>
        <w:pBdr>
          <w:left w:val="single" w:color="1F3864" w:sz="10" w:space="8"/>
        </w:pBdr>
        <w:spacing w:after="60" w:line="268"/>
        <w:ind w:left="460"/>
      </w:pPr>
      <w:r>
        <w:rPr>
          <w:rFonts w:ascii="Calibri" w:cs="Calibri" w:eastAsia="Calibri" w:hAnsi="Calibri"/>
          <w:color w:val="333333"/>
          <w:sz w:val="19"/>
          <w:szCs w:val="19"/>
        </w:rPr>
        <w:t xml:space="preserve">La reserva se materializa al sincronizar, y ahí puede encontrarse con que el stock ya no está. Por eso el dispositivo trabaja con stock disponible para la venta de la foto de turno y no con el stock físico, y por eso la resolución de conflicto es por regla declarada —RNG-12— y no por marca de tiempo. El pedido nunca se pierde: puede quedar parcial, con el preventista notificado y la decisión en bitácora.</w:t>
      </w:r>
    </w:p>
    <w:p>
      <w:pPr>
        <w:keepNext/>
        <w:spacing w:after="30" w:before="130" w:line="268"/>
        <w:ind w:left="460" w:hanging="460"/>
      </w:pPr>
      <w:r>
        <w:rPr>
          <w:rFonts w:ascii="Calibri" w:cs="Calibri" w:eastAsia="Calibri" w:hAnsi="Calibri"/>
          <w:b/>
          <w:bCs/>
          <w:color w:val="9C27B0"/>
          <w:sz w:val="15"/>
          <w:szCs w:val="15"/>
        </w:rPr>
        <w:t xml:space="preserve">TRAMPA  </w:t>
      </w:r>
      <w:r>
        <w:rPr>
          <w:rFonts w:ascii="Calibri" w:cs="Calibri" w:eastAsia="Calibri" w:hAnsi="Calibri"/>
          <w:b/>
          <w:bCs/>
          <w:i/>
          <w:iCs/>
          <w:color w:val="000000"/>
          <w:sz w:val="19"/>
          <w:szCs w:val="19"/>
        </w:rPr>
        <w:t xml:space="preserve">Entonces su preventista sigue vendiendo a ciegas, solo que con una foto vieja en vez de con la memoria. ¿En qué mejoró?</w:t>
      </w:r>
    </w:p>
    <w:p>
      <w:pPr>
        <w:pBdr>
          <w:left w:val="single" w:color="1F3864" w:sz="10" w:space="8"/>
        </w:pBdr>
        <w:spacing w:after="60" w:line="268"/>
        <w:ind w:left="460"/>
      </w:pPr>
      <w:r>
        <w:rPr>
          <w:rFonts w:ascii="Calibri" w:cs="Calibri" w:eastAsia="Calibri" w:hAnsi="Calibri"/>
          <w:color w:val="333333"/>
          <w:sz w:val="19"/>
          <w:szCs w:val="19"/>
        </w:rPr>
        <w:t xml:space="preserve">En tres cosas verificables: la foto es del inicio del turno y no de la semana pasada; incluye crédito y deuda vencida, que hoy no existen en el dispositivo; y el desajuste queda registrado y medido, en vez de aparecer como quiebre en la entrega. El siete coma ocho por ciento de líneas con quiebre deja de ser invisible.</w:t>
      </w:r>
    </w:p>
    <w:p>
      <w:pPr>
        <w:keepNext/>
        <w:spacing w:after="30" w:before="130" w:line="268"/>
        <w:ind w:left="460" w:hanging="460"/>
      </w:pPr>
      <w:r>
        <w:rPr>
          <w:rFonts w:ascii="Calibri" w:cs="Calibri" w:eastAsia="Calibri" w:hAnsi="Calibri"/>
          <w:b/>
          <w:bCs/>
          <w:color w:val="00695C"/>
          <w:sz w:val="15"/>
          <w:szCs w:val="15"/>
        </w:rPr>
        <w:t xml:space="preserve">CIFRA  </w:t>
      </w:r>
      <w:r>
        <w:rPr>
          <w:rFonts w:ascii="Calibri" w:cs="Calibri" w:eastAsia="Calibri" w:hAnsi="Calibri"/>
          <w:b/>
          <w:bCs/>
          <w:i/>
          <w:iCs/>
          <w:color w:val="000000"/>
          <w:sz w:val="19"/>
          <w:szCs w:val="19"/>
        </w:rPr>
        <w:t xml:space="preserve">Hablan de una caché de turno de ocho a doce megabytes. Con ocho mil cuatrocientos SKU, precios, promociones y el historial de sus clientes, ¿eso alcanza?</w:t>
      </w:r>
    </w:p>
    <w:p>
      <w:pPr>
        <w:pBdr>
          <w:left w:val="single" w:color="1F3864" w:sz="10" w:space="8"/>
        </w:pBdr>
        <w:spacing w:after="60" w:line="268"/>
        <w:ind w:left="460"/>
      </w:pPr>
      <w:r>
        <w:rPr>
          <w:rFonts w:ascii="Calibri" w:cs="Calibri" w:eastAsia="Calibri" w:hAnsi="Calibri"/>
          <w:color w:val="333333"/>
          <w:sz w:val="19"/>
          <w:szCs w:val="19"/>
        </w:rPr>
        <w:t xml:space="preserve">Alcanza porque no se baja el catálogo completo ni el historial completo: se baja el subconjunto de la ruta del día —los clientes de esa ruta, sus condiciones y los SKU vigentes con su precio y promoción—, no la base entera. El consumo objetivo por turno está declarado contra RT-17.03 y se verifica en la marcha blanca.</w:t>
      </w:r>
    </w:p>
    <w:p>
      <w:pPr>
        <w:keepNext/>
        <w:spacing w:after="30" w:before="130" w:line="268"/>
        <w:ind w:left="460" w:hanging="460"/>
      </w:pPr>
      <w:r>
        <w:rPr>
          <w:rFonts w:ascii="Calibri" w:cs="Calibri" w:eastAsia="Calibri" w:hAnsi="Calibri"/>
          <w:b/>
          <w:bCs/>
          <w:color w:val="1F3864"/>
          <w:sz w:val="15"/>
          <w:szCs w:val="15"/>
        </w:rPr>
        <w:t xml:space="preserve">NORMATIVA  </w:t>
      </w:r>
      <w:r>
        <w:rPr>
          <w:rFonts w:ascii="Calibri" w:cs="Calibri" w:eastAsia="Calibri" w:hAnsi="Calibri"/>
          <w:b/>
          <w:bCs/>
          <w:i/>
          <w:iCs/>
          <w:color w:val="000000"/>
          <w:sz w:val="19"/>
          <w:szCs w:val="19"/>
        </w:rPr>
        <w:t xml:space="preserve">El crédito y la deuda vencida de un cliente son datos comerciales sensibles viajando en un teléfono que se puede perder. ¿Qué controles tienen?</w:t>
      </w:r>
    </w:p>
    <w:p>
      <w:pPr>
        <w:pBdr>
          <w:left w:val="single" w:color="1F3864" w:sz="10" w:space="8"/>
        </w:pBdr>
        <w:spacing w:after="60" w:line="268"/>
        <w:ind w:left="460"/>
      </w:pPr>
      <w:r>
        <w:rPr>
          <w:rFonts w:ascii="Calibri" w:cs="Calibri" w:eastAsia="Calibri" w:hAnsi="Calibri"/>
          <w:color w:val="333333"/>
          <w:sz w:val="19"/>
          <w:szCs w:val="19"/>
        </w:rPr>
        <w:t xml:space="preserve">Cifrado local de la base del dispositivo, gestión centralizada con borrado remoto selectivo —se borra la aplicación y su caché, no la información personal del equipo—, token de vida acotada al turno, y el dispositivo enrolado como factor de posesión. El cifrado a nivel de campo se aplica a los cuatro conjuntos de datos que el caso declara exigibles.</w:t>
      </w:r>
    </w:p>
    <w:p>
      <w:pPr>
        <w:pStyle w:val="Heading2"/>
        <w:keepNext/>
        <w:spacing w:after="20" w:before="340"/>
      </w:pPr>
      <w:r>
        <w:rPr>
          <w:rFonts w:ascii="Calibri" w:cs="Calibri" w:eastAsia="Calibri" w:hAnsi="Calibri"/>
          <w:b/>
          <w:bCs/>
          <w:color w:val="1F3864"/>
          <w:sz w:val="24"/>
          <w:szCs w:val="24"/>
        </w:rPr>
        <w:t xml:space="preserve">Diapositiva 10 · Recepción de proveedores</w:t>
      </w:r>
    </w:p>
    <w:p>
      <w:pPr>
        <w:keepNext/>
        <w:pBdr>
          <w:bottom w:val="single" w:color="BFBFBF" w:sz="6" w:space="2"/>
        </w:pBdr>
        <w:spacing w:after="60"/>
      </w:pPr>
      <w:r>
        <w:rPr>
          <w:rFonts w:ascii="Calibri" w:cs="Calibri" w:eastAsia="Calibri" w:hAnsi="Calibri"/>
          <w:color w:val="595959"/>
          <w:sz w:val="16"/>
          <w:szCs w:val="16"/>
        </w:rPr>
        <w:t xml:space="preserve">4 preguntas</w:t>
      </w:r>
    </w:p>
    <w:p>
      <w:pPr>
        <w:keepNext/>
        <w:spacing w:after="30" w:before="130" w:line="268"/>
        <w:ind w:left="460" w:hanging="460"/>
      </w:pPr>
      <w:r>
        <w:rPr>
          <w:rFonts w:ascii="Calibri" w:cs="Calibri" w:eastAsia="Calibri" w:hAnsi="Calibri"/>
          <w:b/>
          <w:bCs/>
          <w:color w:val="0D47A1"/>
          <w:sz w:val="15"/>
          <w:szCs w:val="15"/>
        </w:rPr>
        <w:t xml:space="preserve">DISEÑO  </w:t>
      </w:r>
      <w:r>
        <w:rPr>
          <w:rFonts w:ascii="Calibri" w:cs="Calibri" w:eastAsia="Calibri" w:hAnsi="Calibri"/>
          <w:b/>
          <w:bCs/>
          <w:i/>
          <w:iCs/>
          <w:color w:val="000000"/>
          <w:sz w:val="19"/>
          <w:szCs w:val="19"/>
        </w:rPr>
        <w:t xml:space="preserve">El cuarenta y uno por ciento de recepciones sin lote es histórico. Pero si el proveedor entrega sin lote legible mañana, ¿el sistema bloquea la recepción?</w:t>
      </w:r>
    </w:p>
    <w:p>
      <w:pPr>
        <w:pBdr>
          <w:left w:val="single" w:color="1F3864" w:sz="10" w:space="8"/>
        </w:pBdr>
        <w:spacing w:after="60" w:line="268"/>
        <w:ind w:left="460"/>
      </w:pPr>
      <w:r>
        <w:rPr>
          <w:rFonts w:ascii="Calibri" w:cs="Calibri" w:eastAsia="Calibri" w:hAnsi="Calibri"/>
          <w:color w:val="333333"/>
          <w:sz w:val="19"/>
          <w:szCs w:val="19"/>
        </w:rPr>
        <w:t xml:space="preserve">La regla es registro obligatorio de lote y vencimiento para los productos que lo requieren. Si el dato no viene legible, la recepción queda como no conformidad con cuarentena automática, no como recepción incompleta que sigue su curso. Es la diferencia entre exigir el dato y esperar el dato.</w:t>
      </w:r>
    </w:p>
    <w:p>
      <w:pPr>
        <w:keepNext/>
        <w:spacing w:after="30" w:before="130" w:line="268"/>
        <w:ind w:left="460" w:hanging="460"/>
      </w:pPr>
      <w:r>
        <w:rPr>
          <w:rFonts w:ascii="Calibri" w:cs="Calibri" w:eastAsia="Calibri" w:hAnsi="Calibri"/>
          <w:b/>
          <w:bCs/>
          <w:color w:val="9C27B0"/>
          <w:sz w:val="15"/>
          <w:szCs w:val="15"/>
        </w:rPr>
        <w:t xml:space="preserve">TRAMPA  </w:t>
      </w:r>
      <w:r>
        <w:rPr>
          <w:rFonts w:ascii="Calibri" w:cs="Calibri" w:eastAsia="Calibri" w:hAnsi="Calibri"/>
          <w:b/>
          <w:bCs/>
          <w:i/>
          <w:iCs/>
          <w:color w:val="000000"/>
          <w:sz w:val="19"/>
          <w:szCs w:val="19"/>
        </w:rPr>
        <w:t xml:space="preserve">Eso significa detener mercadería en el andén en plena temporada alta, con filas de cinco horas. ¿El CLIENTE aceptó ese costo operacional?</w:t>
      </w:r>
    </w:p>
    <w:p>
      <w:pPr>
        <w:pBdr>
          <w:left w:val="single" w:color="1F3864" w:sz="10" w:space="8"/>
        </w:pBdr>
        <w:spacing w:after="60" w:line="268"/>
        <w:ind w:left="460"/>
      </w:pPr>
      <w:r>
        <w:rPr>
          <w:rFonts w:ascii="Calibri" w:cs="Calibri" w:eastAsia="Calibri" w:hAnsi="Calibri"/>
          <w:color w:val="333333"/>
          <w:sz w:val="19"/>
          <w:szCs w:val="19"/>
        </w:rPr>
        <w:t xml:space="preserve">Es exactamente la tensión que hay que poner sobre la mesa, y no la resolvemos unilateralmente: el umbral de qué productos exigen lote y qué hace el sistema ante su ausencia es parametrizable y su definición es del CLIENTE. Lo que no es negociable es que la decisión quede registrada, porque de ahí salió el sumario de marzo.</w:t>
      </w:r>
    </w:p>
    <w:p>
      <w:pPr>
        <w:keepNext/>
        <w:spacing w:after="30" w:before="130" w:line="268"/>
        <w:ind w:left="460" w:hanging="460"/>
      </w:pPr>
      <w:r>
        <w:rPr>
          <w:rFonts w:ascii="Calibri" w:cs="Calibri" w:eastAsia="Calibri" w:hAnsi="Calibri"/>
          <w:b/>
          <w:bCs/>
          <w:color w:val="1F3864"/>
          <w:sz w:val="15"/>
          <w:szCs w:val="15"/>
        </w:rPr>
        <w:t xml:space="preserve">NORMATIVA  </w:t>
      </w:r>
      <w:r>
        <w:rPr>
          <w:rFonts w:ascii="Calibri" w:cs="Calibri" w:eastAsia="Calibri" w:hAnsi="Calibri"/>
          <w:b/>
          <w:bCs/>
          <w:i/>
          <w:iCs/>
          <w:color w:val="000000"/>
          <w:sz w:val="19"/>
          <w:szCs w:val="19"/>
        </w:rPr>
        <w:t xml:space="preserve">¿Bajo qué estándar GS1 identifican la unidad logística, y qué pasa con el proveedor que no etiqueta con SSCC?</w:t>
      </w:r>
    </w:p>
    <w:p>
      <w:pPr>
        <w:pBdr>
          <w:left w:val="single" w:color="1F3864" w:sz="10" w:space="8"/>
        </w:pBdr>
        <w:spacing w:after="60" w:line="268"/>
        <w:ind w:left="460"/>
      </w:pPr>
      <w:r>
        <w:rPr>
          <w:rFonts w:ascii="Calibri" w:cs="Calibri" w:eastAsia="Calibri" w:hAnsi="Calibri"/>
          <w:color w:val="333333"/>
          <w:sz w:val="19"/>
          <w:szCs w:val="19"/>
        </w:rPr>
        <w:t xml:space="preserve">La identidad primaria es el lote del proveedor en GS1: GTIN más número de lote más fecha de vencimiento. El SSCC identifica la unidad logística y se enlaza al lote en cada movimiento interno; cuando el proveedor no lo trae, la etiqueta SSCC se imprime al armar la unidad logística en recepción. No dependemos de que ciento ochenta proveedores se estandaricen primero.</w:t>
      </w:r>
    </w:p>
    <w:p>
      <w:pPr>
        <w:keepNext/>
        <w:spacing w:after="30" w:before="130" w:line="268"/>
        <w:ind w:left="460" w:hanging="460"/>
      </w:pPr>
      <w:r>
        <w:rPr>
          <w:rFonts w:ascii="Calibri" w:cs="Calibri" w:eastAsia="Calibri" w:hAnsi="Calibri"/>
          <w:b/>
          <w:bCs/>
          <w:color w:val="C62828"/>
          <w:sz w:val="15"/>
          <w:szCs w:val="15"/>
        </w:rPr>
        <w:t xml:space="preserve">HUECO  </w:t>
      </w:r>
      <w:r>
        <w:rPr>
          <w:rFonts w:ascii="Calibri" w:cs="Calibri" w:eastAsia="Calibri" w:hAnsi="Calibri"/>
          <w:b/>
          <w:bCs/>
          <w:i/>
          <w:iCs/>
          <w:color w:val="000000"/>
          <w:sz w:val="19"/>
          <w:szCs w:val="19"/>
        </w:rPr>
        <w:t xml:space="preserve">El caso pide declarar el volumen de mensajes por integración. ¿Cuántos mensajes por día mueve la integración con proveedores?</w:t>
      </w:r>
    </w:p>
    <w:p>
      <w:pPr>
        <w:pBdr>
          <w:left w:val="single" w:color="1F3864" w:sz="10" w:space="8"/>
        </w:pBdr>
        <w:spacing w:after="60" w:line="268"/>
        <w:ind w:left="460"/>
      </w:pPr>
      <w:r>
        <w:rPr>
          <w:rFonts w:ascii="Calibri" w:cs="Calibri" w:eastAsia="Calibri" w:hAnsi="Calibri"/>
          <w:color w:val="333333"/>
          <w:sz w:val="19"/>
          <w:szCs w:val="19"/>
        </w:rPr>
        <w:t xml:space="preserve">No está cerrado, y lo declaramos como tal: el Subdocumento 4.2 registra que la traducción del volumen de negocio a mensajes por día por integración es una celda pendiente. Está identificada como hallazgo de nuestra propia auditoría de coherencia y se cierra antes del Formulario T-12. Dejarla vacía sin declararla sería el problema; declararla es el tratamiento.</w:t>
      </w:r>
    </w:p>
    <w:p>
      <w:pPr>
        <w:pStyle w:val="Heading2"/>
        <w:keepNext/>
        <w:spacing w:after="20" w:before="340"/>
      </w:pPr>
      <w:r>
        <w:rPr>
          <w:rFonts w:ascii="Calibri" w:cs="Calibri" w:eastAsia="Calibri" w:hAnsi="Calibri"/>
          <w:b/>
          <w:bCs/>
          <w:color w:val="1F3864"/>
          <w:sz w:val="24"/>
          <w:szCs w:val="24"/>
        </w:rPr>
        <w:t xml:space="preserve">Diapositiva 11 · Regreso de la flota</w:t>
      </w:r>
    </w:p>
    <w:p>
      <w:pPr>
        <w:keepNext/>
        <w:pBdr>
          <w:bottom w:val="single" w:color="BFBFBF" w:sz="6" w:space="2"/>
        </w:pBdr>
        <w:spacing w:after="60"/>
      </w:pPr>
      <w:r>
        <w:rPr>
          <w:rFonts w:ascii="Calibri" w:cs="Calibri" w:eastAsia="Calibri" w:hAnsi="Calibri"/>
          <w:color w:val="595959"/>
          <w:sz w:val="16"/>
          <w:szCs w:val="16"/>
        </w:rPr>
        <w:t xml:space="preserve">3 preguntas</w:t>
      </w:r>
    </w:p>
    <w:p>
      <w:pPr>
        <w:keepNext/>
        <w:spacing w:after="30" w:before="130" w:line="268"/>
        <w:ind w:left="460" w:hanging="460"/>
      </w:pPr>
      <w:r>
        <w:rPr>
          <w:rFonts w:ascii="Calibri" w:cs="Calibri" w:eastAsia="Calibri" w:hAnsi="Calibri"/>
          <w:b/>
          <w:bCs/>
          <w:color w:val="0D47A1"/>
          <w:sz w:val="15"/>
          <w:szCs w:val="15"/>
        </w:rPr>
        <w:t xml:space="preserve">DISEÑO  </w:t>
      </w:r>
      <w:r>
        <w:rPr>
          <w:rFonts w:ascii="Calibri" w:cs="Calibri" w:eastAsia="Calibri" w:hAnsi="Calibri"/>
          <w:b/>
          <w:bCs/>
          <w:i/>
          <w:iCs/>
          <w:color w:val="000000"/>
          <w:sz w:val="19"/>
          <w:szCs w:val="19"/>
        </w:rPr>
        <w:t xml:space="preserve">La regla RNG-07 controla envases por saldo de cuenta corriente, no por unidad identificada. Con catorce por ciento de pérdida anual, ¿cómo imputan a un cliente específico si no hay trazabilidad unitaria?</w:t>
      </w:r>
    </w:p>
    <w:p>
      <w:pPr>
        <w:pBdr>
          <w:left w:val="single" w:color="1F3864" w:sz="10" w:space="8"/>
        </w:pBdr>
        <w:spacing w:after="60" w:line="268"/>
        <w:ind w:left="460"/>
      </w:pPr>
      <w:r>
        <w:rPr>
          <w:rFonts w:ascii="Calibri" w:cs="Calibri" w:eastAsia="Calibri" w:hAnsi="Calibri"/>
          <w:color w:val="333333"/>
          <w:sz w:val="19"/>
          <w:szCs w:val="19"/>
        </w:rPr>
        <w:t xml:space="preserve">Por diferencia de saldo, no por unidad: cada entrega y cada devolución mueven el saldo del cliente, y el reporte expone la pérdida por cliente, tipo y zona. Identificar cada canastillo con un código individual sería más preciso y más caro; para sesenta y ocho mil unidades de bajo valor unitario, el saldo por cuenta corriente es la relación costo-beneficio que declaramos, y está registrada como decisión.</w:t>
      </w:r>
    </w:p>
    <w:p>
      <w:pPr>
        <w:keepNext/>
        <w:spacing w:after="30" w:before="130" w:line="268"/>
        <w:ind w:left="460" w:hanging="460"/>
      </w:pPr>
      <w:r>
        <w:rPr>
          <w:rFonts w:ascii="Calibri" w:cs="Calibri" w:eastAsia="Calibri" w:hAnsi="Calibri"/>
          <w:b/>
          <w:bCs/>
          <w:color w:val="1F3864"/>
          <w:sz w:val="15"/>
          <w:szCs w:val="15"/>
        </w:rPr>
        <w:t xml:space="preserve">NORMATIVA  </w:t>
      </w:r>
      <w:r>
        <w:rPr>
          <w:rFonts w:ascii="Calibri" w:cs="Calibri" w:eastAsia="Calibri" w:hAnsi="Calibri"/>
          <w:b/>
          <w:bCs/>
          <w:i/>
          <w:iCs/>
          <w:color w:val="000000"/>
          <w:sz w:val="19"/>
          <w:szCs w:val="19"/>
        </w:rPr>
        <w:t xml:space="preserve">La devolución en el momento de la entrega afecta un documento tributario ya emitido. ¿Emiten nota de crédito automática?</w:t>
      </w:r>
    </w:p>
    <w:p>
      <w:pPr>
        <w:pBdr>
          <w:left w:val="single" w:color="1F3864" w:sz="10" w:space="8"/>
        </w:pBdr>
        <w:spacing w:after="60" w:line="268"/>
        <w:ind w:left="460"/>
      </w:pPr>
      <w:r>
        <w:rPr>
          <w:rFonts w:ascii="Calibri" w:cs="Calibri" w:eastAsia="Calibri" w:hAnsi="Calibri"/>
          <w:color w:val="333333"/>
          <w:sz w:val="19"/>
          <w:szCs w:val="19"/>
        </w:rPr>
        <w:t xml:space="preserve">La devolución se registra en la prueba de entrega, incluso sin conexión y con motivo por categoría, y su efecto tributario lo ejecuta el ERP, que es el único emisor. La solución no emite notas de crédito: entrega el hecho y su evidencia. Es la regla RNG-06 y la decisión 16.1 número doce.</w:t>
      </w:r>
    </w:p>
    <w:p>
      <w:pPr>
        <w:keepNext/>
        <w:spacing w:after="30" w:before="130" w:line="268"/>
        <w:ind w:left="460" w:hanging="460"/>
      </w:pPr>
      <w:r>
        <w:rPr>
          <w:rFonts w:ascii="Calibri" w:cs="Calibri" w:eastAsia="Calibri" w:hAnsi="Calibri"/>
          <w:b/>
          <w:bCs/>
          <w:color w:val="00695C"/>
          <w:sz w:val="15"/>
          <w:szCs w:val="15"/>
        </w:rPr>
        <w:t xml:space="preserve">CIFRA  </w:t>
      </w:r>
      <w:r>
        <w:rPr>
          <w:rFonts w:ascii="Calibri" w:cs="Calibri" w:eastAsia="Calibri" w:hAnsi="Calibri"/>
          <w:b/>
          <w:bCs/>
          <w:i/>
          <w:iCs/>
          <w:color w:val="000000"/>
          <w:sz w:val="19"/>
          <w:szCs w:val="19"/>
        </w:rPr>
        <w:t xml:space="preserve">Cuatro coma dos millones mensuales de descuadre en toda la flota son unos cincuenta mil pesos por camión al mes. ¿Vale la pena una plataforma para eso?</w:t>
      </w:r>
    </w:p>
    <w:p>
      <w:pPr>
        <w:pBdr>
          <w:left w:val="single" w:color="1F3864" w:sz="10" w:space="8"/>
        </w:pBdr>
        <w:spacing w:after="60" w:line="268"/>
        <w:ind w:left="460"/>
      </w:pPr>
      <w:r>
        <w:rPr>
          <w:rFonts w:ascii="Calibri" w:cs="Calibri" w:eastAsia="Calibri" w:hAnsi="Calibri"/>
          <w:color w:val="333333"/>
          <w:sz w:val="19"/>
          <w:szCs w:val="19"/>
        </w:rPr>
        <w:t xml:space="preserve">El descuadre no es el problema: es el síntoma de que no hay control. Lo que se resuelve no es recuperar cincuenta mil pesos por camión, sino poder distinguir un error de conteo de un descuento otorgado por cuenta propia, y poder cerrar el día. Además, la rendición es solo uno de dieciséis resultados comprometidos; la plataforma no se justifica por ese ítem.</w:t>
      </w:r>
    </w:p>
    <w:p>
      <w:pPr>
        <w:pStyle w:val="Heading2"/>
        <w:keepNext/>
        <w:spacing w:after="20" w:before="340"/>
      </w:pPr>
      <w:r>
        <w:rPr>
          <w:rFonts w:ascii="Calibri" w:cs="Calibri" w:eastAsia="Calibri" w:hAnsi="Calibri"/>
          <w:b/>
          <w:bCs/>
          <w:color w:val="1F3864"/>
          <w:sz w:val="24"/>
          <w:szCs w:val="24"/>
        </w:rPr>
        <w:t xml:space="preserve">Diapositiva 12 · Ciclo completo</w:t>
      </w:r>
    </w:p>
    <w:p>
      <w:pPr>
        <w:keepNext/>
        <w:pBdr>
          <w:bottom w:val="single" w:color="BFBFBF" w:sz="6" w:space="2"/>
        </w:pBdr>
        <w:spacing w:after="60"/>
      </w:pPr>
      <w:r>
        <w:rPr>
          <w:rFonts w:ascii="Calibri" w:cs="Calibri" w:eastAsia="Calibri" w:hAnsi="Calibri"/>
          <w:color w:val="595959"/>
          <w:sz w:val="16"/>
          <w:szCs w:val="16"/>
        </w:rPr>
        <w:t xml:space="preserve">2 preguntas</w:t>
      </w:r>
    </w:p>
    <w:p>
      <w:pPr>
        <w:keepNext/>
        <w:spacing w:after="30" w:before="130" w:line="268"/>
        <w:ind w:left="460" w:hanging="460"/>
      </w:pPr>
      <w:r>
        <w:rPr>
          <w:rFonts w:ascii="Calibri" w:cs="Calibri" w:eastAsia="Calibri" w:hAnsi="Calibri"/>
          <w:b/>
          <w:bCs/>
          <w:color w:val="9C27B0"/>
          <w:sz w:val="15"/>
          <w:szCs w:val="15"/>
        </w:rPr>
        <w:t xml:space="preserve">TRAMPA  </w:t>
      </w:r>
      <w:r>
        <w:rPr>
          <w:rFonts w:ascii="Calibri" w:cs="Calibri" w:eastAsia="Calibri" w:hAnsi="Calibri"/>
          <w:b/>
          <w:bCs/>
          <w:i/>
          <w:iCs/>
          <w:color w:val="000000"/>
          <w:sz w:val="19"/>
          <w:szCs w:val="19"/>
        </w:rPr>
        <w:t xml:space="preserve">Todo lo que mostraron son problemas de proceso y de disciplina operacional. ¿Por qué la respuesta es software y no rediseño de procesos con las mismas herramientas?</w:t>
      </w:r>
    </w:p>
    <w:p>
      <w:pPr>
        <w:pBdr>
          <w:left w:val="single" w:color="1F3864" w:sz="10" w:space="8"/>
        </w:pBdr>
        <w:spacing w:after="60" w:line="268"/>
        <w:ind w:left="460"/>
      </w:pPr>
      <w:r>
        <w:rPr>
          <w:rFonts w:ascii="Calibri" w:cs="Calibri" w:eastAsia="Calibri" w:hAnsi="Calibri"/>
          <w:color w:val="333333"/>
          <w:sz w:val="19"/>
          <w:szCs w:val="19"/>
        </w:rPr>
        <w:t xml:space="preserve">Porque tres de los quiebres son físicamente irresolubles con papel: no hay forma manual de responder un retiro de lote en menos de dos horas sobre catorce mil doscientos puntos, ni de registrar temperatura en continuo, ni de costear una entrega desde sus hechos. El rediseño de proceso es parte de la propuesta —la preparación por olas es rediseño, no software— pero el dato tiene que existir primero.</w:t>
      </w:r>
    </w:p>
    <w:p>
      <w:pPr>
        <w:keepNext/>
        <w:spacing w:after="30" w:before="130" w:line="268"/>
        <w:ind w:left="460" w:hanging="460"/>
      </w:pPr>
      <w:r>
        <w:rPr>
          <w:rFonts w:ascii="Calibri" w:cs="Calibri" w:eastAsia="Calibri" w:hAnsi="Calibri"/>
          <w:b/>
          <w:bCs/>
          <w:color w:val="BF6000"/>
          <w:sz w:val="15"/>
          <w:szCs w:val="15"/>
        </w:rPr>
        <w:t xml:space="preserve">ALCANCE  </w:t>
      </w:r>
      <w:r>
        <w:rPr>
          <w:rFonts w:ascii="Calibri" w:cs="Calibri" w:eastAsia="Calibri" w:hAnsi="Calibri"/>
          <w:b/>
          <w:bCs/>
          <w:i/>
          <w:iCs/>
          <w:color w:val="000000"/>
          <w:sz w:val="19"/>
          <w:szCs w:val="19"/>
        </w:rPr>
        <w:t xml:space="preserve">Su diagnóstico es del modelo actual. ¿Qué pasa con los procesos que el caso no describe y que descubrirán en el mes tres?</w:t>
      </w:r>
    </w:p>
    <w:p>
      <w:pPr>
        <w:pBdr>
          <w:left w:val="single" w:color="1F3864" w:sz="10" w:space="8"/>
        </w:pBdr>
        <w:spacing w:after="60" w:line="268"/>
        <w:ind w:left="460"/>
      </w:pPr>
      <w:r>
        <w:rPr>
          <w:rFonts w:ascii="Calibri" w:cs="Calibri" w:eastAsia="Calibri" w:hAnsi="Calibri"/>
          <w:color w:val="333333"/>
          <w:sz w:val="19"/>
          <w:szCs w:val="19"/>
        </w:rPr>
        <w:t xml:space="preserve">Está previsto: la Etapa 1 parte con levantamiento y aprobación de alcance, y el catálogo de requerimientos tiene su matriz de trazabilidad justamente para absorber lo que aparezca con origen declarado. Lo que no aparezca ahí entra por control de cambios, no por absorción silenciosa.</w:t>
      </w:r>
    </w:p>
    <w:p>
      <w:pPr>
        <w:pStyle w:val="Heading2"/>
        <w:keepNext/>
        <w:spacing w:after="20" w:before="340"/>
      </w:pPr>
      <w:r>
        <w:rPr>
          <w:rFonts w:ascii="Calibri" w:cs="Calibri" w:eastAsia="Calibri" w:hAnsi="Calibri"/>
          <w:b/>
          <w:bCs/>
          <w:color w:val="1F3864"/>
          <w:sz w:val="24"/>
          <w:szCs w:val="24"/>
        </w:rPr>
        <w:t xml:space="preserve">Diapositiva 13 · Mapa de problemas</w:t>
      </w:r>
    </w:p>
    <w:p>
      <w:pPr>
        <w:keepNext/>
        <w:pBdr>
          <w:bottom w:val="single" w:color="BFBFBF" w:sz="6" w:space="2"/>
        </w:pBdr>
        <w:spacing w:after="60"/>
      </w:pPr>
      <w:r>
        <w:rPr>
          <w:rFonts w:ascii="Calibri" w:cs="Calibri" w:eastAsia="Calibri" w:hAnsi="Calibri"/>
          <w:color w:val="595959"/>
          <w:sz w:val="16"/>
          <w:szCs w:val="16"/>
        </w:rPr>
        <w:t xml:space="preserve">4 preguntas</w:t>
      </w:r>
    </w:p>
    <w:p>
      <w:pPr>
        <w:keepNext/>
        <w:spacing w:after="30" w:before="130" w:line="268"/>
        <w:ind w:left="460" w:hanging="460"/>
      </w:pPr>
      <w:r>
        <w:rPr>
          <w:rFonts w:ascii="Calibri" w:cs="Calibri" w:eastAsia="Calibri" w:hAnsi="Calibri"/>
          <w:b/>
          <w:bCs/>
          <w:color w:val="00695C"/>
          <w:sz w:val="15"/>
          <w:szCs w:val="15"/>
        </w:rPr>
        <w:t xml:space="preserve">CIFRA  </w:t>
      </w:r>
      <w:r>
        <w:rPr>
          <w:rFonts w:ascii="Calibri" w:cs="Calibri" w:eastAsia="Calibri" w:hAnsi="Calibri"/>
          <w:b/>
          <w:bCs/>
          <w:i/>
          <w:iCs/>
          <w:color w:val="000000"/>
          <w:sz w:val="19"/>
          <w:szCs w:val="19"/>
        </w:rPr>
        <w:t xml:space="preserve">El conteo cíclico son tres mil cuatrocientas posiciones al mes. ¿Cuántas posiciones tiene el almacén de Talca en total, y en cuánto tiempo se cubre el cien por ciento?</w:t>
      </w:r>
    </w:p>
    <w:p>
      <w:pPr>
        <w:pBdr>
          <w:left w:val="single" w:color="1F3864" w:sz="10" w:space="8"/>
        </w:pBdr>
        <w:spacing w:after="60" w:line="268"/>
        <w:ind w:left="460"/>
      </w:pPr>
      <w:r>
        <w:rPr>
          <w:rFonts w:ascii="Calibri" w:cs="Calibri" w:eastAsia="Calibri" w:hAnsi="Calibri"/>
          <w:color w:val="333333"/>
          <w:sz w:val="19"/>
          <w:szCs w:val="19"/>
        </w:rPr>
        <w:t xml:space="preserve">Tres mil cuatrocientas es el volumen mensual de conteo, no el total de posiciones del almacén: es una confusión frecuente y la separamos explícitamente. El total de posiciones y la cobertura del ciclo completo salen del levantamiento de la Etapa 1; el caso no lo entrega y no lo inventamos.</w:t>
      </w:r>
    </w:p>
    <w:p>
      <w:pPr>
        <w:keepNext/>
        <w:spacing w:after="30" w:before="130" w:line="268"/>
        <w:ind w:left="460" w:hanging="460"/>
      </w:pPr>
      <w:r>
        <w:rPr>
          <w:rFonts w:ascii="Calibri" w:cs="Calibri" w:eastAsia="Calibri" w:hAnsi="Calibri"/>
          <w:b/>
          <w:bCs/>
          <w:color w:val="9C27B0"/>
          <w:sz w:val="15"/>
          <w:szCs w:val="15"/>
        </w:rPr>
        <w:t xml:space="preserve">TRAMPA  </w:t>
      </w:r>
      <w:r>
        <w:rPr>
          <w:rFonts w:ascii="Calibri" w:cs="Calibri" w:eastAsia="Calibri" w:hAnsi="Calibri"/>
          <w:b/>
          <w:bCs/>
          <w:i/>
          <w:iCs/>
          <w:color w:val="000000"/>
          <w:sz w:val="19"/>
          <w:szCs w:val="19"/>
        </w:rPr>
        <w:t xml:space="preserve">Dicen que el retiro costó treinta y un millones, pero también que la suspensión fue el seis por ciento de las ventas anuales, que sobre ciento cuarenta y ocho mil millones son ocho mil ochocientos millones. ¿Cuál es el daño real?</w:t>
      </w:r>
    </w:p>
    <w:p>
      <w:pPr>
        <w:pBdr>
          <w:left w:val="single" w:color="1F3864" w:sz="10" w:space="8"/>
        </w:pBdr>
        <w:spacing w:after="60" w:line="268"/>
        <w:ind w:left="460"/>
      </w:pPr>
      <w:r>
        <w:rPr>
          <w:rFonts w:ascii="Calibri" w:cs="Calibri" w:eastAsia="Calibri" w:hAnsi="Calibri"/>
          <w:color w:val="333333"/>
          <w:sz w:val="19"/>
          <w:szCs w:val="19"/>
        </w:rPr>
        <w:t xml:space="preserve">Son magnitudes distintas y hay que decirlas separadas. Los treinta y un millones son la pérdida directa del retiro. El seis por ciento corresponde a la participación del proveedor suspendido en las ventas durante seis meses, que es exposición comercial, no pérdida contabilizada. Presentarlas sumadas sería inflar el caso.</w:t>
      </w:r>
    </w:p>
    <w:p>
      <w:pPr>
        <w:keepNext/>
        <w:spacing w:after="30" w:before="130" w:line="268"/>
        <w:ind w:left="460" w:hanging="460"/>
      </w:pPr>
      <w:r>
        <w:rPr>
          <w:rFonts w:ascii="Calibri" w:cs="Calibri" w:eastAsia="Calibri" w:hAnsi="Calibri"/>
          <w:b/>
          <w:bCs/>
          <w:color w:val="1F3864"/>
          <w:sz w:val="15"/>
          <w:szCs w:val="15"/>
        </w:rPr>
        <w:t xml:space="preserve">NORMATIVA  </w:t>
      </w:r>
      <w:r>
        <w:rPr>
          <w:rFonts w:ascii="Calibri" w:cs="Calibri" w:eastAsia="Calibri" w:hAnsi="Calibri"/>
          <w:b/>
          <w:bCs/>
          <w:i/>
          <w:iCs/>
          <w:color w:val="000000"/>
          <w:sz w:val="19"/>
          <w:szCs w:val="19"/>
        </w:rPr>
        <w:t xml:space="preserve">El sumario sanitario sigue abierto. ¿Su solución tiene algún efecto sobre ese procedimiento en curso?</w:t>
      </w:r>
    </w:p>
    <w:p>
      <w:pPr>
        <w:pBdr>
          <w:left w:val="single" w:color="1F3864" w:sz="10" w:space="8"/>
        </w:pBdr>
        <w:spacing w:after="60" w:line="268"/>
        <w:ind w:left="460"/>
      </w:pPr>
      <w:r>
        <w:rPr>
          <w:rFonts w:ascii="Calibri" w:cs="Calibri" w:eastAsia="Calibri" w:hAnsi="Calibri"/>
          <w:color w:val="333333"/>
          <w:sz w:val="19"/>
          <w:szCs w:val="19"/>
        </w:rPr>
        <w:t xml:space="preserve">Ninguno retroactivo, y no lo ofrecemos. La trazabilidad se construye hacia adelante: el cien por ciento de cobertura de lote rige desde la producción de la Etapa 1. Sobre las recepciones históricas sin lote no deducimos el dato; se migran marcadas y excluidas de la cobertura hacia atrás, y así está declarado.</w:t>
      </w:r>
    </w:p>
    <w:p>
      <w:pPr>
        <w:keepNext/>
        <w:spacing w:after="30" w:before="130" w:line="268"/>
        <w:ind w:left="460" w:hanging="460"/>
      </w:pPr>
      <w:r>
        <w:rPr>
          <w:rFonts w:ascii="Calibri" w:cs="Calibri" w:eastAsia="Calibri" w:hAnsi="Calibri"/>
          <w:b/>
          <w:bCs/>
          <w:color w:val="0D47A1"/>
          <w:sz w:val="15"/>
          <w:szCs w:val="15"/>
        </w:rPr>
        <w:t xml:space="preserve">DISEÑO  </w:t>
      </w:r>
      <w:r>
        <w:rPr>
          <w:rFonts w:ascii="Calibri" w:cs="Calibri" w:eastAsia="Calibri" w:hAnsi="Calibri"/>
          <w:b/>
          <w:bCs/>
          <w:i/>
          <w:iCs/>
          <w:color w:val="000000"/>
          <w:sz w:val="19"/>
          <w:szCs w:val="19"/>
        </w:rPr>
        <w:t xml:space="preserve">Ocho frentes de problema y doce módulos. ¿Cuál es el mapeo, y qué frente queda sin módulo dueño?</w:t>
      </w:r>
    </w:p>
    <w:p>
      <w:pPr>
        <w:pBdr>
          <w:left w:val="single" w:color="1F3864" w:sz="10" w:space="8"/>
        </w:pBdr>
        <w:spacing w:after="60" w:line="268"/>
        <w:ind w:left="460"/>
      </w:pPr>
      <w:r>
        <w:rPr>
          <w:rFonts w:ascii="Calibri" w:cs="Calibri" w:eastAsia="Calibri" w:hAnsi="Calibri"/>
          <w:color w:val="333333"/>
          <w:sz w:val="19"/>
          <w:szCs w:val="19"/>
        </w:rPr>
        <w:t xml:space="preserve">Cada frente tiene módulo dueño y está en la matriz de trazabilidad origen, requerimiento, componente, prueba y criterio de aceptación. El frente que no se resuelve con un módulo sino con integración es el cumplimiento comercial del canal moderno: ahí el dueño es el hub EDI, que mapea cada cadena contra un modelo canónico GS1 y no contra el ERP.</w:t>
      </w:r>
    </w:p>
    <w:p>
      <w:pPr>
        <w:pStyle w:val="Heading2"/>
        <w:keepNext/>
        <w:spacing w:after="20" w:before="340"/>
      </w:pPr>
      <w:r>
        <w:rPr>
          <w:rFonts w:ascii="Calibri" w:cs="Calibri" w:eastAsia="Calibri" w:hAnsi="Calibri"/>
          <w:b/>
          <w:bCs/>
          <w:color w:val="1F3864"/>
          <w:sz w:val="24"/>
          <w:szCs w:val="24"/>
        </w:rPr>
        <w:t xml:space="preserve">Diapositiva 14 · Propuesta</w:t>
      </w:r>
    </w:p>
    <w:p>
      <w:pPr>
        <w:keepNext/>
        <w:pBdr>
          <w:bottom w:val="single" w:color="BFBFBF" w:sz="6" w:space="2"/>
        </w:pBdr>
        <w:spacing w:after="60"/>
      </w:pPr>
      <w:r>
        <w:rPr>
          <w:rFonts w:ascii="Calibri" w:cs="Calibri" w:eastAsia="Calibri" w:hAnsi="Calibri"/>
          <w:color w:val="595959"/>
          <w:sz w:val="16"/>
          <w:szCs w:val="16"/>
        </w:rPr>
        <w:t xml:space="preserve">2 preguntas</w:t>
      </w:r>
    </w:p>
    <w:p>
      <w:pPr>
        <w:keepNext/>
        <w:spacing w:after="30" w:before="130" w:line="268"/>
        <w:ind w:left="460" w:hanging="460"/>
      </w:pPr>
      <w:r>
        <w:rPr>
          <w:rFonts w:ascii="Calibri" w:cs="Calibri" w:eastAsia="Calibri" w:hAnsi="Calibri"/>
          <w:b/>
          <w:bCs/>
          <w:color w:val="BF6000"/>
          <w:sz w:val="15"/>
          <w:szCs w:val="15"/>
        </w:rPr>
        <w:t xml:space="preserve">ALCANCE  </w:t>
      </w:r>
      <w:r>
        <w:rPr>
          <w:rFonts w:ascii="Calibri" w:cs="Calibri" w:eastAsia="Calibri" w:hAnsi="Calibri"/>
          <w:b/>
          <w:bCs/>
          <w:i/>
          <w:iCs/>
          <w:color w:val="000000"/>
          <w:sz w:val="19"/>
          <w:szCs w:val="19"/>
        </w:rPr>
        <w:t xml:space="preserve">Dicen diseño, construcción, implantación y operación. ¿Incluye la operación del ERP y del enlace de datos, o se los deja al CLIENTE?</w:t>
      </w:r>
    </w:p>
    <w:p>
      <w:pPr>
        <w:pBdr>
          <w:left w:val="single" w:color="1F3864" w:sz="10" w:space="8"/>
        </w:pBdr>
        <w:spacing w:after="60" w:line="268"/>
        <w:ind w:left="460"/>
      </w:pPr>
      <w:r>
        <w:rPr>
          <w:rFonts w:ascii="Calibri" w:cs="Calibri" w:eastAsia="Calibri" w:hAnsi="Calibri"/>
          <w:color w:val="333333"/>
          <w:sz w:val="19"/>
          <w:szCs w:val="19"/>
        </w:rPr>
        <w:t xml:space="preserve">No incluye el ERP, que queda fuera de alcance y sigue operado por el CLIENTE, ni los sistemas de los puntos de entrega. Sí incluye la operación de la plataforma, su infraestructura y la mesa de ayuda por cuatro niveles durante los treinta y seis meses. Las exclusiones están enumeradas una por una, con su fundamento.</w:t>
      </w:r>
    </w:p>
    <w:p>
      <w:pPr>
        <w:keepNext/>
        <w:spacing w:after="30" w:before="130" w:line="268"/>
        <w:ind w:left="460" w:hanging="460"/>
      </w:pPr>
      <w:r>
        <w:rPr>
          <w:rFonts w:ascii="Calibri" w:cs="Calibri" w:eastAsia="Calibri" w:hAnsi="Calibri"/>
          <w:b/>
          <w:bCs/>
          <w:color w:val="9C27B0"/>
          <w:sz w:val="15"/>
          <w:szCs w:val="15"/>
        </w:rPr>
        <w:t xml:space="preserve">TRAMPA  </w:t>
      </w:r>
      <w:r>
        <w:rPr>
          <w:rFonts w:ascii="Calibri" w:cs="Calibri" w:eastAsia="Calibri" w:hAnsi="Calibri"/>
          <w:b/>
          <w:bCs/>
          <w:i/>
          <w:iCs/>
          <w:color w:val="000000"/>
          <w:sz w:val="19"/>
          <w:szCs w:val="19"/>
        </w:rPr>
        <w:t xml:space="preserve">«Plataforma integral» suele significar que si una pieza se atrasa, se atrasa todo. ¿Cuál es la dependencia crítica de su plan?</w:t>
      </w:r>
    </w:p>
    <w:p>
      <w:pPr>
        <w:pBdr>
          <w:left w:val="single" w:color="1F3864" w:sz="10" w:space="8"/>
        </w:pBdr>
        <w:spacing w:after="60" w:line="268"/>
        <w:ind w:left="460"/>
      </w:pPr>
      <w:r>
        <w:rPr>
          <w:rFonts w:ascii="Calibri" w:cs="Calibri" w:eastAsia="Calibri" w:hAnsi="Calibri"/>
          <w:color w:val="333333"/>
          <w:sz w:val="19"/>
          <w:szCs w:val="19"/>
        </w:rPr>
        <w:t xml:space="preserve">La integración con el ERP por capa anticorrupción, porque el ERP de 2017 no tiene documentación de interfaces. Por eso la frontera es única y el conocimiento del legado queda concentrado en un componente y no disperso en doce módulos: si se atrasa el descubrimiento, se atrasa un componente, no la plataforma.</w:t>
      </w:r>
    </w:p>
    <w:p>
      <w:pPr>
        <w:pStyle w:val="Heading2"/>
        <w:keepNext/>
        <w:spacing w:after="20" w:before="340"/>
      </w:pPr>
      <w:r>
        <w:rPr>
          <w:rFonts w:ascii="Calibri" w:cs="Calibri" w:eastAsia="Calibri" w:hAnsi="Calibri"/>
          <w:b/>
          <w:bCs/>
          <w:color w:val="1F3864"/>
          <w:sz w:val="24"/>
          <w:szCs w:val="24"/>
        </w:rPr>
        <w:t xml:space="preserve">Diapositiva 15 · Objetivo</w:t>
      </w:r>
    </w:p>
    <w:p>
      <w:pPr>
        <w:keepNext/>
        <w:pBdr>
          <w:bottom w:val="single" w:color="BFBFBF" w:sz="6" w:space="2"/>
        </w:pBdr>
        <w:spacing w:after="60"/>
      </w:pPr>
      <w:r>
        <w:rPr>
          <w:rFonts w:ascii="Calibri" w:cs="Calibri" w:eastAsia="Calibri" w:hAnsi="Calibri"/>
          <w:color w:val="595959"/>
          <w:sz w:val="16"/>
          <w:szCs w:val="16"/>
        </w:rPr>
        <w:t xml:space="preserve">4 preguntas</w:t>
      </w:r>
    </w:p>
    <w:p>
      <w:pPr>
        <w:keepNext/>
        <w:spacing w:after="30" w:before="130" w:line="268"/>
        <w:ind w:left="460" w:hanging="460"/>
      </w:pPr>
      <w:r>
        <w:rPr>
          <w:rFonts w:ascii="Calibri" w:cs="Calibri" w:eastAsia="Calibri" w:hAnsi="Calibri"/>
          <w:b/>
          <w:bCs/>
          <w:color w:val="B00020"/>
          <w:sz w:val="15"/>
          <w:szCs w:val="15"/>
        </w:rPr>
        <w:t xml:space="preserve">CONTRADICCIÓN  </w:t>
      </w:r>
      <w:r>
        <w:rPr>
          <w:rFonts w:ascii="Calibri" w:cs="Calibri" w:eastAsia="Calibri" w:hAnsi="Calibri"/>
          <w:b/>
          <w:bCs/>
          <w:i/>
          <w:iCs/>
          <w:color w:val="000000"/>
          <w:sz w:val="19"/>
          <w:szCs w:val="19"/>
        </w:rPr>
        <w:t xml:space="preserve">La lámina dice «trazabilidad de lote en horas». El criterio del caso dice menos de dos horas. ¿Cuál comprometen?</w:t>
      </w:r>
    </w:p>
    <w:p>
      <w:pPr>
        <w:pBdr>
          <w:left w:val="single" w:color="1F3864" w:sz="10" w:space="8"/>
        </w:pBdr>
        <w:spacing w:after="60" w:line="268"/>
        <w:ind w:left="460"/>
      </w:pPr>
      <w:r>
        <w:rPr>
          <w:rFonts w:ascii="Calibri" w:cs="Calibri" w:eastAsia="Calibri" w:hAnsi="Calibri"/>
          <w:color w:val="333333"/>
          <w:sz w:val="19"/>
          <w:szCs w:val="19"/>
        </w:rPr>
        <w:t xml:space="preserve">Menos de dos horas, con evidencia sobre el cien por ciento del lote, desde la producción de la Etapa 1: es el resultado R18-01 y se verifica con un ejercicio de trazabilidad hacia adelante y hacia atrás sobre los eventos EPCIS. La redacción de la lámina es imprecisa y se corrige.</w:t>
      </w:r>
    </w:p>
    <w:p>
      <w:pPr>
        <w:keepNext/>
        <w:spacing w:after="30" w:before="130" w:line="268"/>
        <w:ind w:left="460" w:hanging="460"/>
      </w:pPr>
      <w:r>
        <w:rPr>
          <w:rFonts w:ascii="Calibri" w:cs="Calibri" w:eastAsia="Calibri" w:hAnsi="Calibri"/>
          <w:b/>
          <w:bCs/>
          <w:color w:val="00695C"/>
          <w:sz w:val="15"/>
          <w:szCs w:val="15"/>
        </w:rPr>
        <w:t xml:space="preserve">CIFRA  </w:t>
      </w:r>
      <w:r>
        <w:rPr>
          <w:rFonts w:ascii="Calibri" w:cs="Calibri" w:eastAsia="Calibri" w:hAnsi="Calibri"/>
          <w:b/>
          <w:bCs/>
          <w:i/>
          <w:iCs/>
          <w:color w:val="000000"/>
          <w:sz w:val="19"/>
          <w:szCs w:val="19"/>
        </w:rPr>
        <w:t xml:space="preserve">El caso pide OTIF sobre noventa y cinco por ciento. Su tabla compromete noventa al cierre de la Etapa 1 y noventa y cinco recién en régimen. ¿Están rebajando la meta?</w:t>
      </w:r>
    </w:p>
    <w:p>
      <w:pPr>
        <w:pBdr>
          <w:left w:val="single" w:color="1F3864" w:sz="10" w:space="8"/>
        </w:pBdr>
        <w:spacing w:after="60" w:line="268"/>
        <w:ind w:left="460"/>
      </w:pPr>
      <w:r>
        <w:rPr>
          <w:rFonts w:ascii="Calibri" w:cs="Calibri" w:eastAsia="Calibri" w:hAnsi="Calibri"/>
          <w:color w:val="333333"/>
          <w:sz w:val="19"/>
          <w:szCs w:val="19"/>
        </w:rPr>
        <w:t xml:space="preserve">No la rebajamos: la escalonamos y lo declaramos. Noventa al cierre de la Etapa 1, noventa y tres al mes doce de operación y noventa y cinco en régimen. Pasar de ochenta y dos coma cuatro a noventa y cinco el día de la puesta en producción no sería un compromiso, sería una promesa sin sustento operacional. La curva está en la tabla del Capítulo 18 con su momento y su medición.</w:t>
      </w:r>
    </w:p>
    <w:p>
      <w:pPr>
        <w:keepNext/>
        <w:spacing w:after="30" w:before="130" w:line="268"/>
        <w:ind w:left="460" w:hanging="460"/>
      </w:pPr>
      <w:r>
        <w:rPr>
          <w:rFonts w:ascii="Calibri" w:cs="Calibri" w:eastAsia="Calibri" w:hAnsi="Calibri"/>
          <w:b/>
          <w:bCs/>
          <w:color w:val="9C27B0"/>
          <w:sz w:val="15"/>
          <w:szCs w:val="15"/>
        </w:rPr>
        <w:t xml:space="preserve">TRAMPA  </w:t>
      </w:r>
      <w:r>
        <w:rPr>
          <w:rFonts w:ascii="Calibri" w:cs="Calibri" w:eastAsia="Calibri" w:hAnsi="Calibri"/>
          <w:b/>
          <w:bCs/>
          <w:i/>
          <w:iCs/>
          <w:color w:val="000000"/>
          <w:sz w:val="19"/>
          <w:szCs w:val="19"/>
        </w:rPr>
        <w:t xml:space="preserve">Su regla RNG-09 dice que una entrega parcial no cuenta como cumplida. Con esa definición, el OTIF actual de ochenta y dos coma cuatro probablemente sea más bajo. ¿Van a medir peor de lo que hoy dice el cliente?</w:t>
      </w:r>
    </w:p>
    <w:p>
      <w:pPr>
        <w:pBdr>
          <w:left w:val="single" w:color="1F3864" w:sz="10" w:space="8"/>
        </w:pBdr>
        <w:spacing w:after="60" w:line="268"/>
        <w:ind w:left="460"/>
      </w:pPr>
      <w:r>
        <w:rPr>
          <w:rFonts w:ascii="Calibri" w:cs="Calibri" w:eastAsia="Calibri" w:hAnsi="Calibri"/>
          <w:color w:val="333333"/>
          <w:sz w:val="19"/>
          <w:szCs w:val="19"/>
        </w:rPr>
        <w:t xml:space="preserve">Es posible, y lo asumimos. La definición unívoca de entrega cumplida es la decisión 16.1 número uno y sin ella la meta no es verificable. Si al aplicar la definición estricta la línea base baja, eso es un hallazgo del proyecto, no un fracaso; lo que no se puede es comparar contra una base que nadie sabe cómo se calculó.</w:t>
      </w:r>
    </w:p>
    <w:p>
      <w:pPr>
        <w:keepNext/>
        <w:spacing w:after="30" w:before="130" w:line="268"/>
        <w:ind w:left="460" w:hanging="460"/>
      </w:pPr>
      <w:r>
        <w:rPr>
          <w:rFonts w:ascii="Calibri" w:cs="Calibri" w:eastAsia="Calibri" w:hAnsi="Calibri"/>
          <w:b/>
          <w:bCs/>
          <w:color w:val="0D47A1"/>
          <w:sz w:val="15"/>
          <w:szCs w:val="15"/>
        </w:rPr>
        <w:t xml:space="preserve">DISEÑO  </w:t>
      </w:r>
      <w:r>
        <w:rPr>
          <w:rFonts w:ascii="Calibri" w:cs="Calibri" w:eastAsia="Calibri" w:hAnsi="Calibri"/>
          <w:b/>
          <w:bCs/>
          <w:i/>
          <w:iCs/>
          <w:color w:val="000000"/>
          <w:sz w:val="19"/>
          <w:szCs w:val="19"/>
        </w:rPr>
        <w:t xml:space="preserve">«Cero descuadres» es un absoluto. ¿Qué pasa el día que un descuadre no tiene causal en la lista?</w:t>
      </w:r>
    </w:p>
    <w:p>
      <w:pPr>
        <w:pBdr>
          <w:left w:val="single" w:color="1F3864" w:sz="10" w:space="8"/>
        </w:pBdr>
        <w:spacing w:after="60" w:line="268"/>
        <w:ind w:left="460"/>
      </w:pPr>
      <w:r>
        <w:rPr>
          <w:rFonts w:ascii="Calibri" w:cs="Calibri" w:eastAsia="Calibri" w:hAnsi="Calibri"/>
          <w:color w:val="333333"/>
          <w:sz w:val="19"/>
          <w:szCs w:val="19"/>
        </w:rPr>
        <w:t xml:space="preserve">El cierre se bloquea. La causal es obligatoria y tipificada; si ninguna aplica, la rendición no cierra y escala como excepción a tesorería. Cero descuadres significa cero descuadres sin explicación, no cero diferencias: una diferencia explicada y registrada es un dato, no un descuadre.</w:t>
      </w:r>
    </w:p>
    <w:p>
      <w:pPr>
        <w:pStyle w:val="Heading2"/>
        <w:keepNext/>
        <w:spacing w:after="20" w:before="340"/>
      </w:pPr>
      <w:r>
        <w:rPr>
          <w:rFonts w:ascii="Calibri" w:cs="Calibri" w:eastAsia="Calibri" w:hAnsi="Calibri"/>
          <w:b/>
          <w:bCs/>
          <w:color w:val="1F3864"/>
          <w:sz w:val="24"/>
          <w:szCs w:val="24"/>
        </w:rPr>
        <w:t xml:space="preserve">Diapositiva 16 · Áreas de mejora</w:t>
      </w:r>
    </w:p>
    <w:p>
      <w:pPr>
        <w:keepNext/>
        <w:pBdr>
          <w:bottom w:val="single" w:color="BFBFBF" w:sz="6" w:space="2"/>
        </w:pBdr>
        <w:spacing w:after="60"/>
      </w:pPr>
      <w:r>
        <w:rPr>
          <w:rFonts w:ascii="Calibri" w:cs="Calibri" w:eastAsia="Calibri" w:hAnsi="Calibri"/>
          <w:color w:val="595959"/>
          <w:sz w:val="16"/>
          <w:szCs w:val="16"/>
        </w:rPr>
        <w:t xml:space="preserve">4 preguntas</w:t>
      </w:r>
    </w:p>
    <w:p>
      <w:pPr>
        <w:keepNext/>
        <w:spacing w:after="30" w:before="130" w:line="268"/>
        <w:ind w:left="460" w:hanging="460"/>
      </w:pPr>
      <w:r>
        <w:rPr>
          <w:rFonts w:ascii="Calibri" w:cs="Calibri" w:eastAsia="Calibri" w:hAnsi="Calibri"/>
          <w:b/>
          <w:bCs/>
          <w:color w:val="1F3864"/>
          <w:sz w:val="15"/>
          <w:szCs w:val="15"/>
        </w:rPr>
        <w:t xml:space="preserve">NORMATIVA  </w:t>
      </w:r>
      <w:r>
        <w:rPr>
          <w:rFonts w:ascii="Calibri" w:cs="Calibri" w:eastAsia="Calibri" w:hAnsi="Calibri"/>
          <w:b/>
          <w:bCs/>
          <w:i/>
          <w:iCs/>
          <w:color w:val="000000"/>
          <w:sz w:val="19"/>
          <w:szCs w:val="19"/>
        </w:rPr>
        <w:t xml:space="preserve">¿Por qué EPCIS 1.2 y no EPCIS 2.0, que es la versión vigente con soporte REST y JSON-LD?</w:t>
      </w:r>
    </w:p>
    <w:p>
      <w:pPr>
        <w:pBdr>
          <w:left w:val="single" w:color="1F3864" w:sz="10" w:space="8"/>
        </w:pBdr>
        <w:spacing w:after="60" w:line="268"/>
        <w:ind w:left="460"/>
      </w:pPr>
      <w:r>
        <w:rPr>
          <w:rFonts w:ascii="Calibri" w:cs="Calibri" w:eastAsia="Calibri" w:hAnsi="Calibri"/>
          <w:color w:val="333333"/>
          <w:sz w:val="19"/>
          <w:szCs w:val="19"/>
        </w:rPr>
        <w:t xml:space="preserve">Declaramos EPCIS 1.2 por madurez de adopción en la cadena local y compatibilidad con lo que hoy intercambian las contrapartes. Es una decisión revisable: la arquitectura de eventos no cambia con la versión, cambia la serialización y el transporte. Si el CLIENTE o sus proveedores exigen 2.0, entra por configuración del hub, no por rediseño. Lo registramos como punto a confirmar.</w:t>
      </w:r>
    </w:p>
    <w:p>
      <w:pPr>
        <w:keepNext/>
        <w:spacing w:after="30" w:before="130" w:line="268"/>
        <w:ind w:left="460" w:hanging="460"/>
      </w:pPr>
      <w:r>
        <w:rPr>
          <w:rFonts w:ascii="Calibri" w:cs="Calibri" w:eastAsia="Calibri" w:hAnsi="Calibri"/>
          <w:b/>
          <w:bCs/>
          <w:color w:val="0D47A1"/>
          <w:sz w:val="15"/>
          <w:szCs w:val="15"/>
        </w:rPr>
        <w:t xml:space="preserve">DISEÑO  </w:t>
      </w:r>
      <w:r>
        <w:rPr>
          <w:rFonts w:ascii="Calibri" w:cs="Calibri" w:eastAsia="Calibri" w:hAnsi="Calibri"/>
          <w:b/>
          <w:bCs/>
          <w:i/>
          <w:iCs/>
          <w:color w:val="000000"/>
          <w:sz w:val="19"/>
          <w:szCs w:val="19"/>
        </w:rPr>
        <w:t xml:space="preserve">El registro continuo de temperatura depende de dataloggers sin SIM que vuelcan por BLE. Si el camión no vuelve al centro de distribución en tres días, ¿la autoridad ve la curva o no?</w:t>
      </w:r>
    </w:p>
    <w:p>
      <w:pPr>
        <w:pBdr>
          <w:left w:val="single" w:color="1F3864" w:sz="10" w:space="8"/>
        </w:pBdr>
        <w:spacing w:after="60" w:line="268"/>
        <w:ind w:left="460"/>
      </w:pPr>
      <w:r>
        <w:rPr>
          <w:rFonts w:ascii="Calibri" w:cs="Calibri" w:eastAsia="Calibri" w:hAnsi="Calibri"/>
          <w:color w:val="333333"/>
          <w:sz w:val="19"/>
          <w:szCs w:val="19"/>
        </w:rPr>
        <w:t xml:space="preserve">No la ve hasta el volcado. Ese es el compromiso explícito de la decisión: elegimos memoria interna con volcado por proximidad en vez de telemetría con SIM por costo y por cobertura rural. La consecuencia es que la curva es completa pero diferida. La detección de excursión, en cambio, ocurre en el borde y bloquea localmente, sin esperar el volcado.</w:t>
      </w:r>
    </w:p>
    <w:p>
      <w:pPr>
        <w:keepNext/>
        <w:spacing w:after="30" w:before="130" w:line="268"/>
        <w:ind w:left="460" w:hanging="460"/>
      </w:pPr>
      <w:r>
        <w:rPr>
          <w:rFonts w:ascii="Calibri" w:cs="Calibri" w:eastAsia="Calibri" w:hAnsi="Calibri"/>
          <w:b/>
          <w:bCs/>
          <w:color w:val="9C27B0"/>
          <w:sz w:val="15"/>
          <w:szCs w:val="15"/>
        </w:rPr>
        <w:t xml:space="preserve">TRAMPA  </w:t>
      </w:r>
      <w:r>
        <w:rPr>
          <w:rFonts w:ascii="Calibri" w:cs="Calibri" w:eastAsia="Calibri" w:hAnsi="Calibri"/>
          <w:b/>
          <w:bCs/>
          <w:i/>
          <w:iCs/>
          <w:color w:val="000000"/>
          <w:sz w:val="19"/>
          <w:szCs w:val="19"/>
        </w:rPr>
        <w:t xml:space="preserve">Entonces pueden detectar una excursión después de que el producto ya se entregó y se consumió.</w:t>
      </w:r>
    </w:p>
    <w:p>
      <w:pPr>
        <w:pBdr>
          <w:left w:val="single" w:color="1F3864" w:sz="10" w:space="8"/>
        </w:pBdr>
        <w:spacing w:after="60" w:line="268"/>
        <w:ind w:left="460"/>
      </w:pPr>
      <w:r>
        <w:rPr>
          <w:rFonts w:ascii="Calibri" w:cs="Calibri" w:eastAsia="Calibri" w:hAnsi="Calibri"/>
          <w:color w:val="333333"/>
          <w:sz w:val="19"/>
          <w:szCs w:val="19"/>
        </w:rPr>
        <w:t xml:space="preserve">En el camión con equipo de frío la detección es local y en el momento; el volcado diferido es para la curva histórica completa, no para la alerta. Lo que sí es cierto es que la regla de qué constituye excursión, quién decide y si el sistema bloquea el despacho no existe hoy en Puelche: es la decisión 16.1 número cuatro, y sin esa regla escrita cualquier alerta es inoperable. La proponemos, no la damos por hecha.</w:t>
      </w:r>
    </w:p>
    <w:p>
      <w:pPr>
        <w:keepNext/>
        <w:spacing w:after="30" w:before="130" w:line="268"/>
        <w:ind w:left="460" w:hanging="460"/>
      </w:pPr>
      <w:r>
        <w:rPr>
          <w:rFonts w:ascii="Calibri" w:cs="Calibri" w:eastAsia="Calibri" w:hAnsi="Calibri"/>
          <w:b/>
          <w:bCs/>
          <w:color w:val="00695C"/>
          <w:sz w:val="15"/>
          <w:szCs w:val="15"/>
        </w:rPr>
        <w:t xml:space="preserve">CIFRA  </w:t>
      </w:r>
      <w:r>
        <w:rPr>
          <w:rFonts w:ascii="Calibri" w:cs="Calibri" w:eastAsia="Calibri" w:hAnsi="Calibri"/>
          <w:b/>
          <w:bCs/>
          <w:i/>
          <w:iCs/>
          <w:color w:val="000000"/>
          <w:sz w:val="19"/>
          <w:szCs w:val="19"/>
        </w:rPr>
        <w:t xml:space="preserve">Declaran veintiocho sensores y dieciocho termógrafos. Tienen cuarenta y dos camiones propios y dos cámaras principales. ¿Dieciocho termógrafos para cuarenta y dos camiones?</w:t>
      </w:r>
    </w:p>
    <w:p>
      <w:pPr>
        <w:pBdr>
          <w:left w:val="single" w:color="1F3864" w:sz="10" w:space="8"/>
        </w:pBdr>
        <w:spacing w:after="60" w:line="268"/>
        <w:ind w:left="460"/>
      </w:pPr>
      <w:r>
        <w:rPr>
          <w:rFonts w:ascii="Calibri" w:cs="Calibri" w:eastAsia="Calibri" w:hAnsi="Calibri"/>
          <w:color w:val="333333"/>
          <w:sz w:val="19"/>
          <w:szCs w:val="19"/>
        </w:rPr>
        <w:t xml:space="preserve">Los dieciocho corresponden a los vehículos con equipo de frío, que son un subconjunto de la flota propia, no a los cuarenta y dos. Los camiones de transportistas externos son un caso aparte y su equipamiento es materia contractual con esas diez empresas. Es una de las cifras que conviene explicitar mejor en el informe, y la anotamos.</w:t>
      </w:r>
    </w:p>
    <w:p>
      <w:pPr>
        <w:pStyle w:val="Heading2"/>
        <w:keepNext/>
        <w:spacing w:after="20" w:before="340"/>
      </w:pPr>
      <w:r>
        <w:rPr>
          <w:rFonts w:ascii="Calibri" w:cs="Calibri" w:eastAsia="Calibri" w:hAnsi="Calibri"/>
          <w:b/>
          <w:bCs/>
          <w:color w:val="1F3864"/>
          <w:sz w:val="24"/>
          <w:szCs w:val="24"/>
        </w:rPr>
        <w:t xml:space="preserve">Diapositiva 17 · Etapa 1</w:t>
      </w:r>
    </w:p>
    <w:p>
      <w:pPr>
        <w:keepNext/>
        <w:pBdr>
          <w:bottom w:val="single" w:color="BFBFBF" w:sz="6" w:space="2"/>
        </w:pBdr>
        <w:spacing w:after="60"/>
      </w:pPr>
      <w:r>
        <w:rPr>
          <w:rFonts w:ascii="Calibri" w:cs="Calibri" w:eastAsia="Calibri" w:hAnsi="Calibri"/>
          <w:color w:val="595959"/>
          <w:sz w:val="16"/>
          <w:szCs w:val="16"/>
        </w:rPr>
        <w:t xml:space="preserve">4 preguntas</w:t>
      </w:r>
    </w:p>
    <w:p>
      <w:pPr>
        <w:keepNext/>
        <w:spacing w:after="30" w:before="130" w:line="268"/>
        <w:ind w:left="460" w:hanging="460"/>
      </w:pPr>
      <w:r>
        <w:rPr>
          <w:rFonts w:ascii="Calibri" w:cs="Calibri" w:eastAsia="Calibri" w:hAnsi="Calibri"/>
          <w:b/>
          <w:bCs/>
          <w:color w:val="B00020"/>
          <w:sz w:val="15"/>
          <w:szCs w:val="15"/>
        </w:rPr>
        <w:t xml:space="preserve">CONTRADICCIÓN  </w:t>
      </w:r>
      <w:r>
        <w:rPr>
          <w:rFonts w:ascii="Calibri" w:cs="Calibri" w:eastAsia="Calibri" w:hAnsi="Calibri"/>
          <w:b/>
          <w:bCs/>
          <w:i/>
          <w:iCs/>
          <w:color w:val="000000"/>
          <w:sz w:val="19"/>
          <w:szCs w:val="19"/>
        </w:rPr>
        <w:t xml:space="preserve">El Art. 24 enumera cuatro ambientes y las transversales cinco más recuperación ante desastres. Ustedes dicen cinco más DR, pero en el Subdocumento 3 enumeran cuatro nombres y el DR. ¿Cuántos van a construir y cuánto cuestan?</w:t>
      </w:r>
    </w:p>
    <w:p>
      <w:pPr>
        <w:pBdr>
          <w:left w:val="single" w:color="1F3864" w:sz="10" w:space="8"/>
        </w:pBdr>
        <w:spacing w:after="60" w:line="268"/>
        <w:ind w:left="460"/>
      </w:pPr>
      <w:r>
        <w:rPr>
          <w:rFonts w:ascii="Calibri" w:cs="Calibri" w:eastAsia="Calibri" w:hAnsi="Calibri"/>
          <w:color w:val="333333"/>
          <w:sz w:val="19"/>
          <w:szCs w:val="19"/>
        </w:rPr>
        <w:t xml:space="preserve">Construimos seis: DEV, QA, STG o preproducción, PROD, un ambiente de entrenamiento y el de recuperación ante desastres. La enumeración del Subdocumento 3 está mal contada y se corrige en el Informe 2. El costo está en la oferta económica, que es sobre cerrada y no corresponde a esta instancia.</w:t>
      </w:r>
    </w:p>
    <w:p>
      <w:pPr>
        <w:keepNext/>
        <w:spacing w:after="30" w:before="130" w:line="268"/>
        <w:ind w:left="460" w:hanging="460"/>
      </w:pPr>
      <w:r>
        <w:rPr>
          <w:rFonts w:ascii="Calibri" w:cs="Calibri" w:eastAsia="Calibri" w:hAnsi="Calibri"/>
          <w:b/>
          <w:bCs/>
          <w:color w:val="0D47A1"/>
          <w:sz w:val="15"/>
          <w:szCs w:val="15"/>
        </w:rPr>
        <w:t xml:space="preserve">DISEÑO  </w:t>
      </w:r>
      <w:r>
        <w:rPr>
          <w:rFonts w:ascii="Calibri" w:cs="Calibri" w:eastAsia="Calibri" w:hAnsi="Calibri"/>
          <w:b/>
          <w:bCs/>
          <w:i/>
          <w:iCs/>
          <w:color w:val="000000"/>
          <w:sz w:val="19"/>
          <w:szCs w:val="19"/>
        </w:rPr>
        <w:t xml:space="preserve">Reemplazar el WMS de 2013 y hacer marcha blanca por olas significa que dos sistemas de bodega conviven en el mismo sitio. ¿Quién es el maestro de stock durante la coexistencia?</w:t>
      </w:r>
    </w:p>
    <w:p>
      <w:pPr>
        <w:pBdr>
          <w:left w:val="single" w:color="1F3864" w:sz="10" w:space="8"/>
        </w:pBdr>
        <w:spacing w:after="60" w:line="268"/>
        <w:ind w:left="460"/>
      </w:pPr>
      <w:r>
        <w:rPr>
          <w:rFonts w:ascii="Calibri" w:cs="Calibri" w:eastAsia="Calibri" w:hAnsi="Calibri"/>
          <w:color w:val="333333"/>
          <w:sz w:val="19"/>
          <w:szCs w:val="19"/>
        </w:rPr>
        <w:t xml:space="preserve">El sitio tiene un solo maestro en todo momento: la ola conmuta la capacidad completa de ese sitio, no la parte. El legado queda detrás de la misma capa anticorrupción con una tabla de capacidad absorbida que se vacía ola a ola, con estrategia azul-verde y plan de reversión. No hay un período con dos maestros escribiendo sobre el mismo stock.</w:t>
      </w:r>
    </w:p>
    <w:p>
      <w:pPr>
        <w:keepNext/>
        <w:spacing w:after="30" w:before="130" w:line="268"/>
        <w:ind w:left="460" w:hanging="460"/>
      </w:pPr>
      <w:r>
        <w:rPr>
          <w:rFonts w:ascii="Calibri" w:cs="Calibri" w:eastAsia="Calibri" w:hAnsi="Calibri"/>
          <w:b/>
          <w:bCs/>
          <w:color w:val="9C27B0"/>
          <w:sz w:val="15"/>
          <w:szCs w:val="15"/>
        </w:rPr>
        <w:t xml:space="preserve">TRAMPA  </w:t>
      </w:r>
      <w:r>
        <w:rPr>
          <w:rFonts w:ascii="Calibri" w:cs="Calibri" w:eastAsia="Calibri" w:hAnsi="Calibri"/>
          <w:b/>
          <w:bCs/>
          <w:i/>
          <w:iCs/>
          <w:color w:val="000000"/>
          <w:sz w:val="19"/>
          <w:szCs w:val="19"/>
        </w:rPr>
        <w:t xml:space="preserve">Si el ruteo se adelanta a la Etapa 1 pero la telemetría va en la Etapa 2, su motor va a optimizar sin saber dónde están los camiones durante cinco años de contrato menos veintiún meses. ¿No es ruteo a ciegas?</w:t>
      </w:r>
    </w:p>
    <w:p>
      <w:pPr>
        <w:pBdr>
          <w:left w:val="single" w:color="1F3864" w:sz="10" w:space="8"/>
        </w:pBdr>
        <w:spacing w:after="60" w:line="268"/>
        <w:ind w:left="460"/>
      </w:pPr>
      <w:r>
        <w:rPr>
          <w:rFonts w:ascii="Calibri" w:cs="Calibri" w:eastAsia="Calibri" w:hAnsi="Calibri"/>
          <w:color w:val="333333"/>
          <w:sz w:val="19"/>
          <w:szCs w:val="19"/>
        </w:rPr>
        <w:t xml:space="preserve">El ruteo es planificación previa, no despacho dinámico: asigna y secuencia con capacidades, ventanas y cadena de frío antes de que el camión salga, y eso no requiere telemetría. Lo que la telemetría agrega en Etapa 2 es la comparación entre ruta planificada y real, las geocercas y la alerta de desviación, que alimentan el costo por entrega. Son dos capacidades distintas y el orden es deliberado.</w:t>
      </w:r>
    </w:p>
    <w:p>
      <w:pPr>
        <w:keepNext/>
        <w:spacing w:after="30" w:before="130" w:line="268"/>
        <w:ind w:left="460" w:hanging="460"/>
      </w:pPr>
      <w:r>
        <w:rPr>
          <w:rFonts w:ascii="Calibri" w:cs="Calibri" w:eastAsia="Calibri" w:hAnsi="Calibri"/>
          <w:b/>
          <w:bCs/>
          <w:color w:val="BF6000"/>
          <w:sz w:val="15"/>
          <w:szCs w:val="15"/>
        </w:rPr>
        <w:t xml:space="preserve">ALCANCE  </w:t>
      </w:r>
      <w:r>
        <w:rPr>
          <w:rFonts w:ascii="Calibri" w:cs="Calibri" w:eastAsia="Calibri" w:hAnsi="Calibri"/>
          <w:b/>
          <w:bCs/>
          <w:i/>
          <w:iCs/>
          <w:color w:val="000000"/>
          <w:sz w:val="19"/>
          <w:szCs w:val="19"/>
        </w:rPr>
        <w:t xml:space="preserve">La producción es en el mes dieciséis, pero el congelamiento de septiembre dura tres semanas. ¿Qué pasa si el mes dieciséis cae en septiembre?</w:t>
      </w:r>
    </w:p>
    <w:p>
      <w:pPr>
        <w:pBdr>
          <w:left w:val="single" w:color="1F3864" w:sz="10" w:space="8"/>
        </w:pBdr>
        <w:spacing w:after="60" w:line="268"/>
        <w:ind w:left="460"/>
      </w:pPr>
      <w:r>
        <w:rPr>
          <w:rFonts w:ascii="Calibri" w:cs="Calibri" w:eastAsia="Calibri" w:hAnsi="Calibri"/>
          <w:color w:val="333333"/>
          <w:sz w:val="19"/>
          <w:szCs w:val="19"/>
        </w:rPr>
        <w:t xml:space="preserve">Es exactamente el tipo de colisión que el plan de trabajo debe resolver, y corresponde al Informe 2 con el cronograma calendarizado. Lo que está fijo por bases es la secuencia en meses; el calendario concreto y sus ventanas de congelamiento se cruzan ahí. No lo improviso aquí.</w:t>
      </w:r>
    </w:p>
    <w:p>
      <w:pPr>
        <w:pStyle w:val="Heading2"/>
        <w:keepNext/>
        <w:spacing w:after="20" w:before="340"/>
      </w:pPr>
      <w:r>
        <w:rPr>
          <w:rFonts w:ascii="Calibri" w:cs="Calibri" w:eastAsia="Calibri" w:hAnsi="Calibri"/>
          <w:b/>
          <w:bCs/>
          <w:color w:val="1F3864"/>
          <w:sz w:val="24"/>
          <w:szCs w:val="24"/>
        </w:rPr>
        <w:t xml:space="preserve">Diapositiva 18 · Etapa 2</w:t>
      </w:r>
    </w:p>
    <w:p>
      <w:pPr>
        <w:keepNext/>
        <w:pBdr>
          <w:bottom w:val="single" w:color="BFBFBF" w:sz="6" w:space="2"/>
        </w:pBdr>
        <w:spacing w:after="60"/>
      </w:pPr>
      <w:r>
        <w:rPr>
          <w:rFonts w:ascii="Calibri" w:cs="Calibri" w:eastAsia="Calibri" w:hAnsi="Calibri"/>
          <w:color w:val="595959"/>
          <w:sz w:val="16"/>
          <w:szCs w:val="16"/>
        </w:rPr>
        <w:t xml:space="preserve">4 preguntas</w:t>
      </w:r>
    </w:p>
    <w:p>
      <w:pPr>
        <w:keepNext/>
        <w:spacing w:after="30" w:before="130" w:line="268"/>
        <w:ind w:left="460" w:hanging="460"/>
      </w:pPr>
      <w:r>
        <w:rPr>
          <w:rFonts w:ascii="Calibri" w:cs="Calibri" w:eastAsia="Calibri" w:hAnsi="Calibri"/>
          <w:b/>
          <w:bCs/>
          <w:color w:val="1F3864"/>
          <w:sz w:val="15"/>
          <w:szCs w:val="15"/>
        </w:rPr>
        <w:t xml:space="preserve">NORMATIVA  </w:t>
      </w:r>
      <w:r>
        <w:rPr>
          <w:rFonts w:ascii="Calibri" w:cs="Calibri" w:eastAsia="Calibri" w:hAnsi="Calibri"/>
          <w:b/>
          <w:bCs/>
          <w:i/>
          <w:iCs/>
          <w:color w:val="000000"/>
          <w:sz w:val="19"/>
          <w:szCs w:val="19"/>
        </w:rPr>
        <w:t xml:space="preserve">La cadena exige pedido electrónico estructurado desde enero de 2029. ¿Qué mensajes concretos, en qué formato y a través de qué intermediario?</w:t>
      </w:r>
    </w:p>
    <w:p>
      <w:pPr>
        <w:pBdr>
          <w:left w:val="single" w:color="1F3864" w:sz="10" w:space="8"/>
        </w:pBdr>
        <w:spacing w:after="60" w:line="268"/>
        <w:ind w:left="460"/>
      </w:pPr>
      <w:r>
        <w:rPr>
          <w:rFonts w:ascii="Calibri" w:cs="Calibri" w:eastAsia="Calibri" w:hAnsi="Calibri"/>
          <w:color w:val="333333"/>
          <w:sz w:val="19"/>
          <w:szCs w:val="19"/>
        </w:rPr>
        <w:t xml:space="preserve">Trabajamos contra un modelo canónico GS1 en el hub —EANCOM y GS1 XML— con transporte AS2, y cada cadena entra como perfil de configuración con sus equivalencias de código, no como desarrollo nuevo. El conjunto exacto de mensajes y el intermediario los fija cada cadena: el perfil se prueba contra su banco de pruebas antes de producción. Es una de las materias de investigación que el caso manda levantar.</w:t>
      </w:r>
    </w:p>
    <w:p>
      <w:pPr>
        <w:keepNext/>
        <w:spacing w:after="30" w:before="130" w:line="268"/>
        <w:ind w:left="460" w:hanging="460"/>
      </w:pPr>
      <w:r>
        <w:rPr>
          <w:rFonts w:ascii="Calibri" w:cs="Calibri" w:eastAsia="Calibri" w:hAnsi="Calibri"/>
          <w:b/>
          <w:bCs/>
          <w:color w:val="9C27B0"/>
          <w:sz w:val="15"/>
          <w:szCs w:val="15"/>
        </w:rPr>
        <w:t xml:space="preserve">TRAMPA  </w:t>
      </w:r>
      <w:r>
        <w:rPr>
          <w:rFonts w:ascii="Calibri" w:cs="Calibri" w:eastAsia="Calibri" w:hAnsi="Calibri"/>
          <w:b/>
          <w:bCs/>
          <w:i/>
          <w:iCs/>
          <w:color w:val="000000"/>
          <w:sz w:val="19"/>
          <w:szCs w:val="19"/>
        </w:rPr>
        <w:t xml:space="preserve">La ventana de treinta minutos con penalización se cumple o no se cumple. ¿Qué componente de su arquitectura garantiza llegar en treinta minutos, si el tráfico no lo controlan ustedes?</w:t>
      </w:r>
    </w:p>
    <w:p>
      <w:pPr>
        <w:pBdr>
          <w:left w:val="single" w:color="1F3864" w:sz="10" w:space="8"/>
        </w:pBdr>
        <w:spacing w:after="60" w:line="268"/>
        <w:ind w:left="460"/>
      </w:pPr>
      <w:r>
        <w:rPr>
          <w:rFonts w:ascii="Calibri" w:cs="Calibri" w:eastAsia="Calibri" w:hAnsi="Calibri"/>
          <w:color w:val="333333"/>
          <w:sz w:val="19"/>
          <w:szCs w:val="19"/>
        </w:rPr>
        <w:t xml:space="preserve">Ningún componente garantiza el tráfico, y no lo comprometemos así. Lo que la plataforma aporta es la planificación de llegada dentro de la ventana, el aviso de despacho anticipado y el recálculo de hora estimada con alerta de desviación. Cumplir la ventana es un resultado operacional conjunto; lo que sí es exigible a la plataforma es que la cadena reciba el aviso y la evidencia en el formato y el plazo comprometidos.</w:t>
      </w:r>
    </w:p>
    <w:p>
      <w:pPr>
        <w:keepNext/>
        <w:spacing w:after="30" w:before="130" w:line="268"/>
        <w:ind w:left="460" w:hanging="460"/>
      </w:pPr>
      <w:r>
        <w:rPr>
          <w:rFonts w:ascii="Calibri" w:cs="Calibri" w:eastAsia="Calibri" w:hAnsi="Calibri"/>
          <w:b/>
          <w:bCs/>
          <w:color w:val="B00020"/>
          <w:sz w:val="15"/>
          <w:szCs w:val="15"/>
        </w:rPr>
        <w:t xml:space="preserve">CONTRADICCIÓN  </w:t>
      </w:r>
      <w:r>
        <w:rPr>
          <w:rFonts w:ascii="Calibri" w:cs="Calibri" w:eastAsia="Calibri" w:hAnsi="Calibri"/>
          <w:b/>
          <w:bCs/>
          <w:i/>
          <w:iCs/>
          <w:color w:val="000000"/>
          <w:sz w:val="19"/>
          <w:szCs w:val="19"/>
        </w:rPr>
        <w:t xml:space="preserve">El Subdocumento 3 habla de una promesa de veinticuatro horas con ventana de trescientos veinte minutos. La cadena exige treinta. ¿De dónde salen trescientos veinte?</w:t>
      </w:r>
    </w:p>
    <w:p>
      <w:pPr>
        <w:pBdr>
          <w:left w:val="single" w:color="1F3864" w:sz="10" w:space="8"/>
        </w:pBdr>
        <w:spacing w:after="60" w:line="268"/>
        <w:ind w:left="460"/>
      </w:pPr>
      <w:r>
        <w:rPr>
          <w:rFonts w:ascii="Calibri" w:cs="Calibri" w:eastAsia="Calibri" w:hAnsi="Calibri"/>
          <w:color w:val="333333"/>
          <w:sz w:val="19"/>
          <w:szCs w:val="19"/>
        </w:rPr>
        <w:t xml:space="preserve">Esa cifra no corresponde a la ventana del canal moderno y la redacción debe corregirse: el compromiso frente a la cadena es la ventana de treinta minutos, y la promesa de veinticuatro horas es el plazo de entrega desde la toma del pedido. Lo registramos como corrección para el Informe 2; agradezco la observación.</w:t>
      </w:r>
    </w:p>
    <w:p>
      <w:pPr>
        <w:keepNext/>
        <w:spacing w:after="30" w:before="130" w:line="268"/>
        <w:ind w:left="460" w:hanging="460"/>
      </w:pPr>
      <w:r>
        <w:rPr>
          <w:rFonts w:ascii="Calibri" w:cs="Calibri" w:eastAsia="Calibri" w:hAnsi="Calibri"/>
          <w:b/>
          <w:bCs/>
          <w:color w:val="0D47A1"/>
          <w:sz w:val="15"/>
          <w:szCs w:val="15"/>
        </w:rPr>
        <w:t xml:space="preserve">DISEÑO  </w:t>
      </w:r>
      <w:r>
        <w:rPr>
          <w:rFonts w:ascii="Calibri" w:cs="Calibri" w:eastAsia="Calibri" w:hAnsi="Calibri"/>
          <w:b/>
          <w:bCs/>
          <w:i/>
          <w:iCs/>
          <w:color w:val="000000"/>
          <w:sz w:val="19"/>
          <w:szCs w:val="19"/>
        </w:rPr>
        <w:t xml:space="preserve">La telemetría de flota toca jornada de conducción y descanso, que es materia regulada. ¿Su sistema controla horas de conducción?</w:t>
      </w:r>
    </w:p>
    <w:p>
      <w:pPr>
        <w:pBdr>
          <w:left w:val="single" w:color="1F3864" w:sz="10" w:space="8"/>
        </w:pBdr>
        <w:spacing w:after="60" w:line="268"/>
        <w:ind w:left="460"/>
      </w:pPr>
      <w:r>
        <w:rPr>
          <w:rFonts w:ascii="Calibri" w:cs="Calibri" w:eastAsia="Calibri" w:hAnsi="Calibri"/>
          <w:color w:val="333333"/>
          <w:sz w:val="19"/>
          <w:szCs w:val="19"/>
        </w:rPr>
        <w:t xml:space="preserve">No lo comprometemos como funcionalidad de control laboral. El alcance declarado es ruta planificada contra real, geocercas y vinculación conductor-camión por viaje, con acuerdo sindical. El régimen de jornada del transporte es una de las materias que el caso manda investigar, y cualquier uso de esos datos para control de jornada tendría que acordarse explícitamente, no derivarse del sistema.</w:t>
      </w:r>
    </w:p>
    <w:p>
      <w:pPr>
        <w:pStyle w:val="Heading2"/>
        <w:keepNext/>
        <w:spacing w:after="20" w:before="340"/>
      </w:pPr>
      <w:r>
        <w:rPr>
          <w:rFonts w:ascii="Calibri" w:cs="Calibri" w:eastAsia="Calibri" w:hAnsi="Calibri"/>
          <w:b/>
          <w:bCs/>
          <w:color w:val="1F3864"/>
          <w:sz w:val="24"/>
          <w:szCs w:val="24"/>
        </w:rPr>
        <w:t xml:space="preserve">Diapositiva 19 · Operación y soporte</w:t>
      </w:r>
    </w:p>
    <w:p>
      <w:pPr>
        <w:keepNext/>
        <w:pBdr>
          <w:bottom w:val="single" w:color="BFBFBF" w:sz="6" w:space="2"/>
        </w:pBdr>
        <w:spacing w:after="60"/>
      </w:pPr>
      <w:r>
        <w:rPr>
          <w:rFonts w:ascii="Calibri" w:cs="Calibri" w:eastAsia="Calibri" w:hAnsi="Calibri"/>
          <w:color w:val="595959"/>
          <w:sz w:val="16"/>
          <w:szCs w:val="16"/>
        </w:rPr>
        <w:t xml:space="preserve">4 preguntas</w:t>
      </w:r>
    </w:p>
    <w:p>
      <w:pPr>
        <w:keepNext/>
        <w:spacing w:after="30" w:before="130" w:line="268"/>
        <w:ind w:left="460" w:hanging="460"/>
      </w:pPr>
      <w:r>
        <w:rPr>
          <w:rFonts w:ascii="Calibri" w:cs="Calibri" w:eastAsia="Calibri" w:hAnsi="Calibri"/>
          <w:b/>
          <w:bCs/>
          <w:color w:val="00695C"/>
          <w:sz w:val="15"/>
          <w:szCs w:val="15"/>
        </w:rPr>
        <w:t xml:space="preserve">CIFRA  </w:t>
      </w:r>
      <w:r>
        <w:rPr>
          <w:rFonts w:ascii="Calibri" w:cs="Calibri" w:eastAsia="Calibri" w:hAnsi="Calibri"/>
          <w:b/>
          <w:bCs/>
          <w:i/>
          <w:iCs/>
          <w:color w:val="000000"/>
          <w:sz w:val="19"/>
          <w:szCs w:val="19"/>
        </w:rPr>
        <w:t xml:space="preserve">La sala es TIER II, que son noventa y nueve coma setecientos cuarenta y uno por ciento, unas veintidós horas de corte al año. ¿Cómo sostiene eso un compromiso de noventa y nueve coma nueve?</w:t>
      </w:r>
    </w:p>
    <w:p>
      <w:pPr>
        <w:pBdr>
          <w:left w:val="single" w:color="1F3864" w:sz="10" w:space="8"/>
        </w:pBdr>
        <w:spacing w:after="60" w:line="268"/>
        <w:ind w:left="460"/>
      </w:pPr>
      <w:r>
        <w:rPr>
          <w:rFonts w:ascii="Calibri" w:cs="Calibri" w:eastAsia="Calibri" w:hAnsi="Calibri"/>
          <w:color w:val="333333"/>
          <w:sz w:val="19"/>
          <w:szCs w:val="19"/>
        </w:rPr>
        <w:t xml:space="preserve">Porque no es la sala la que sostiene el compromiso. TIER II clasifica la disponibilidad del recinto; el noventa y nueve coma nueve es de la transacción de negocio de extremo a extremo, que se sostiene en la cadena completa: nube multi-zona, sala, borde y terreno, con veinticuatro horas de autonomía local y ambiente de recuperación probado dos veces al año. Un corte de la sala no detiene la transacción crítica.</w:t>
      </w:r>
    </w:p>
    <w:p>
      <w:pPr>
        <w:keepNext/>
        <w:spacing w:after="30" w:before="130" w:line="268"/>
        <w:ind w:left="460" w:hanging="460"/>
      </w:pPr>
      <w:r>
        <w:rPr>
          <w:rFonts w:ascii="Calibri" w:cs="Calibri" w:eastAsia="Calibri" w:hAnsi="Calibri"/>
          <w:b/>
          <w:bCs/>
          <w:color w:val="C62828"/>
          <w:sz w:val="15"/>
          <w:szCs w:val="15"/>
        </w:rPr>
        <w:t xml:space="preserve">HUECO  </w:t>
      </w:r>
      <w:r>
        <w:rPr>
          <w:rFonts w:ascii="Calibri" w:cs="Calibri" w:eastAsia="Calibri" w:hAnsi="Calibri"/>
          <w:b/>
          <w:bCs/>
          <w:i/>
          <w:iCs/>
          <w:color w:val="000000"/>
          <w:sz w:val="19"/>
          <w:szCs w:val="19"/>
        </w:rPr>
        <w:t xml:space="preserve">Dimensionaron la mesa de ayuda con Erlang C. ¿Cuántos agentes, con qué tasa de llegada y qué tiempo medio de atención?</w:t>
      </w:r>
    </w:p>
    <w:p>
      <w:pPr>
        <w:pBdr>
          <w:left w:val="single" w:color="1F3864" w:sz="10" w:space="8"/>
        </w:pBdr>
        <w:spacing w:after="60" w:line="268"/>
        <w:ind w:left="460"/>
      </w:pPr>
      <w:r>
        <w:rPr>
          <w:rFonts w:ascii="Calibri" w:cs="Calibri" w:eastAsia="Calibri" w:hAnsi="Calibri"/>
          <w:color w:val="333333"/>
          <w:sz w:val="19"/>
          <w:szCs w:val="19"/>
        </w:rPr>
        <w:t xml:space="preserve">El modelo está declarado, no resuelto: el dimensionamiento con la volumetría real de la mesa es investigación adicional declarada de la innovación cuatro. Lo que sí comprometemos son las metas de servicio: ochenta por ciento de llamadas atendidas en veinte segundos y setenta por ciento resuelto en el primer contacto. El número de agentes se cierra con la oferta económica.</w:t>
      </w:r>
    </w:p>
    <w:p>
      <w:pPr>
        <w:keepNext/>
        <w:spacing w:after="30" w:before="130" w:line="268"/>
        <w:ind w:left="460" w:hanging="460"/>
      </w:pPr>
      <w:r>
        <w:rPr>
          <w:rFonts w:ascii="Calibri" w:cs="Calibri" w:eastAsia="Calibri" w:hAnsi="Calibri"/>
          <w:b/>
          <w:bCs/>
          <w:color w:val="1F3864"/>
          <w:sz w:val="15"/>
          <w:szCs w:val="15"/>
        </w:rPr>
        <w:t xml:space="preserve">NORMATIVA  </w:t>
      </w:r>
      <w:r>
        <w:rPr>
          <w:rFonts w:ascii="Calibri" w:cs="Calibri" w:eastAsia="Calibri" w:hAnsi="Calibri"/>
          <w:b/>
          <w:bCs/>
          <w:i/>
          <w:iCs/>
          <w:color w:val="000000"/>
          <w:sz w:val="19"/>
          <w:szCs w:val="19"/>
        </w:rPr>
        <w:t xml:space="preserve">Cuatro niveles de soporte. ¿Cuál es el tiempo de respuesta comprometido por severidad, y qué multa aplica?</w:t>
      </w:r>
    </w:p>
    <w:p>
      <w:pPr>
        <w:pBdr>
          <w:left w:val="single" w:color="1F3864" w:sz="10" w:space="8"/>
        </w:pBdr>
        <w:spacing w:after="60" w:line="268"/>
        <w:ind w:left="460"/>
      </w:pPr>
      <w:r>
        <w:rPr>
          <w:rFonts w:ascii="Calibri" w:cs="Calibri" w:eastAsia="Calibri" w:hAnsi="Calibri"/>
          <w:color w:val="333333"/>
          <w:sz w:val="19"/>
          <w:szCs w:val="19"/>
        </w:rPr>
        <w:t xml:space="preserve">La clasificación por criticidad está declarada —crítico, alto, medio y bajo— con su nivel de servicio asociado, y la Operación contempla informe mensual y multas por incumplimiento conforme a las bases. La tabla de multas por severidad pertenece a la oferta y al plan de operación; en esta instancia no la comprometo de memoria.</w:t>
      </w:r>
    </w:p>
    <w:p>
      <w:pPr>
        <w:keepNext/>
        <w:spacing w:after="30" w:before="130" w:line="268"/>
        <w:ind w:left="460" w:hanging="460"/>
      </w:pPr>
      <w:r>
        <w:rPr>
          <w:rFonts w:ascii="Calibri" w:cs="Calibri" w:eastAsia="Calibri" w:hAnsi="Calibri"/>
          <w:b/>
          <w:bCs/>
          <w:color w:val="9C27B0"/>
          <w:sz w:val="15"/>
          <w:szCs w:val="15"/>
        </w:rPr>
        <w:t xml:space="preserve">TRAMPA  </w:t>
      </w:r>
      <w:r>
        <w:rPr>
          <w:rFonts w:ascii="Calibri" w:cs="Calibri" w:eastAsia="Calibri" w:hAnsi="Calibri"/>
          <w:b/>
          <w:bCs/>
          <w:i/>
          <w:iCs/>
          <w:color w:val="000000"/>
          <w:sz w:val="19"/>
          <w:szCs w:val="19"/>
        </w:rPr>
        <w:t xml:space="preserve">Su innovación cuatro dice que el equipo de cuatro personas no administra nada. Entonces al final del contrato el CLIENTE no sabe operar su propia plataforma.</w:t>
      </w:r>
    </w:p>
    <w:p>
      <w:pPr>
        <w:pBdr>
          <w:left w:val="single" w:color="1F3864" w:sz="10" w:space="8"/>
        </w:pBdr>
        <w:spacing w:after="60" w:line="268"/>
        <w:ind w:left="460"/>
      </w:pPr>
      <w:r>
        <w:rPr>
          <w:rFonts w:ascii="Calibri" w:cs="Calibri" w:eastAsia="Calibri" w:hAnsi="Calibri"/>
          <w:color w:val="333333"/>
          <w:sz w:val="19"/>
          <w:szCs w:val="19"/>
        </w:rPr>
        <w:t xml:space="preserve">Por eso la transferencia de conocimiento es obligación contractual durante los treinta y seis meses, con base de conocimiento versionada, y por eso el Art. 85 obliga a entregar copia íntegra en formato interoperable con diccionario. Lo que se entrega como servicio es la administración, no el conocimiento. La reversibilidad es parte del diseño, no una promesa.</w:t>
      </w:r>
    </w:p>
    <w:p>
      <w:pPr>
        <w:pStyle w:val="Heading2"/>
        <w:keepNext/>
        <w:spacing w:after="20" w:before="340"/>
      </w:pPr>
      <w:r>
        <w:rPr>
          <w:rFonts w:ascii="Calibri" w:cs="Calibri" w:eastAsia="Calibri" w:hAnsi="Calibri"/>
          <w:b/>
          <w:bCs/>
          <w:color w:val="1F3864"/>
          <w:sz w:val="24"/>
          <w:szCs w:val="24"/>
        </w:rPr>
        <w:t xml:space="preserve">Diapositiva 20 · Innovaciones</w:t>
      </w:r>
    </w:p>
    <w:p>
      <w:pPr>
        <w:keepNext/>
        <w:pBdr>
          <w:bottom w:val="single" w:color="BFBFBF" w:sz="6" w:space="2"/>
        </w:pBdr>
        <w:spacing w:after="60"/>
      </w:pPr>
      <w:r>
        <w:rPr>
          <w:rFonts w:ascii="Calibri" w:cs="Calibri" w:eastAsia="Calibri" w:hAnsi="Calibri"/>
          <w:color w:val="595959"/>
          <w:sz w:val="16"/>
          <w:szCs w:val="16"/>
        </w:rPr>
        <w:t xml:space="preserve">5 preguntas</w:t>
      </w:r>
    </w:p>
    <w:p>
      <w:pPr>
        <w:keepNext/>
        <w:spacing w:after="30" w:before="130" w:line="268"/>
        <w:ind w:left="460" w:hanging="460"/>
      </w:pPr>
      <w:r>
        <w:rPr>
          <w:rFonts w:ascii="Calibri" w:cs="Calibri" w:eastAsia="Calibri" w:hAnsi="Calibri"/>
          <w:b/>
          <w:bCs/>
          <w:color w:val="1F3864"/>
          <w:sz w:val="15"/>
          <w:szCs w:val="15"/>
        </w:rPr>
        <w:t xml:space="preserve">NORMATIVA  </w:t>
      </w:r>
      <w:r>
        <w:rPr>
          <w:rFonts w:ascii="Calibri" w:cs="Calibri" w:eastAsia="Calibri" w:hAnsi="Calibri"/>
          <w:b/>
          <w:bCs/>
          <w:i/>
          <w:iCs/>
          <w:color w:val="000000"/>
          <w:sz w:val="19"/>
          <w:szCs w:val="19"/>
        </w:rPr>
        <w:t xml:space="preserve">El Art. 28 exige una innovación por tipo y que sean trazables con arquitectura, EDT y flujo de caja. Ustedes no han presentado ni EDT ni flujo de caja. ¿Cómo verifican esa trazabilidad hoy?</w:t>
      </w:r>
    </w:p>
    <w:p>
      <w:pPr>
        <w:pBdr>
          <w:left w:val="single" w:color="1F3864" w:sz="10" w:space="8"/>
        </w:pBdr>
        <w:spacing w:after="60" w:line="268"/>
        <w:ind w:left="460"/>
      </w:pPr>
      <w:r>
        <w:rPr>
          <w:rFonts w:ascii="Calibri" w:cs="Calibri" w:eastAsia="Calibri" w:hAnsi="Calibri"/>
          <w:color w:val="333333"/>
          <w:sz w:val="19"/>
          <w:szCs w:val="19"/>
        </w:rPr>
        <w:t xml:space="preserve">Hoy no se puede verificar completa, y es correcto señalarlo. En el Informe 1 cada innovación está trazada a la arquitectura que la sostiene y al resultado del Capítulo 18 que la verifica. La trazabilidad a la EDT es del Informe 2 y al flujo de caja, de la oferta económica. La secuencia la fija el Formulario T-22, no nosotros.</w:t>
      </w:r>
    </w:p>
    <w:p>
      <w:pPr>
        <w:keepNext/>
        <w:spacing w:after="30" w:before="130" w:line="268"/>
        <w:ind w:left="460" w:hanging="460"/>
      </w:pPr>
      <w:r>
        <w:rPr>
          <w:rFonts w:ascii="Calibri" w:cs="Calibri" w:eastAsia="Calibri" w:hAnsi="Calibri"/>
          <w:b/>
          <w:bCs/>
          <w:color w:val="9C27B0"/>
          <w:sz w:val="15"/>
          <w:szCs w:val="15"/>
        </w:rPr>
        <w:t xml:space="preserve">TRAMPA  </w:t>
      </w:r>
      <w:r>
        <w:rPr>
          <w:rFonts w:ascii="Calibri" w:cs="Calibri" w:eastAsia="Calibri" w:hAnsi="Calibri"/>
          <w:b/>
          <w:bCs/>
          <w:i/>
          <w:iCs/>
          <w:color w:val="000000"/>
          <w:sz w:val="19"/>
          <w:szCs w:val="19"/>
        </w:rPr>
        <w:t xml:space="preserve">La innovación cinco es un chatbot de WhatsApp. Eso existe en el mercado hace años. ¿Qué tiene de innovación?</w:t>
      </w:r>
    </w:p>
    <w:p>
      <w:pPr>
        <w:pBdr>
          <w:left w:val="single" w:color="1F3864" w:sz="10" w:space="8"/>
        </w:pBdr>
        <w:spacing w:after="60" w:line="268"/>
        <w:ind w:left="460"/>
      </w:pPr>
      <w:r>
        <w:rPr>
          <w:rFonts w:ascii="Calibri" w:cs="Calibri" w:eastAsia="Calibri" w:hAnsi="Calibri"/>
          <w:color w:val="333333"/>
          <w:sz w:val="19"/>
          <w:szCs w:val="19"/>
        </w:rPr>
        <w:t xml:space="preserve">Como tecnología, nada: lo innovador declarado es el diseño de incorporación, atender a once mil seiscientos almacenes que no tienen internet, ni correo, ni dispositivo, ni la posibilidad de instalar una aplicación, sin exigirles nada. El criterio del Art. 28 es precisamente ese: no procede como innovación lo que es estándar de industria sin diseño de incorporación propio. Por eso descartamos el portal web clásico.</w:t>
      </w:r>
    </w:p>
    <w:p>
      <w:pPr>
        <w:keepNext/>
        <w:spacing w:after="30" w:before="130" w:line="268"/>
        <w:ind w:left="460" w:hanging="460"/>
      </w:pPr>
      <w:r>
        <w:rPr>
          <w:rFonts w:ascii="Calibri" w:cs="Calibri" w:eastAsia="Calibri" w:hAnsi="Calibri"/>
          <w:b/>
          <w:bCs/>
          <w:color w:val="00695C"/>
          <w:sz w:val="15"/>
          <w:szCs w:val="15"/>
        </w:rPr>
        <w:t xml:space="preserve">CIFRA  </w:t>
      </w:r>
      <w:r>
        <w:rPr>
          <w:rFonts w:ascii="Calibri" w:cs="Calibri" w:eastAsia="Calibri" w:hAnsi="Calibri"/>
          <w:b/>
          <w:bCs/>
          <w:i/>
          <w:iCs/>
          <w:color w:val="000000"/>
          <w:sz w:val="19"/>
          <w:szCs w:val="19"/>
        </w:rPr>
        <w:t xml:space="preserve">La innovación cinco es la única con cifra de costo: cuatro a seis mil dólares de implementación y cuatrocientos a setecientos mensuales. ¿Por qué las otras cuatro no tienen costo?</w:t>
      </w:r>
    </w:p>
    <w:p>
      <w:pPr>
        <w:pBdr>
          <w:left w:val="single" w:color="1F3864" w:sz="10" w:space="8"/>
        </w:pBdr>
        <w:spacing w:after="60" w:line="268"/>
        <w:ind w:left="460"/>
      </w:pPr>
      <w:r>
        <w:rPr>
          <w:rFonts w:ascii="Calibri" w:cs="Calibri" w:eastAsia="Calibri" w:hAnsi="Calibri"/>
          <w:color w:val="333333"/>
          <w:sz w:val="19"/>
          <w:szCs w:val="19"/>
        </w:rPr>
        <w:t xml:space="preserve">Porque esa cifra es de mercado para un servicio de terceros y las otras cuatro se costean dentro de la oferta económica, que es sobre cerrado y va con la propuesta final. Reconozco que tener una sola cifra suelta en el Subdocumento 13 invita justamente a esta pregunta; se homogeneiza en el Informe 2.</w:t>
      </w:r>
    </w:p>
    <w:p>
      <w:pPr>
        <w:keepNext/>
        <w:spacing w:after="30" w:before="130" w:line="268"/>
        <w:ind w:left="460" w:hanging="460"/>
      </w:pPr>
      <w:r>
        <w:rPr>
          <w:rFonts w:ascii="Calibri" w:cs="Calibri" w:eastAsia="Calibri" w:hAnsi="Calibri"/>
          <w:b/>
          <w:bCs/>
          <w:color w:val="0D47A1"/>
          <w:sz w:val="15"/>
          <w:szCs w:val="15"/>
        </w:rPr>
        <w:t xml:space="preserve">DISEÑO  </w:t>
      </w:r>
      <w:r>
        <w:rPr>
          <w:rFonts w:ascii="Calibri" w:cs="Calibri" w:eastAsia="Calibri" w:hAnsi="Calibri"/>
          <w:b/>
          <w:bCs/>
          <w:i/>
          <w:iCs/>
          <w:color w:val="000000"/>
          <w:sz w:val="19"/>
          <w:szCs w:val="19"/>
        </w:rPr>
        <w:t xml:space="preserve">La innovación tres promete cero pedidos perdidos o duplicados, pero su propia mensajería declara entrega al menos una vez, no exactamente una vez. ¿No se contradicen?</w:t>
      </w:r>
    </w:p>
    <w:p>
      <w:pPr>
        <w:pBdr>
          <w:left w:val="single" w:color="1F3864" w:sz="10" w:space="8"/>
        </w:pBdr>
        <w:spacing w:after="60" w:line="268"/>
        <w:ind w:left="460"/>
      </w:pPr>
      <w:r>
        <w:rPr>
          <w:rFonts w:ascii="Calibri" w:cs="Calibri" w:eastAsia="Calibri" w:hAnsi="Calibri"/>
          <w:color w:val="333333"/>
          <w:sz w:val="19"/>
          <w:szCs w:val="19"/>
        </w:rPr>
        <w:t xml:space="preserve">No, y la distinción es deliberada: no prometemos entrega exactamente una vez a nivel de transporte, porque eso no existe de forma confiable en sistemas distribuidos. Prometemos idempotencia verificable: cada escritura lleva identificador único, el consumidor deduplica y la reconciliación es determinista. El resultado de negocio —ningún pedido perdido ni duplicado— se cumple aunque el mensaje llegue dos veces.</w:t>
      </w:r>
    </w:p>
    <w:p>
      <w:pPr>
        <w:keepNext/>
        <w:spacing w:after="30" w:before="130" w:line="268"/>
        <w:ind w:left="460" w:hanging="460"/>
      </w:pPr>
      <w:r>
        <w:rPr>
          <w:rFonts w:ascii="Calibri" w:cs="Calibri" w:eastAsia="Calibri" w:hAnsi="Calibri"/>
          <w:b/>
          <w:bCs/>
          <w:color w:val="9C27B0"/>
          <w:sz w:val="15"/>
          <w:szCs w:val="15"/>
        </w:rPr>
        <w:t xml:space="preserve">TRAMPA  </w:t>
      </w:r>
      <w:r>
        <w:rPr>
          <w:rFonts w:ascii="Calibri" w:cs="Calibri" w:eastAsia="Calibri" w:hAnsi="Calibri"/>
          <w:b/>
          <w:bCs/>
          <w:i/>
          <w:iCs/>
          <w:color w:val="000000"/>
          <w:sz w:val="19"/>
          <w:szCs w:val="19"/>
        </w:rPr>
        <w:t xml:space="preserve">Las cinco innovaciones requieren investigación adicional. Un oferente sin nada por investigar parecería más preparado. ¿Por qué debería el mandante preferirlos a ustedes?</w:t>
      </w:r>
    </w:p>
    <w:p>
      <w:pPr>
        <w:pBdr>
          <w:left w:val="single" w:color="1F3864" w:sz="10" w:space="8"/>
        </w:pBdr>
        <w:spacing w:after="60" w:line="268"/>
        <w:ind w:left="460"/>
      </w:pPr>
      <w:r>
        <w:rPr>
          <w:rFonts w:ascii="Calibri" w:cs="Calibri" w:eastAsia="Calibri" w:hAnsi="Calibri"/>
          <w:color w:val="333333"/>
          <w:sz w:val="19"/>
          <w:szCs w:val="19"/>
        </w:rPr>
        <w:t xml:space="preserve">Porque un oferente sin nada por investigar en este caso, o no leyó la restricción de menos veintidós grados con guantes, o va a descubrirla en el mes ocho. El Art. 28 obliga a declarar la investigación pendiente; declararla con objeto acotado y momento de cierre es gestión de riesgo, no debilidad.</w:t>
      </w:r>
    </w:p>
    <w:p>
      <w:pPr>
        <w:pStyle w:val="Heading2"/>
        <w:keepNext/>
        <w:spacing w:after="20" w:before="340"/>
      </w:pPr>
      <w:r>
        <w:rPr>
          <w:rFonts w:ascii="Calibri" w:cs="Calibri" w:eastAsia="Calibri" w:hAnsi="Calibri"/>
          <w:b/>
          <w:bCs/>
          <w:color w:val="1F3864"/>
          <w:sz w:val="24"/>
          <w:szCs w:val="24"/>
        </w:rPr>
        <w:t xml:space="preserve">Diapositiva 21 · Portadilla de arquitectura</w:t>
      </w:r>
    </w:p>
    <w:p>
      <w:pPr>
        <w:keepNext/>
        <w:pBdr>
          <w:bottom w:val="single" w:color="BFBFBF" w:sz="6" w:space="2"/>
        </w:pBdr>
        <w:spacing w:after="60"/>
      </w:pPr>
      <w:r>
        <w:rPr>
          <w:rFonts w:ascii="Calibri" w:cs="Calibri" w:eastAsia="Calibri" w:hAnsi="Calibri"/>
          <w:color w:val="595959"/>
          <w:sz w:val="16"/>
          <w:szCs w:val="16"/>
        </w:rPr>
        <w:t xml:space="preserve">2 preguntas</w:t>
      </w:r>
    </w:p>
    <w:p>
      <w:pPr>
        <w:keepNext/>
        <w:spacing w:after="30" w:before="130" w:line="268"/>
        <w:ind w:left="460" w:hanging="460"/>
      </w:pPr>
      <w:r>
        <w:rPr>
          <w:rFonts w:ascii="Calibri" w:cs="Calibri" w:eastAsia="Calibri" w:hAnsi="Calibri"/>
          <w:b/>
          <w:bCs/>
          <w:color w:val="B00020"/>
          <w:sz w:val="15"/>
          <w:szCs w:val="15"/>
        </w:rPr>
        <w:t xml:space="preserve">CONTRADICCIÓN  </w:t>
      </w:r>
      <w:r>
        <w:rPr>
          <w:rFonts w:ascii="Calibri" w:cs="Calibri" w:eastAsia="Calibri" w:hAnsi="Calibri"/>
          <w:b/>
          <w:bCs/>
          <w:i/>
          <w:iCs/>
          <w:color w:val="000000"/>
          <w:sz w:val="19"/>
          <w:szCs w:val="19"/>
        </w:rPr>
        <w:t xml:space="preserve">Su texto habla de once actores canónicos, pero el informe trae trece diagramas de actor, incluidos transportista y proveedor, que no están en la tabla de actores afectados. ¿Once o trece?</w:t>
      </w:r>
    </w:p>
    <w:p>
      <w:pPr>
        <w:pBdr>
          <w:left w:val="single" w:color="1F3864" w:sz="10" w:space="8"/>
        </w:pBdr>
        <w:spacing w:after="60" w:line="268"/>
        <w:ind w:left="460"/>
      </w:pPr>
      <w:r>
        <w:rPr>
          <w:rFonts w:ascii="Calibri" w:cs="Calibri" w:eastAsia="Calibri" w:hAnsi="Calibri"/>
          <w:color w:val="333333"/>
          <w:sz w:val="19"/>
          <w:szCs w:val="19"/>
        </w:rPr>
        <w:t xml:space="preserve">La tabla de actores afectados del Subdocumento 2 lista once; la arquitectura lógica desarrolla trece vistas porque modela también al transportista y al proveedor como actores del sistema, aunque no sean afectados en el sentido del diagnóstico. La nomenclatura «canónicos» debería usarse para un solo conjunto: es una inconsistencia de nuestro informe y se corrige.</w:t>
      </w:r>
    </w:p>
    <w:p>
      <w:pPr>
        <w:keepNext/>
        <w:spacing w:after="30" w:before="130" w:line="268"/>
        <w:ind w:left="460" w:hanging="460"/>
      </w:pPr>
      <w:r>
        <w:rPr>
          <w:rFonts w:ascii="Calibri" w:cs="Calibri" w:eastAsia="Calibri" w:hAnsi="Calibri"/>
          <w:b/>
          <w:bCs/>
          <w:color w:val="0D47A1"/>
          <w:sz w:val="15"/>
          <w:szCs w:val="15"/>
        </w:rPr>
        <w:t xml:space="preserve">DISEÑO  </w:t>
      </w:r>
      <w:r>
        <w:rPr>
          <w:rFonts w:ascii="Calibri" w:cs="Calibri" w:eastAsia="Calibri" w:hAnsi="Calibri"/>
          <w:b/>
          <w:bCs/>
          <w:i/>
          <w:iCs/>
          <w:color w:val="000000"/>
          <w:sz w:val="19"/>
          <w:szCs w:val="19"/>
        </w:rPr>
        <w:t xml:space="preserve">¿Qué marco usaron para describir la arquitectura y bajo qué norma está la documentación?</w:t>
      </w:r>
    </w:p>
    <w:p>
      <w:pPr>
        <w:pBdr>
          <w:left w:val="single" w:color="1F3864" w:sz="10" w:space="8"/>
        </w:pBdr>
        <w:spacing w:after="60" w:line="268"/>
        <w:ind w:left="460"/>
      </w:pPr>
      <w:r>
        <w:rPr>
          <w:rFonts w:ascii="Calibri" w:cs="Calibri" w:eastAsia="Calibri" w:hAnsi="Calibri"/>
          <w:color w:val="333333"/>
          <w:sz w:val="19"/>
          <w:szCs w:val="19"/>
        </w:rPr>
        <w:t xml:space="preserve">Marco TOGAF declarado, descripción conforme a ISO/IEC/IEEE 42010, con las seis vistas exigidas completas —lógica, procesos, datos, seguridad, integración y despliegue— y las decisiones registradas como ADR fechados y fundados, conforme a RT-02.04.</w:t>
      </w:r>
    </w:p>
    <w:p>
      <w:pPr>
        <w:pStyle w:val="Heading2"/>
        <w:keepNext/>
        <w:spacing w:after="20" w:before="340"/>
      </w:pPr>
      <w:r>
        <w:rPr>
          <w:rFonts w:ascii="Calibri" w:cs="Calibri" w:eastAsia="Calibri" w:hAnsi="Calibri"/>
          <w:b/>
          <w:bCs/>
          <w:color w:val="1F3864"/>
          <w:sz w:val="24"/>
          <w:szCs w:val="24"/>
        </w:rPr>
        <w:t xml:space="preserve">Diapositiva 22 · Arquitectura lógica</w:t>
      </w:r>
    </w:p>
    <w:p>
      <w:pPr>
        <w:keepNext/>
        <w:pBdr>
          <w:bottom w:val="single" w:color="BFBFBF" w:sz="6" w:space="2"/>
        </w:pBdr>
        <w:spacing w:after="60"/>
      </w:pPr>
      <w:r>
        <w:rPr>
          <w:rFonts w:ascii="Calibri" w:cs="Calibri" w:eastAsia="Calibri" w:hAnsi="Calibri"/>
          <w:color w:val="595959"/>
          <w:sz w:val="16"/>
          <w:szCs w:val="16"/>
        </w:rPr>
        <w:t xml:space="preserve">5 preguntas</w:t>
      </w:r>
    </w:p>
    <w:p>
      <w:pPr>
        <w:keepNext/>
        <w:spacing w:after="30" w:before="130" w:line="268"/>
        <w:ind w:left="460" w:hanging="460"/>
      </w:pPr>
      <w:r>
        <w:rPr>
          <w:rFonts w:ascii="Calibri" w:cs="Calibri" w:eastAsia="Calibri" w:hAnsi="Calibri"/>
          <w:b/>
          <w:bCs/>
          <w:color w:val="B00020"/>
          <w:sz w:val="15"/>
          <w:szCs w:val="15"/>
        </w:rPr>
        <w:t xml:space="preserve">CONTRADICCIÓN  </w:t>
      </w:r>
      <w:r>
        <w:rPr>
          <w:rFonts w:ascii="Calibri" w:cs="Calibri" w:eastAsia="Calibri" w:hAnsi="Calibri"/>
          <w:b/>
          <w:bCs/>
          <w:i/>
          <w:iCs/>
          <w:color w:val="000000"/>
          <w:sz w:val="19"/>
          <w:szCs w:val="19"/>
        </w:rPr>
        <w:t xml:space="preserve">La arquitectura lógica declaraba HashiCorp Vault on-premise como gestor de secretos, pero Vault no aparece en el inventario físico ni en el dimensionamiento. ¿Dónde está?</w:t>
      </w:r>
    </w:p>
    <w:p>
      <w:pPr>
        <w:pBdr>
          <w:left w:val="single" w:color="1F3864" w:sz="10" w:space="8"/>
        </w:pBdr>
        <w:spacing w:after="60" w:line="268"/>
        <w:ind w:left="460"/>
      </w:pPr>
      <w:r>
        <w:rPr>
          <w:rFonts w:ascii="Calibri" w:cs="Calibri" w:eastAsia="Calibri" w:hAnsi="Calibri"/>
          <w:color w:val="333333"/>
          <w:sz w:val="19"/>
          <w:szCs w:val="19"/>
        </w:rPr>
        <w:t xml:space="preserve">Ya no está, y el cambio es explícito: se adoptó Secrets Manager con Parameter Store, consumidos desde on-premise por punto de enlace saliente, formalizado en el ADR-15 y aplicado en la arquitectura física. La alternativa era incorporar una máquina virtual Vault con su alta disponibilidad y costo al inventario. Lo que no era admisible era dejar un componente de seguridad sin emplazamiento, porque incumple el Art. 16.2.</w:t>
      </w:r>
    </w:p>
    <w:p>
      <w:pPr>
        <w:keepNext/>
        <w:spacing w:after="30" w:before="130" w:line="268"/>
        <w:ind w:left="460" w:hanging="460"/>
      </w:pPr>
      <w:r>
        <w:rPr>
          <w:rFonts w:ascii="Calibri" w:cs="Calibri" w:eastAsia="Calibri" w:hAnsi="Calibri"/>
          <w:b/>
          <w:bCs/>
          <w:color w:val="0D47A1"/>
          <w:sz w:val="15"/>
          <w:szCs w:val="15"/>
        </w:rPr>
        <w:t xml:space="preserve">DISEÑO  </w:t>
      </w:r>
      <w:r>
        <w:rPr>
          <w:rFonts w:ascii="Calibri" w:cs="Calibri" w:eastAsia="Calibri" w:hAnsi="Calibri"/>
          <w:b/>
          <w:bCs/>
          <w:i/>
          <w:iCs/>
          <w:color w:val="000000"/>
          <w:sz w:val="19"/>
          <w:szCs w:val="19"/>
        </w:rPr>
        <w:t xml:space="preserve">Un monolito modular con doce módulos y tres workers extraíbles. Si extraen el worker de sincronización, ¿comparte la misma base de datos? Porque entonces sigue siendo un monolito con más procesos.</w:t>
      </w:r>
    </w:p>
    <w:p>
      <w:pPr>
        <w:pBdr>
          <w:left w:val="single" w:color="1F3864" w:sz="10" w:space="8"/>
        </w:pBdr>
        <w:spacing w:after="60" w:line="268"/>
        <w:ind w:left="460"/>
      </w:pPr>
      <w:r>
        <w:rPr>
          <w:rFonts w:ascii="Calibri" w:cs="Calibri" w:eastAsia="Calibri" w:hAnsi="Calibri"/>
          <w:color w:val="333333"/>
          <w:sz w:val="19"/>
          <w:szCs w:val="19"/>
        </w:rPr>
        <w:t xml:space="preserve">Sí, comparte la persistencia, y es a propósito: lo que se extrae es la unidad de escalado y de aislamiento de fallo, no el modelo de datos. No estamos ofreciendo microservicios con base propia; estamos ofreciendo escalado independiente de los tres componentes críticos —sincronización, EDI y telemetría— sin pagar el costo operacional de doce despliegues para un equipo de cuatro personas.</w:t>
      </w:r>
    </w:p>
    <w:p>
      <w:pPr>
        <w:keepNext/>
        <w:spacing w:after="30" w:before="130" w:line="268"/>
        <w:ind w:left="460" w:hanging="460"/>
      </w:pPr>
      <w:r>
        <w:rPr>
          <w:rFonts w:ascii="Calibri" w:cs="Calibri" w:eastAsia="Calibri" w:hAnsi="Calibri"/>
          <w:b/>
          <w:bCs/>
          <w:color w:val="00695C"/>
          <w:sz w:val="15"/>
          <w:szCs w:val="15"/>
        </w:rPr>
        <w:t xml:space="preserve">CIFRA  </w:t>
      </w:r>
      <w:r>
        <w:rPr>
          <w:rFonts w:ascii="Calibri" w:cs="Calibri" w:eastAsia="Calibri" w:hAnsi="Calibri"/>
          <w:b/>
          <w:bCs/>
          <w:i/>
          <w:iCs/>
          <w:color w:val="000000"/>
          <w:sz w:val="19"/>
          <w:szCs w:val="19"/>
        </w:rPr>
        <w:t xml:space="preserve">Declaran ciento cinco transacciones por segundo de base y trescientos quince a tres años. ¿De dónde sale ese número?</w:t>
      </w:r>
    </w:p>
    <w:p>
      <w:pPr>
        <w:pBdr>
          <w:left w:val="single" w:color="1F3864" w:sz="10" w:space="8"/>
        </w:pBdr>
        <w:spacing w:after="60" w:line="268"/>
        <w:ind w:left="460"/>
      </w:pPr>
      <w:r>
        <w:rPr>
          <w:rFonts w:ascii="Calibri" w:cs="Calibri" w:eastAsia="Calibri" w:hAnsi="Calibri"/>
          <w:color w:val="333333"/>
          <w:sz w:val="19"/>
          <w:szCs w:val="19"/>
        </w:rPr>
        <w:t xml:space="preserve">De la volumetría del Capítulo 15 traducida a carga en la ventana crítica, no del promedio diario, con un factor de crecimiento de tres veces a tres años. La verificación es en percentil noventa y cinco y contra una coma cinco veces el peak declarado, en las pruebas de carga de la marcha blanca. El método está declarado; el resultado se demuestra ahí, no en el papel.</w:t>
      </w:r>
    </w:p>
    <w:p>
      <w:pPr>
        <w:keepNext/>
        <w:spacing w:after="30" w:before="130" w:line="268"/>
        <w:ind w:left="460" w:hanging="460"/>
      </w:pPr>
      <w:r>
        <w:rPr>
          <w:rFonts w:ascii="Calibri" w:cs="Calibri" w:eastAsia="Calibri" w:hAnsi="Calibri"/>
          <w:b/>
          <w:bCs/>
          <w:color w:val="9C27B0"/>
          <w:sz w:val="15"/>
          <w:szCs w:val="15"/>
        </w:rPr>
        <w:t xml:space="preserve">TRAMPA  </w:t>
      </w:r>
      <w:r>
        <w:rPr>
          <w:rFonts w:ascii="Calibri" w:cs="Calibri" w:eastAsia="Calibri" w:hAnsi="Calibri"/>
          <w:b/>
          <w:bCs/>
          <w:i/>
          <w:iCs/>
          <w:color w:val="000000"/>
          <w:sz w:val="19"/>
          <w:szCs w:val="19"/>
        </w:rPr>
        <w:t xml:space="preserve">Django es un framework síncrono por origen. Con ciento veinte terminales de bodega sincronizando a las seis de la mañana y la ventana crítica a las cinco y media, ¿no es la peor elección posible?</w:t>
      </w:r>
    </w:p>
    <w:p>
      <w:pPr>
        <w:pBdr>
          <w:left w:val="single" w:color="1F3864" w:sz="10" w:space="8"/>
        </w:pBdr>
        <w:spacing w:after="60" w:line="268"/>
        <w:ind w:left="460"/>
      </w:pPr>
      <w:r>
        <w:rPr>
          <w:rFonts w:ascii="Calibri" w:cs="Calibri" w:eastAsia="Calibri" w:hAnsi="Calibri"/>
          <w:color w:val="333333"/>
          <w:sz w:val="19"/>
          <w:szCs w:val="19"/>
        </w:rPr>
        <w:t xml:space="preserve">La sincronización de terreno es tráfico de API idempotente que entra por la puerta de enlace y se procesa por workers desacoplados, no por el hilo de la petición. Y el orden de magnitud no es el de una plataforma de alto tráfico: ciento cinco transacciones por segundo. La escalera de remedios está declarada, escalado vertical, particionado con agrupador de conexiones, réplica de lectura y cuarto nodo o fragmentación, en ese orden.</w:t>
      </w:r>
    </w:p>
    <w:p>
      <w:pPr>
        <w:keepNext/>
        <w:spacing w:after="30" w:before="130" w:line="268"/>
        <w:ind w:left="460" w:hanging="460"/>
      </w:pPr>
      <w:r>
        <w:rPr>
          <w:rFonts w:ascii="Calibri" w:cs="Calibri" w:eastAsia="Calibri" w:hAnsi="Calibri"/>
          <w:b/>
          <w:bCs/>
          <w:color w:val="C62828"/>
          <w:sz w:val="15"/>
          <w:szCs w:val="15"/>
        </w:rPr>
        <w:t xml:space="preserve">HUECO  </w:t>
      </w:r>
      <w:r>
        <w:rPr>
          <w:rFonts w:ascii="Calibri" w:cs="Calibri" w:eastAsia="Calibri" w:hAnsi="Calibri"/>
          <w:b/>
          <w:bCs/>
          <w:i/>
          <w:iCs/>
          <w:color w:val="000000"/>
          <w:sz w:val="19"/>
          <w:szCs w:val="19"/>
        </w:rPr>
        <w:t xml:space="preserve">¿Qué pasa con el módulo doce? Nombran doce módulos pero en la lámina de módulos funcionales el informe detalla seis.</w:t>
      </w:r>
    </w:p>
    <w:p>
      <w:pPr>
        <w:pBdr>
          <w:left w:val="single" w:color="1F3864" w:sz="10" w:space="8"/>
        </w:pBdr>
        <w:spacing w:after="60" w:line="268"/>
        <w:ind w:left="460"/>
      </w:pPr>
      <w:r>
        <w:rPr>
          <w:rFonts w:ascii="Calibri" w:cs="Calibri" w:eastAsia="Calibri" w:hAnsi="Calibri"/>
          <w:color w:val="333333"/>
          <w:sz w:val="19"/>
          <w:szCs w:val="19"/>
        </w:rPr>
        <w:t xml:space="preserve">El detalle desarrollado en el Subdocumento 4.1 son los seis módulos que concentran los resultados del Capítulo 18; los doce están enumerados en la capa de lógica de negocio y en el catálogo funcional con sus requerimientos. Que el detalle narrativo cubra la mitad es una asimetría del documento, no del diseño, y se empareja en el Informe 2.</w:t>
      </w:r>
    </w:p>
    <w:p>
      <w:pPr>
        <w:pStyle w:val="Heading2"/>
        <w:keepNext/>
        <w:spacing w:after="20" w:before="340"/>
      </w:pPr>
      <w:r>
        <w:rPr>
          <w:rFonts w:ascii="Calibri" w:cs="Calibri" w:eastAsia="Calibri" w:hAnsi="Calibri"/>
          <w:b/>
          <w:bCs/>
          <w:color w:val="1F3864"/>
          <w:sz w:val="24"/>
          <w:szCs w:val="24"/>
        </w:rPr>
        <w:t xml:space="preserve">Diapositiva 23 · Arquitectura física</w:t>
      </w:r>
    </w:p>
    <w:p>
      <w:pPr>
        <w:keepNext/>
        <w:pBdr>
          <w:bottom w:val="single" w:color="BFBFBF" w:sz="6" w:space="2"/>
        </w:pBdr>
        <w:spacing w:after="60"/>
      </w:pPr>
      <w:r>
        <w:rPr>
          <w:rFonts w:ascii="Calibri" w:cs="Calibri" w:eastAsia="Calibri" w:hAnsi="Calibri"/>
          <w:color w:val="595959"/>
          <w:sz w:val="16"/>
          <w:szCs w:val="16"/>
        </w:rPr>
        <w:t xml:space="preserve">4 preguntas</w:t>
      </w:r>
    </w:p>
    <w:p>
      <w:pPr>
        <w:keepNext/>
        <w:spacing w:after="30" w:before="130" w:line="268"/>
        <w:ind w:left="460" w:hanging="460"/>
      </w:pPr>
      <w:r>
        <w:rPr>
          <w:rFonts w:ascii="Calibri" w:cs="Calibri" w:eastAsia="Calibri" w:hAnsi="Calibri"/>
          <w:b/>
          <w:bCs/>
          <w:color w:val="B00020"/>
          <w:sz w:val="15"/>
          <w:szCs w:val="15"/>
        </w:rPr>
        <w:t xml:space="preserve">CONTRADICCIÓN  </w:t>
      </w:r>
      <w:r>
        <w:rPr>
          <w:rFonts w:ascii="Calibri" w:cs="Calibri" w:eastAsia="Calibri" w:hAnsi="Calibri"/>
          <w:b/>
          <w:bCs/>
          <w:i/>
          <w:iCs/>
          <w:color w:val="000000"/>
          <w:sz w:val="19"/>
          <w:szCs w:val="19"/>
        </w:rPr>
        <w:t xml:space="preserve">Dicen que ningún nodo on-premise abre puertos entrantes, y dos párrafos después declaran dos excepciones de conexión entrante hacia on-premise. ¿Cuál de las dos afirmaciones es la verdadera?</w:t>
      </w:r>
    </w:p>
    <w:p>
      <w:pPr>
        <w:pBdr>
          <w:left w:val="single" w:color="1F3864" w:sz="10" w:space="8"/>
        </w:pBdr>
        <w:spacing w:after="60" w:line="268"/>
        <w:ind w:left="460"/>
      </w:pPr>
      <w:r>
        <w:rPr>
          <w:rFonts w:ascii="Calibri" w:cs="Calibri" w:eastAsia="Calibri" w:hAnsi="Calibri"/>
          <w:color w:val="333333"/>
          <w:sz w:val="19"/>
          <w:szCs w:val="19"/>
        </w:rPr>
        <w:t xml:space="preserve">Las dos, y hay que decirlas juntas para que no parezcan contradictorias. Ningún nodo publica puertos hacia internet: esa es la regla absoluta. Las dos excepciones son conexiones que viajan dentro del túnel VPN desde la nube hacia on-premise —el servicio de migración hacia PostgreSQL y el sincronizador hacia la capa anticorrupción— y están identificadas, acotadas y registradas. No son superficie pública.</w:t>
      </w:r>
    </w:p>
    <w:p>
      <w:pPr>
        <w:keepNext/>
        <w:spacing w:after="30" w:before="130" w:line="268"/>
        <w:ind w:left="460" w:hanging="460"/>
      </w:pPr>
      <w:r>
        <w:rPr>
          <w:rFonts w:ascii="Calibri" w:cs="Calibri" w:eastAsia="Calibri" w:hAnsi="Calibri"/>
          <w:b/>
          <w:bCs/>
          <w:color w:val="1F3864"/>
          <w:sz w:val="15"/>
          <w:szCs w:val="15"/>
        </w:rPr>
        <w:t xml:space="preserve">NORMATIVA  </w:t>
      </w:r>
      <w:r>
        <w:rPr>
          <w:rFonts w:ascii="Calibri" w:cs="Calibri" w:eastAsia="Calibri" w:hAnsi="Calibri"/>
          <w:b/>
          <w:bCs/>
          <w:i/>
          <w:iCs/>
          <w:color w:val="000000"/>
          <w:sz w:val="19"/>
          <w:szCs w:val="19"/>
        </w:rPr>
        <w:t xml:space="preserve">La región de recuperación está en Estados Unidos. Eso es transferencia internacional de datos personales bajo la Ley 21.719. ¿Tienen la base de licitud resuelta?</w:t>
      </w:r>
    </w:p>
    <w:p>
      <w:pPr>
        <w:pBdr>
          <w:left w:val="single" w:color="1F3864" w:sz="10" w:space="8"/>
        </w:pBdr>
        <w:spacing w:after="60" w:line="268"/>
        <w:ind w:left="460"/>
      </w:pPr>
      <w:r>
        <w:rPr>
          <w:rFonts w:ascii="Calibri" w:cs="Calibri" w:eastAsia="Calibri" w:hAnsi="Calibri"/>
          <w:color w:val="333333"/>
          <w:sz w:val="19"/>
          <w:szCs w:val="19"/>
        </w:rPr>
        <w:t xml:space="preserve">Está tratado, no resuelto por completo: hay evaluación de impacto sobre protección de datos con alcance preliminar, política de privacidad en versión preliminar, protocolo de derechos del titular y el régimen del Art. 23. La base de licitud y el mecanismo de transferencia concreto se cierran con el CLIENTE, que es el responsable del tratamiento. Nosotros somos encargados.</w:t>
      </w:r>
    </w:p>
    <w:p>
      <w:pPr>
        <w:keepNext/>
        <w:spacing w:after="30" w:before="130" w:line="268"/>
        <w:ind w:left="460" w:hanging="460"/>
      </w:pPr>
      <w:r>
        <w:rPr>
          <w:rFonts w:ascii="Calibri" w:cs="Calibri" w:eastAsia="Calibri" w:hAnsi="Calibri"/>
          <w:b/>
          <w:bCs/>
          <w:color w:val="9C27B0"/>
          <w:sz w:val="15"/>
          <w:szCs w:val="15"/>
        </w:rPr>
        <w:t xml:space="preserve">TRAMPA  </w:t>
      </w:r>
      <w:r>
        <w:rPr>
          <w:rFonts w:ascii="Calibri" w:cs="Calibri" w:eastAsia="Calibri" w:hAnsi="Calibri"/>
          <w:b/>
          <w:bCs/>
          <w:i/>
          <w:iCs/>
          <w:color w:val="000000"/>
          <w:sz w:val="19"/>
          <w:szCs w:val="19"/>
        </w:rPr>
        <w:t xml:space="preserve">Treinta y seis componentes, once on-premise, doce híbridos y trece de nube pura. Los híbridos son un tercio. ¿No es eso duplicar la operación y el costo?</w:t>
      </w:r>
    </w:p>
    <w:p>
      <w:pPr>
        <w:pBdr>
          <w:left w:val="single" w:color="1F3864" w:sz="10" w:space="8"/>
        </w:pBdr>
        <w:spacing w:after="60" w:line="268"/>
        <w:ind w:left="460"/>
      </w:pPr>
      <w:r>
        <w:rPr>
          <w:rFonts w:ascii="Calibri" w:cs="Calibri" w:eastAsia="Calibri" w:hAnsi="Calibri"/>
          <w:color w:val="333333"/>
          <w:sz w:val="19"/>
          <w:szCs w:val="19"/>
        </w:rPr>
        <w:t xml:space="preserve">Un componente híbrido no es el mismo componente dos veces: es una capacidad con una pieza en cada dominio y funciones distintas —el maestro de bodega local y su réplica en nube, el broker local y la cola en nube—. La duplicación que evitamos es la de fuentes de verdad: cada dato tiene un solo maestro, y eso está declarado componente por componente.</w:t>
      </w:r>
    </w:p>
    <w:p>
      <w:pPr>
        <w:keepNext/>
        <w:spacing w:after="30" w:before="130" w:line="268"/>
        <w:ind w:left="460" w:hanging="460"/>
      </w:pPr>
      <w:r>
        <w:rPr>
          <w:rFonts w:ascii="Calibri" w:cs="Calibri" w:eastAsia="Calibri" w:hAnsi="Calibri"/>
          <w:b/>
          <w:bCs/>
          <w:color w:val="00695C"/>
          <w:sz w:val="15"/>
          <w:szCs w:val="15"/>
        </w:rPr>
        <w:t xml:space="preserve">CIFRA  </w:t>
      </w:r>
      <w:r>
        <w:rPr>
          <w:rFonts w:ascii="Calibri" w:cs="Calibri" w:eastAsia="Calibri" w:hAnsi="Calibri"/>
          <w:b/>
          <w:bCs/>
          <w:i/>
          <w:iCs/>
          <w:color w:val="000000"/>
          <w:sz w:val="19"/>
          <w:szCs w:val="19"/>
        </w:rPr>
        <w:t xml:space="preserve">La proyección a tres años agrega una séptima instalación. ¿Dónde, y quién paga la infraestructura de ese sitio?</w:t>
      </w:r>
    </w:p>
    <w:p>
      <w:pPr>
        <w:pBdr>
          <w:left w:val="single" w:color="1F3864" w:sz="10" w:space="8"/>
        </w:pBdr>
        <w:spacing w:after="60" w:line="268"/>
        <w:ind w:left="460"/>
      </w:pPr>
      <w:r>
        <w:rPr>
          <w:rFonts w:ascii="Calibri" w:cs="Calibri" w:eastAsia="Calibri" w:hAnsi="Calibri"/>
          <w:color w:val="333333"/>
          <w:sz w:val="19"/>
          <w:szCs w:val="19"/>
        </w:rPr>
        <w:t xml:space="preserve">El caso proyecta el crecimiento sin fijar la ubicación. La arquitectura la absorbe por parametrización topológica —un sitio nuevo replica la plantilla del clúster sin rediseño del modelo de datos— y el gabinete de crecimiento reservado en la sala de Talca absorbe la expansión sin obra adicional. El equipamiento del sitio nuevo es adquisición del CLIENTE, como el resto del inventario del Formulario T-11.</w:t>
      </w:r>
    </w:p>
    <w:p>
      <w:pPr>
        <w:pStyle w:val="Heading2"/>
        <w:keepNext/>
        <w:spacing w:after="20" w:before="340"/>
      </w:pPr>
      <w:r>
        <w:rPr>
          <w:rFonts w:ascii="Calibri" w:cs="Calibri" w:eastAsia="Calibri" w:hAnsi="Calibri"/>
          <w:b/>
          <w:bCs/>
          <w:color w:val="1F3864"/>
          <w:sz w:val="24"/>
          <w:szCs w:val="24"/>
        </w:rPr>
        <w:t xml:space="preserve">Diapositiva 24 · Arquitectura física — Cloud</w:t>
      </w:r>
    </w:p>
    <w:p>
      <w:pPr>
        <w:keepNext/>
        <w:pBdr>
          <w:bottom w:val="single" w:color="BFBFBF" w:sz="6" w:space="2"/>
        </w:pBdr>
        <w:spacing w:after="60"/>
      </w:pPr>
      <w:r>
        <w:rPr>
          <w:rFonts w:ascii="Calibri" w:cs="Calibri" w:eastAsia="Calibri" w:hAnsi="Calibri"/>
          <w:color w:val="595959"/>
          <w:sz w:val="16"/>
          <w:szCs w:val="16"/>
        </w:rPr>
        <w:t xml:space="preserve">4 preguntas</w:t>
      </w:r>
    </w:p>
    <w:p>
      <w:pPr>
        <w:keepNext/>
        <w:spacing w:after="30" w:before="130" w:line="268"/>
        <w:ind w:left="460" w:hanging="460"/>
      </w:pPr>
      <w:r>
        <w:rPr>
          <w:rFonts w:ascii="Calibri" w:cs="Calibri" w:eastAsia="Calibri" w:hAnsi="Calibri"/>
          <w:b/>
          <w:bCs/>
          <w:color w:val="0D47A1"/>
          <w:sz w:val="15"/>
          <w:szCs w:val="15"/>
        </w:rPr>
        <w:t xml:space="preserve">DISEÑO  </w:t>
      </w:r>
      <w:r>
        <w:rPr>
          <w:rFonts w:ascii="Calibri" w:cs="Calibri" w:eastAsia="Calibri" w:hAnsi="Calibri"/>
          <w:b/>
          <w:bCs/>
          <w:i/>
          <w:iCs/>
          <w:color w:val="000000"/>
          <w:sz w:val="19"/>
          <w:szCs w:val="19"/>
        </w:rPr>
        <w:t xml:space="preserve">Aurora aparece como réplica del maestro de bodega y a la vez como base transaccional de preventa y reparto. ¿Es réplica o es maestro?</w:t>
      </w:r>
    </w:p>
    <w:p>
      <w:pPr>
        <w:pBdr>
          <w:left w:val="single" w:color="1F3864" w:sz="10" w:space="8"/>
        </w:pBdr>
        <w:spacing w:after="60" w:line="268"/>
        <w:ind w:left="460"/>
      </w:pPr>
      <w:r>
        <w:rPr>
          <w:rFonts w:ascii="Calibri" w:cs="Calibri" w:eastAsia="Calibri" w:hAnsi="Calibri"/>
          <w:color w:val="333333"/>
          <w:sz w:val="19"/>
          <w:szCs w:val="19"/>
        </w:rPr>
        <w:t xml:space="preserve">Es las dos cosas para datos distintos y conviene decirlo así: es réplica y sitio de recuperación del maestro de bodega, que vive on-premise por sitio, y es maestro del transaccional de preventa y reparto, que nace en la nube. Ningún dato tiene dos maestros; lo que comparte es el motor.</w:t>
      </w:r>
    </w:p>
    <w:p>
      <w:pPr>
        <w:keepNext/>
        <w:spacing w:after="30" w:before="130" w:line="268"/>
        <w:ind w:left="460" w:hanging="460"/>
      </w:pPr>
      <w:r>
        <w:rPr>
          <w:rFonts w:ascii="Calibri" w:cs="Calibri" w:eastAsia="Calibri" w:hAnsi="Calibri"/>
          <w:b/>
          <w:bCs/>
          <w:color w:val="00695C"/>
          <w:sz w:val="15"/>
          <w:szCs w:val="15"/>
        </w:rPr>
        <w:t xml:space="preserve">CIFRA  </w:t>
      </w:r>
      <w:r>
        <w:rPr>
          <w:rFonts w:ascii="Calibri" w:cs="Calibri" w:eastAsia="Calibri" w:hAnsi="Calibri"/>
          <w:b/>
          <w:bCs/>
          <w:i/>
          <w:iCs/>
          <w:color w:val="000000"/>
          <w:sz w:val="19"/>
          <w:szCs w:val="19"/>
        </w:rPr>
        <w:t xml:space="preserve">La telemetría cruda vive treinta días con expiración automática, pero la retención sanitaria es de cinco años. ¿Qué pasa si la autoridad pide la curva del día cuarenta?</w:t>
      </w:r>
    </w:p>
    <w:p>
      <w:pPr>
        <w:pBdr>
          <w:left w:val="single" w:color="1F3864" w:sz="10" w:space="8"/>
        </w:pBdr>
        <w:spacing w:after="60" w:line="268"/>
        <w:ind w:left="460"/>
      </w:pPr>
      <w:r>
        <w:rPr>
          <w:rFonts w:ascii="Calibri" w:cs="Calibri" w:eastAsia="Calibri" w:hAnsi="Calibri"/>
          <w:color w:val="333333"/>
          <w:sz w:val="19"/>
          <w:szCs w:val="19"/>
        </w:rPr>
        <w:t xml:space="preserve">La curva consolidada sí está: el crudo se transforma y se deposita en formato columnar particionado por mes con cinco años de retención. Lo que expira a los treinta días es el registro crudo de alta frecuencia, no la serie. La evidencia que se entrega a la autoridad sale de la serie consolidada y de los eventos de trazabilidad, que son inmutables.</w:t>
      </w:r>
    </w:p>
    <w:p>
      <w:pPr>
        <w:keepNext/>
        <w:spacing w:after="30" w:before="130" w:line="268"/>
        <w:ind w:left="460" w:hanging="460"/>
      </w:pPr>
      <w:r>
        <w:rPr>
          <w:rFonts w:ascii="Calibri" w:cs="Calibri" w:eastAsia="Calibri" w:hAnsi="Calibri"/>
          <w:b/>
          <w:bCs/>
          <w:color w:val="9C27B0"/>
          <w:sz w:val="15"/>
          <w:szCs w:val="15"/>
        </w:rPr>
        <w:t xml:space="preserve">TRAMPA  </w:t>
      </w:r>
      <w:r>
        <w:rPr>
          <w:rFonts w:ascii="Calibri" w:cs="Calibri" w:eastAsia="Calibri" w:hAnsi="Calibri"/>
          <w:b/>
          <w:bCs/>
          <w:i/>
          <w:iCs/>
          <w:color w:val="000000"/>
          <w:sz w:val="19"/>
          <w:szCs w:val="19"/>
        </w:rPr>
        <w:t xml:space="preserve">Declaran consistencia eventual reconciliada. Para stock, eso significa que dos operaciones pueden comprometer la misma unidad. ¿Dónde exactamente exigen consistencia fuerte?</w:t>
      </w:r>
    </w:p>
    <w:p>
      <w:pPr>
        <w:pBdr>
          <w:left w:val="single" w:color="1F3864" w:sz="10" w:space="8"/>
        </w:pBdr>
        <w:spacing w:after="60" w:line="268"/>
        <w:ind w:left="460"/>
      </w:pPr>
      <w:r>
        <w:rPr>
          <w:rFonts w:ascii="Calibri" w:cs="Calibri" w:eastAsia="Calibri" w:hAnsi="Calibri"/>
          <w:color w:val="333333"/>
          <w:sz w:val="19"/>
          <w:szCs w:val="19"/>
        </w:rPr>
        <w:t xml:space="preserve">Donde el negocio lo exige y está declarado por dominio: la escritura del maestro de bodega del sitio es fuertemente consistente dentro del sitio. La consistencia eventual es entre sitios y con el terreno desconectado, y ahí el conflicto se resuelve por la regla de reserva declarada, con la decisión en bitácora. Elegir disponibilidad sobre consistencia fue una decisión explícita, no una consecuencia.</w:t>
      </w:r>
    </w:p>
    <w:p>
      <w:pPr>
        <w:keepNext/>
        <w:spacing w:after="30" w:before="130" w:line="268"/>
        <w:ind w:left="460" w:hanging="460"/>
      </w:pPr>
      <w:r>
        <w:rPr>
          <w:rFonts w:ascii="Calibri" w:cs="Calibri" w:eastAsia="Calibri" w:hAnsi="Calibri"/>
          <w:b/>
          <w:bCs/>
          <w:color w:val="1F3864"/>
          <w:sz w:val="15"/>
          <w:szCs w:val="15"/>
        </w:rPr>
        <w:t xml:space="preserve">NORMATIVA  </w:t>
      </w:r>
      <w:r>
        <w:rPr>
          <w:rFonts w:ascii="Calibri" w:cs="Calibri" w:eastAsia="Calibri" w:hAnsi="Calibri"/>
          <w:b/>
          <w:bCs/>
          <w:i/>
          <w:iCs/>
          <w:color w:val="000000"/>
          <w:sz w:val="19"/>
          <w:szCs w:val="19"/>
        </w:rPr>
        <w:t xml:space="preserve">Si la región primaria de São Paulo cae completa, ¿la operación de bodega se detiene?</w:t>
      </w:r>
    </w:p>
    <w:p>
      <w:pPr>
        <w:pBdr>
          <w:left w:val="single" w:color="1F3864" w:sz="10" w:space="8"/>
        </w:pBdr>
        <w:spacing w:after="60" w:line="268"/>
        <w:ind w:left="460"/>
      </w:pPr>
      <w:r>
        <w:rPr>
          <w:rFonts w:ascii="Calibri" w:cs="Calibri" w:eastAsia="Calibri" w:hAnsi="Calibri"/>
          <w:color w:val="333333"/>
          <w:sz w:val="19"/>
          <w:szCs w:val="19"/>
        </w:rPr>
        <w:t xml:space="preserve">No: los centros de distribución tienen veinticuatro horas de autonomía y las plataformas de cross-docking operan su ventana con nodo local. Lo que se detiene son portales, analítica y canal moderno hasta la promoción de la región secundaria, con objetivo de cuatro horas. La ventana crítica de despacho no depende de la nube por diseño.</w:t>
      </w:r>
    </w:p>
    <w:p>
      <w:pPr>
        <w:pStyle w:val="Heading2"/>
        <w:keepNext/>
        <w:spacing w:after="20" w:before="340"/>
      </w:pPr>
      <w:r>
        <w:rPr>
          <w:rFonts w:ascii="Calibri" w:cs="Calibri" w:eastAsia="Calibri" w:hAnsi="Calibri"/>
          <w:b/>
          <w:bCs/>
          <w:color w:val="1F3864"/>
          <w:sz w:val="24"/>
          <w:szCs w:val="24"/>
        </w:rPr>
        <w:t xml:space="preserve">Diapositiva 25 · Arquitectura física — Talca</w:t>
      </w:r>
    </w:p>
    <w:p>
      <w:pPr>
        <w:keepNext/>
        <w:pBdr>
          <w:bottom w:val="single" w:color="BFBFBF" w:sz="6" w:space="2"/>
        </w:pBdr>
        <w:spacing w:after="60"/>
      </w:pPr>
      <w:r>
        <w:rPr>
          <w:rFonts w:ascii="Calibri" w:cs="Calibri" w:eastAsia="Calibri" w:hAnsi="Calibri"/>
          <w:color w:val="595959"/>
          <w:sz w:val="16"/>
          <w:szCs w:val="16"/>
        </w:rPr>
        <w:t xml:space="preserve">4 preguntas</w:t>
      </w:r>
    </w:p>
    <w:p>
      <w:pPr>
        <w:keepNext/>
        <w:spacing w:after="30" w:before="130" w:line="268"/>
        <w:ind w:left="460" w:hanging="460"/>
      </w:pPr>
      <w:r>
        <w:rPr>
          <w:rFonts w:ascii="Calibri" w:cs="Calibri" w:eastAsia="Calibri" w:hAnsi="Calibri"/>
          <w:b/>
          <w:bCs/>
          <w:color w:val="00695C"/>
          <w:sz w:val="15"/>
          <w:szCs w:val="15"/>
        </w:rPr>
        <w:t xml:space="preserve">CIFRA  </w:t>
      </w:r>
      <w:r>
        <w:rPr>
          <w:rFonts w:ascii="Calibri" w:cs="Calibri" w:eastAsia="Calibri" w:hAnsi="Calibri"/>
          <w:b/>
          <w:bCs/>
          <w:i/>
          <w:iCs/>
          <w:color w:val="000000"/>
          <w:sz w:val="19"/>
          <w:szCs w:val="19"/>
        </w:rPr>
        <w:t xml:space="preserve">UPS de seis kVA, generador de doce kVA y dos equipos de clima de doce mil BTU. ¿Cuál es la carga informática declarada de la sala, y esos números la sostienen con N más uno?</w:t>
      </w:r>
    </w:p>
    <w:p>
      <w:pPr>
        <w:pBdr>
          <w:left w:val="single" w:color="1F3864" w:sz="10" w:space="8"/>
        </w:pBdr>
        <w:spacing w:after="60" w:line="268"/>
        <w:ind w:left="460"/>
      </w:pPr>
      <w:r>
        <w:rPr>
          <w:rFonts w:ascii="Calibri" w:cs="Calibri" w:eastAsia="Calibri" w:hAnsi="Calibri"/>
          <w:color w:val="333333"/>
          <w:sz w:val="19"/>
          <w:szCs w:val="19"/>
        </w:rPr>
        <w:t xml:space="preserve">El dimensionamiento por rack y la carga total están en el Subdocumento 4.2 con su tabla de componentes de sala; el generador con estanque para veinticuatro horas cubre la sala y sus servicios auxiliares, con transferencia automática probada mensualmente con carga real y factor de potencia declarado. Si quieren el desglose carga por carga, está en el documento y prefiero leerlo que aproximarlo.</w:t>
      </w:r>
    </w:p>
    <w:p>
      <w:pPr>
        <w:keepNext/>
        <w:spacing w:after="30" w:before="130" w:line="268"/>
        <w:ind w:left="460" w:hanging="460"/>
      </w:pPr>
      <w:r>
        <w:rPr>
          <w:rFonts w:ascii="Calibri" w:cs="Calibri" w:eastAsia="Calibri" w:hAnsi="Calibri"/>
          <w:b/>
          <w:bCs/>
          <w:color w:val="1F3864"/>
          <w:sz w:val="15"/>
          <w:szCs w:val="15"/>
        </w:rPr>
        <w:t xml:space="preserve">NORMATIVA  </w:t>
      </w:r>
      <w:r>
        <w:rPr>
          <w:rFonts w:ascii="Calibri" w:cs="Calibri" w:eastAsia="Calibri" w:hAnsi="Calibri"/>
          <w:b/>
          <w:bCs/>
          <w:i/>
          <w:iCs/>
          <w:color w:val="000000"/>
          <w:sz w:val="19"/>
          <w:szCs w:val="19"/>
        </w:rPr>
        <w:t xml:space="preserve">Custodia de medios con menos de trescientos lux y rotación semanal a bóveda externa. ¿Por qué mantienen medios físicos si ya tienen la copia inmutable en la nube?</w:t>
      </w:r>
    </w:p>
    <w:p>
      <w:pPr>
        <w:pBdr>
          <w:left w:val="single" w:color="1F3864" w:sz="10" w:space="8"/>
        </w:pBdr>
        <w:spacing w:after="60" w:line="268"/>
        <w:ind w:left="460"/>
      </w:pPr>
      <w:r>
        <w:rPr>
          <w:rFonts w:ascii="Calibri" w:cs="Calibri" w:eastAsia="Calibri" w:hAnsi="Calibri"/>
          <w:color w:val="333333"/>
          <w:sz w:val="19"/>
          <w:szCs w:val="19"/>
        </w:rPr>
        <w:t xml:space="preserve">Porque son piernas distintas del esquema tres, dos, uno, uno, cero, y la inmutable en la nube no reemplaza a la copia fuera de sitio bajo custodia acreditada. La rotación semanal con cadena de custodia y bitácora protege contra el escenario en que la cuenta de nube misma es el activo comprometido. Es redundancia deliberada, no herencia.</w:t>
      </w:r>
    </w:p>
    <w:p>
      <w:pPr>
        <w:keepNext/>
        <w:spacing w:after="30" w:before="130" w:line="268"/>
        <w:ind w:left="460" w:hanging="460"/>
      </w:pPr>
      <w:r>
        <w:rPr>
          <w:rFonts w:ascii="Calibri" w:cs="Calibri" w:eastAsia="Calibri" w:hAnsi="Calibri"/>
          <w:b/>
          <w:bCs/>
          <w:color w:val="9C27B0"/>
          <w:sz w:val="15"/>
          <w:szCs w:val="15"/>
        </w:rPr>
        <w:t xml:space="preserve">TRAMPA  </w:t>
      </w:r>
      <w:r>
        <w:rPr>
          <w:rFonts w:ascii="Calibri" w:cs="Calibri" w:eastAsia="Calibri" w:hAnsi="Calibri"/>
          <w:b/>
          <w:bCs/>
          <w:i/>
          <w:iCs/>
          <w:color w:val="000000"/>
          <w:sz w:val="19"/>
          <w:szCs w:val="19"/>
        </w:rPr>
        <w:t xml:space="preserve">Cuatro capas de acceso con biometría facial y esclusa antipassback para una sala de treinta y dos metros en un centro de distribución de alimentos. ¿No es desproporcionado?</w:t>
      </w:r>
    </w:p>
    <w:p>
      <w:pPr>
        <w:pBdr>
          <w:left w:val="single" w:color="1F3864" w:sz="10" w:space="8"/>
        </w:pBdr>
        <w:spacing w:after="60" w:line="268"/>
        <w:ind w:left="460"/>
      </w:pPr>
      <w:r>
        <w:rPr>
          <w:rFonts w:ascii="Calibri" w:cs="Calibri" w:eastAsia="Calibri" w:hAnsi="Calibri"/>
          <w:color w:val="333333"/>
          <w:sz w:val="19"/>
          <w:szCs w:val="19"/>
        </w:rPr>
        <w:t xml:space="preserve">Es lo que exige el pliego, RT-06.20 a RT-06.24, y la propuesta responde requisito por requisito en el Formulario T-12. Si al mandante le parece desproporcionado, es una conversación legítima sobre el requisito, no sobre nuestra respuesta a él: nosotros no podemos rebajarlo unilateralmente.</w:t>
      </w:r>
    </w:p>
    <w:p>
      <w:pPr>
        <w:keepNext/>
        <w:spacing w:after="30" w:before="130" w:line="268"/>
        <w:ind w:left="460" w:hanging="460"/>
      </w:pPr>
      <w:r>
        <w:rPr>
          <w:rFonts w:ascii="Calibri" w:cs="Calibri" w:eastAsia="Calibri" w:hAnsi="Calibri"/>
          <w:b/>
          <w:bCs/>
          <w:color w:val="0D47A1"/>
          <w:sz w:val="15"/>
          <w:szCs w:val="15"/>
        </w:rPr>
        <w:t xml:space="preserve">DISEÑO  </w:t>
      </w:r>
      <w:r>
        <w:rPr>
          <w:rFonts w:ascii="Calibri" w:cs="Calibri" w:eastAsia="Calibri" w:hAnsi="Calibri"/>
          <w:b/>
          <w:bCs/>
          <w:i/>
          <w:iCs/>
          <w:color w:val="000000"/>
          <w:sz w:val="19"/>
          <w:szCs w:val="19"/>
        </w:rPr>
        <w:t xml:space="preserve">Si Talca es sitio primario y Concepción no es su réplica, ¿qué pasa con el maestro de bodega de Talca si la sala se pierde por completo?</w:t>
      </w:r>
    </w:p>
    <w:p>
      <w:pPr>
        <w:pBdr>
          <w:left w:val="single" w:color="1F3864" w:sz="10" w:space="8"/>
        </w:pBdr>
        <w:spacing w:after="60" w:line="268"/>
        <w:ind w:left="460"/>
      </w:pPr>
      <w:r>
        <w:rPr>
          <w:rFonts w:ascii="Calibri" w:cs="Calibri" w:eastAsia="Calibri" w:hAnsi="Calibri"/>
          <w:color w:val="333333"/>
          <w:sz w:val="19"/>
          <w:szCs w:val="19"/>
        </w:rPr>
        <w:t xml:space="preserve">La réplica del maestro de bodega de Talca está en la nube, no en Concepción, y la copia local rápida está en el respaldo de sitio con objetivo de cuatro horas. Concepción no es sitio de recuperación de Talca por decisión: duplicar Talca habría sido más caro que usar la región de nube que ya está en la arquitectura por el híbrido obligatorio.</w:t>
      </w:r>
    </w:p>
    <w:p>
      <w:pPr>
        <w:pStyle w:val="Heading2"/>
        <w:keepNext/>
        <w:spacing w:after="20" w:before="340"/>
      </w:pPr>
      <w:r>
        <w:rPr>
          <w:rFonts w:ascii="Calibri" w:cs="Calibri" w:eastAsia="Calibri" w:hAnsi="Calibri"/>
          <w:b/>
          <w:bCs/>
          <w:color w:val="1F3864"/>
          <w:sz w:val="24"/>
          <w:szCs w:val="24"/>
        </w:rPr>
        <w:t xml:space="preserve">Diapositiva 26 · Arquitectura física — Concepción</w:t>
      </w:r>
    </w:p>
    <w:p>
      <w:pPr>
        <w:keepNext/>
        <w:pBdr>
          <w:bottom w:val="single" w:color="BFBFBF" w:sz="6" w:space="2"/>
        </w:pBdr>
        <w:spacing w:after="60"/>
      </w:pPr>
      <w:r>
        <w:rPr>
          <w:rFonts w:ascii="Calibri" w:cs="Calibri" w:eastAsia="Calibri" w:hAnsi="Calibri"/>
          <w:color w:val="595959"/>
          <w:sz w:val="16"/>
          <w:szCs w:val="16"/>
        </w:rPr>
        <w:t xml:space="preserve">3 preguntas</w:t>
      </w:r>
    </w:p>
    <w:p>
      <w:pPr>
        <w:keepNext/>
        <w:spacing w:after="30" w:before="130" w:line="268"/>
        <w:ind w:left="460" w:hanging="460"/>
      </w:pPr>
      <w:r>
        <w:rPr>
          <w:rFonts w:ascii="Calibri" w:cs="Calibri" w:eastAsia="Calibri" w:hAnsi="Calibri"/>
          <w:b/>
          <w:bCs/>
          <w:color w:val="9C27B0"/>
          <w:sz w:val="15"/>
          <w:szCs w:val="15"/>
        </w:rPr>
        <w:t xml:space="preserve">TRAMPA  </w:t>
      </w:r>
      <w:r>
        <w:rPr>
          <w:rFonts w:ascii="Calibri" w:cs="Calibri" w:eastAsia="Calibri" w:hAnsi="Calibri"/>
          <w:b/>
          <w:bCs/>
          <w:i/>
          <w:iCs/>
          <w:color w:val="000000"/>
          <w:sz w:val="19"/>
          <w:szCs w:val="19"/>
        </w:rPr>
        <w:t xml:space="preserve">Concepción opera con WMS en modo reducido. ¿Qué deja de poder hacer, y el jefe de bodega lo sabe?</w:t>
      </w:r>
    </w:p>
    <w:p>
      <w:pPr>
        <w:pBdr>
          <w:left w:val="single" w:color="1F3864" w:sz="10" w:space="8"/>
        </w:pBdr>
        <w:spacing w:after="60" w:line="268"/>
        <w:ind w:left="460"/>
      </w:pPr>
      <w:r>
        <w:rPr>
          <w:rFonts w:ascii="Calibri" w:cs="Calibri" w:eastAsia="Calibri" w:hAnsi="Calibri"/>
          <w:color w:val="333333"/>
          <w:sz w:val="19"/>
          <w:szCs w:val="19"/>
        </w:rPr>
        <w:t xml:space="preserve">El modo reducido cubre recepción, ubicación, misiones de picking y despacho del sitio; lo que no ejecuta localmente son las funciones consolidadas multi-sitio y la analítica, que son diferibles. Es una degradación declarada, no un descubrimiento: la declaración formal de qué no opera sin conexión es una exigencia de RT-03.13 y está en la tabla de emplazamiento.</w:t>
      </w:r>
    </w:p>
    <w:p>
      <w:pPr>
        <w:keepNext/>
        <w:spacing w:after="30" w:before="130" w:line="268"/>
        <w:ind w:left="460" w:hanging="460"/>
      </w:pPr>
      <w:r>
        <w:rPr>
          <w:rFonts w:ascii="Calibri" w:cs="Calibri" w:eastAsia="Calibri" w:hAnsi="Calibri"/>
          <w:b/>
          <w:bCs/>
          <w:color w:val="00695C"/>
          <w:sz w:val="15"/>
          <w:szCs w:val="15"/>
        </w:rPr>
        <w:t xml:space="preserve">CIFRA  </w:t>
      </w:r>
      <w:r>
        <w:rPr>
          <w:rFonts w:ascii="Calibri" w:cs="Calibri" w:eastAsia="Calibri" w:hAnsi="Calibri"/>
          <w:b/>
          <w:bCs/>
          <w:i/>
          <w:iCs/>
          <w:color w:val="000000"/>
          <w:sz w:val="19"/>
          <w:szCs w:val="19"/>
        </w:rPr>
        <w:t xml:space="preserve">Nueve mil metros cuadrados operando hoy con planillas locales. ¿Cuántos datos hay que migrar desde esas planillas y cuánto tarda?</w:t>
      </w:r>
    </w:p>
    <w:p>
      <w:pPr>
        <w:pBdr>
          <w:left w:val="single" w:color="1F3864" w:sz="10" w:space="8"/>
        </w:pBdr>
        <w:spacing w:after="60" w:line="268"/>
        <w:ind w:left="460"/>
      </w:pPr>
      <w:r>
        <w:rPr>
          <w:rFonts w:ascii="Calibri" w:cs="Calibri" w:eastAsia="Calibri" w:hAnsi="Calibri"/>
          <w:color w:val="333333"/>
          <w:sz w:val="19"/>
          <w:szCs w:val="19"/>
        </w:rPr>
        <w:t xml:space="preserve">El alcance y los volúmenes por migrar están declarados por origen —ERP, WMS y planillas— con dos ensayos completos de migración sobre preproducción, medición del tiempo total y conciliación cuantitativa donde toda diferencia queda explicada en bitácora. El caso de las planillas es el de mayor saneamiento previo esperado, junto con los duplicados de cliente por RUT.</w:t>
      </w:r>
    </w:p>
    <w:p>
      <w:pPr>
        <w:keepNext/>
        <w:spacing w:after="30" w:before="130" w:line="268"/>
        <w:ind w:left="460" w:hanging="460"/>
      </w:pPr>
      <w:r>
        <w:rPr>
          <w:rFonts w:ascii="Calibri" w:cs="Calibri" w:eastAsia="Calibri" w:hAnsi="Calibri"/>
          <w:b/>
          <w:bCs/>
          <w:color w:val="0D47A1"/>
          <w:sz w:val="15"/>
          <w:szCs w:val="15"/>
        </w:rPr>
        <w:t xml:space="preserve">DISEÑO  </w:t>
      </w:r>
      <w:r>
        <w:rPr>
          <w:rFonts w:ascii="Calibri" w:cs="Calibri" w:eastAsia="Calibri" w:hAnsi="Calibri"/>
          <w:b/>
          <w:bCs/>
          <w:i/>
          <w:iCs/>
          <w:color w:val="000000"/>
          <w:sz w:val="19"/>
          <w:szCs w:val="19"/>
        </w:rPr>
        <w:t xml:space="preserve">La caché de identidad tiene ocho horas de vida, pero el sitio debe operar veinticuatro sin enlace. ¿Qué pasa en la hora nueve?</w:t>
      </w:r>
    </w:p>
    <w:p>
      <w:pPr>
        <w:pBdr>
          <w:left w:val="single" w:color="1F3864" w:sz="10" w:space="8"/>
        </w:pBdr>
        <w:spacing w:after="60" w:line="268"/>
        <w:ind w:left="460"/>
      </w:pPr>
      <w:r>
        <w:rPr>
          <w:rFonts w:ascii="Calibri" w:cs="Calibri" w:eastAsia="Calibri" w:hAnsi="Calibri"/>
          <w:color w:val="333333"/>
          <w:sz w:val="19"/>
          <w:szCs w:val="19"/>
        </w:rPr>
        <w:t xml:space="preserve">La caché valida la firma localmente y su vida gobierna la propagación de revocaciones, no la sesión en curso: el operador autentica al inicio del turno y opera con un token de vida acotada al turno. La ventana de revocación declarada es de hasta ocho horas por vencimiento de caché y menos de veinticuatro por aprovisionamiento. Dicho eso, la interacción entre ocho y veinticuatro horas merece explicitarse mejor en el documento y lo anotamos.</w:t>
      </w:r>
    </w:p>
    <w:p>
      <w:pPr>
        <w:pStyle w:val="Heading2"/>
        <w:keepNext/>
        <w:spacing w:after="20" w:before="340"/>
      </w:pPr>
      <w:r>
        <w:rPr>
          <w:rFonts w:ascii="Calibri" w:cs="Calibri" w:eastAsia="Calibri" w:hAnsi="Calibri"/>
          <w:b/>
          <w:bCs/>
          <w:color w:val="1F3864"/>
          <w:sz w:val="24"/>
          <w:szCs w:val="24"/>
        </w:rPr>
        <w:t xml:space="preserve">Diapositiva 27 · Arquitectura física — Cross-docking</w:t>
      </w:r>
    </w:p>
    <w:p>
      <w:pPr>
        <w:keepNext/>
        <w:pBdr>
          <w:bottom w:val="single" w:color="BFBFBF" w:sz="6" w:space="2"/>
        </w:pBdr>
        <w:spacing w:after="60"/>
      </w:pPr>
      <w:r>
        <w:rPr>
          <w:rFonts w:ascii="Calibri" w:cs="Calibri" w:eastAsia="Calibri" w:hAnsi="Calibri"/>
          <w:color w:val="595959"/>
          <w:sz w:val="16"/>
          <w:szCs w:val="16"/>
        </w:rPr>
        <w:t xml:space="preserve">3 preguntas</w:t>
      </w:r>
    </w:p>
    <w:p>
      <w:pPr>
        <w:keepNext/>
        <w:spacing w:after="30" w:before="130" w:line="268"/>
        <w:ind w:left="460" w:hanging="460"/>
      </w:pPr>
      <w:r>
        <w:rPr>
          <w:rFonts w:ascii="Calibri" w:cs="Calibri" w:eastAsia="Calibri" w:hAnsi="Calibri"/>
          <w:b/>
          <w:bCs/>
          <w:color w:val="0D47A1"/>
          <w:sz w:val="15"/>
          <w:szCs w:val="15"/>
        </w:rPr>
        <w:t xml:space="preserve">DISEÑO  </w:t>
      </w:r>
      <w:r>
        <w:rPr>
          <w:rFonts w:ascii="Calibri" w:cs="Calibri" w:eastAsia="Calibri" w:hAnsi="Calibri"/>
          <w:b/>
          <w:bCs/>
          <w:i/>
          <w:iCs/>
          <w:color w:val="000000"/>
          <w:sz w:val="19"/>
          <w:szCs w:val="19"/>
        </w:rPr>
        <w:t xml:space="preserve">El cross-dock declara una ventana de tres horas, no veinticuatro. ¿Por qué la diferencia con los centros de distribución?</w:t>
      </w:r>
    </w:p>
    <w:p>
      <w:pPr>
        <w:pBdr>
          <w:left w:val="single" w:color="1F3864" w:sz="10" w:space="8"/>
        </w:pBdr>
        <w:spacing w:after="60" w:line="268"/>
        <w:ind w:left="460"/>
      </w:pPr>
      <w:r>
        <w:rPr>
          <w:rFonts w:ascii="Calibri" w:cs="Calibri" w:eastAsia="Calibri" w:hAnsi="Calibri"/>
          <w:color w:val="333333"/>
          <w:sz w:val="19"/>
          <w:szCs w:val="19"/>
        </w:rPr>
        <w:t xml:space="preserve">Porque el cross-docking no almacena: su operación es una ventana de paso. Dimensionar veinticuatro horas de autonomía ahí sería sobredimensionar. Y lo crítico de esos sitios no depende de Talca: publican sus eventos directo a la cola en nube y solo el detalle del mini-almacén viaja a Talca.</w:t>
      </w:r>
    </w:p>
    <w:p>
      <w:pPr>
        <w:keepNext/>
        <w:spacing w:after="30" w:before="130" w:line="268"/>
        <w:ind w:left="460" w:hanging="460"/>
      </w:pPr>
      <w:r>
        <w:rPr>
          <w:rFonts w:ascii="Calibri" w:cs="Calibri" w:eastAsia="Calibri" w:hAnsi="Calibri"/>
          <w:b/>
          <w:bCs/>
          <w:color w:val="9C27B0"/>
          <w:sz w:val="15"/>
          <w:szCs w:val="15"/>
        </w:rPr>
        <w:t xml:space="preserve">TRAMPA  </w:t>
      </w:r>
      <w:r>
        <w:rPr>
          <w:rFonts w:ascii="Calibri" w:cs="Calibri" w:eastAsia="Calibri" w:hAnsi="Calibri"/>
          <w:b/>
          <w:bCs/>
          <w:i/>
          <w:iCs/>
          <w:color w:val="000000"/>
          <w:sz w:val="19"/>
          <w:szCs w:val="19"/>
        </w:rPr>
        <w:t xml:space="preserve">Starlink tiene latencia variable y cortes por clima. ¿Midieron la latencia real en Curicó, Chillán y Los Ángeles antes de declararlo enlace principal?</w:t>
      </w:r>
    </w:p>
    <w:p>
      <w:pPr>
        <w:pBdr>
          <w:left w:val="single" w:color="1F3864" w:sz="10" w:space="8"/>
        </w:pBdr>
        <w:spacing w:after="60" w:line="268"/>
        <w:ind w:left="460"/>
      </w:pPr>
      <w:r>
        <w:rPr>
          <w:rFonts w:ascii="Calibri" w:cs="Calibri" w:eastAsia="Calibri" w:hAnsi="Calibri"/>
          <w:color w:val="333333"/>
          <w:sz w:val="19"/>
          <w:szCs w:val="19"/>
        </w:rPr>
        <w:t xml:space="preserve">No en terreno, y no afirmamos haberlo hecho: la validación de enlace por sitio, incluida la medición y el estudio de sitio inalámbrico, es parte del levantamiento de la Etapa 1. Lo que el diseño garantiza sin esa medición es que la operación no depende del enlace: tres tecnologías por centro, conmutación automática bajo treinta segundos, y nodo local que opera sin ninguna de las tres.</w:t>
      </w:r>
    </w:p>
    <w:p>
      <w:pPr>
        <w:keepNext/>
        <w:spacing w:after="30" w:before="130" w:line="268"/>
        <w:ind w:left="460" w:hanging="460"/>
      </w:pPr>
      <w:r>
        <w:rPr>
          <w:rFonts w:ascii="Calibri" w:cs="Calibri" w:eastAsia="Calibri" w:hAnsi="Calibri"/>
          <w:b/>
          <w:bCs/>
          <w:color w:val="BF6000"/>
          <w:sz w:val="15"/>
          <w:szCs w:val="15"/>
        </w:rPr>
        <w:t xml:space="preserve">ALCANCE  </w:t>
      </w:r>
      <w:r>
        <w:rPr>
          <w:rFonts w:ascii="Calibri" w:cs="Calibri" w:eastAsia="Calibri" w:hAnsi="Calibri"/>
          <w:b/>
          <w:bCs/>
          <w:i/>
          <w:iCs/>
          <w:color w:val="000000"/>
          <w:sz w:val="19"/>
          <w:szCs w:val="19"/>
        </w:rPr>
        <w:t xml:space="preserve">Si hoy no hay control de inventario en los tres cross-dock, no hay stock inicial. ¿De dónde sale?</w:t>
      </w:r>
    </w:p>
    <w:p>
      <w:pPr>
        <w:pBdr>
          <w:left w:val="single" w:color="1F3864" w:sz="10" w:space="8"/>
        </w:pBdr>
        <w:spacing w:after="60" w:line="268"/>
        <w:ind w:left="460"/>
      </w:pPr>
      <w:r>
        <w:rPr>
          <w:rFonts w:ascii="Calibri" w:cs="Calibri" w:eastAsia="Calibri" w:hAnsi="Calibri"/>
          <w:color w:val="333333"/>
          <w:sz w:val="19"/>
          <w:szCs w:val="19"/>
        </w:rPr>
        <w:t xml:space="preserve">De un inventario de apertura acordado con el CLIENTE, igual que con los envases retornables. Está registrado como vacío y resuelto por decisión fundada: no deducimos un saldo que nunca se midió.</w:t>
      </w:r>
    </w:p>
    <w:p>
      <w:pPr>
        <w:pStyle w:val="Heading2"/>
        <w:keepNext/>
        <w:spacing w:after="20" w:before="340"/>
      </w:pPr>
      <w:r>
        <w:rPr>
          <w:rFonts w:ascii="Calibri" w:cs="Calibri" w:eastAsia="Calibri" w:hAnsi="Calibri"/>
          <w:b/>
          <w:bCs/>
          <w:color w:val="1F3864"/>
          <w:sz w:val="24"/>
          <w:szCs w:val="24"/>
        </w:rPr>
        <w:t xml:space="preserve">Diapositiva 28 · Tecnologías clave</w:t>
      </w:r>
    </w:p>
    <w:p>
      <w:pPr>
        <w:keepNext/>
        <w:pBdr>
          <w:bottom w:val="single" w:color="BFBFBF" w:sz="6" w:space="2"/>
        </w:pBdr>
        <w:spacing w:after="60"/>
      </w:pPr>
      <w:r>
        <w:rPr>
          <w:rFonts w:ascii="Calibri" w:cs="Calibri" w:eastAsia="Calibri" w:hAnsi="Calibri"/>
          <w:color w:val="595959"/>
          <w:sz w:val="16"/>
          <w:szCs w:val="16"/>
        </w:rPr>
        <w:t xml:space="preserve">4 preguntas</w:t>
      </w:r>
    </w:p>
    <w:p>
      <w:pPr>
        <w:keepNext/>
        <w:spacing w:after="30" w:before="130" w:line="268"/>
        <w:ind w:left="460" w:hanging="460"/>
      </w:pPr>
      <w:r>
        <w:rPr>
          <w:rFonts w:ascii="Calibri" w:cs="Calibri" w:eastAsia="Calibri" w:hAnsi="Calibri"/>
          <w:b/>
          <w:bCs/>
          <w:color w:val="00695C"/>
          <w:sz w:val="15"/>
          <w:szCs w:val="15"/>
        </w:rPr>
        <w:t xml:space="preserve">CIFRA  </w:t>
      </w:r>
      <w:r>
        <w:rPr>
          <w:rFonts w:ascii="Calibri" w:cs="Calibri" w:eastAsia="Calibri" w:hAnsi="Calibri"/>
          <w:b/>
          <w:bCs/>
          <w:i/>
          <w:iCs/>
          <w:color w:val="000000"/>
          <w:sz w:val="19"/>
          <w:szCs w:val="19"/>
        </w:rPr>
        <w:t xml:space="preserve">Cerca de doscientos setenta dispositivos. Pero son sesenta y dos preventistas, unos doscientos conductores y ciento veinte preparadores: casi cuatrocientas personas. ¿Alcanzan?</w:t>
      </w:r>
    </w:p>
    <w:p>
      <w:pPr>
        <w:pBdr>
          <w:left w:val="single" w:color="1F3864" w:sz="10" w:space="8"/>
        </w:pBdr>
        <w:spacing w:after="60" w:line="268"/>
        <w:ind w:left="460"/>
      </w:pPr>
      <w:r>
        <w:rPr>
          <w:rFonts w:ascii="Calibri" w:cs="Calibri" w:eastAsia="Calibri" w:hAnsi="Calibri"/>
          <w:color w:val="333333"/>
          <w:sz w:val="19"/>
          <w:szCs w:val="19"/>
        </w:rPr>
        <w:t xml:space="preserve">No es uno por persona y eso es deliberado: los terminales de bodega son compartidos entre turnos, y los conductores de transportistas externos son un caso contractual aparte, con identificación por clave de un solo uso y sin cuenta corporativa. La cantidad definitiva por perfil está en el inventario del Formulario T-11 con su justificación fila por fila.</w:t>
      </w:r>
    </w:p>
    <w:p>
      <w:pPr>
        <w:keepNext/>
        <w:spacing w:after="30" w:before="130" w:line="268"/>
        <w:ind w:left="460" w:hanging="460"/>
      </w:pPr>
      <w:r>
        <w:rPr>
          <w:rFonts w:ascii="Calibri" w:cs="Calibri" w:eastAsia="Calibri" w:hAnsi="Calibri"/>
          <w:b/>
          <w:bCs/>
          <w:color w:val="9C27B0"/>
          <w:sz w:val="15"/>
          <w:szCs w:val="15"/>
        </w:rPr>
        <w:t xml:space="preserve">TRAMPA  </w:t>
      </w:r>
      <w:r>
        <w:rPr>
          <w:rFonts w:ascii="Calibri" w:cs="Calibri" w:eastAsia="Calibri" w:hAnsi="Calibri"/>
          <w:b/>
          <w:bCs/>
          <w:i/>
          <w:iCs/>
          <w:color w:val="000000"/>
          <w:sz w:val="19"/>
          <w:szCs w:val="19"/>
        </w:rPr>
        <w:t xml:space="preserve">Dicen núcleo abierto y sin lock-in, pero la lista es CloudFront, API Gateway, Aurora, DynamoDB, Redshift, Fargate, IoT Core y Greengrass. Eso es dependencia de un proveedor de punta a punta.</w:t>
      </w:r>
    </w:p>
    <w:p>
      <w:pPr>
        <w:pBdr>
          <w:left w:val="single" w:color="1F3864" w:sz="10" w:space="8"/>
        </w:pBdr>
        <w:spacing w:after="60" w:line="268"/>
        <w:ind w:left="460"/>
      </w:pPr>
      <w:r>
        <w:rPr>
          <w:rFonts w:ascii="Calibri" w:cs="Calibri" w:eastAsia="Calibri" w:hAnsi="Calibri"/>
          <w:color w:val="333333"/>
          <w:sz w:val="19"/>
          <w:szCs w:val="19"/>
        </w:rPr>
        <w:t xml:space="preserve">Hay que separar las dos capas. El núcleo aplicativo —Django, Angular, PostgreSQL, Redis, RabbitMQ, Keycloak— es portable y ese es el que contiene la lógica de negocio. Los servicios administrados son infraestructura, elegidos para que un equipo de cuatro personas no opere nodos, y la migración de esa capa es costo, no imposibilidad. Además, el Art. 85 obliga a entregar los datos íntegros en formato interoperable con su diccionario.</w:t>
      </w:r>
    </w:p>
    <w:p>
      <w:pPr>
        <w:keepNext/>
        <w:spacing w:after="30" w:before="130" w:line="268"/>
        <w:ind w:left="460" w:hanging="460"/>
      </w:pPr>
      <w:r>
        <w:rPr>
          <w:rFonts w:ascii="Calibri" w:cs="Calibri" w:eastAsia="Calibri" w:hAnsi="Calibri"/>
          <w:b/>
          <w:bCs/>
          <w:color w:val="0D47A1"/>
          <w:sz w:val="15"/>
          <w:szCs w:val="15"/>
        </w:rPr>
        <w:t xml:space="preserve">DISEÑO  </w:t>
      </w:r>
      <w:r>
        <w:rPr>
          <w:rFonts w:ascii="Calibri" w:cs="Calibri" w:eastAsia="Calibri" w:hAnsi="Calibri"/>
          <w:b/>
          <w:bCs/>
          <w:i/>
          <w:iCs/>
          <w:color w:val="000000"/>
          <w:sz w:val="19"/>
          <w:szCs w:val="19"/>
        </w:rPr>
        <w:t xml:space="preserve">¿Cómo administran Docker Compose sobre Proxmox en cinco sitios sin orquestador? ¿Alguien entra por SSH a cada uno?</w:t>
      </w:r>
    </w:p>
    <w:p>
      <w:pPr>
        <w:pBdr>
          <w:left w:val="single" w:color="1F3864" w:sz="10" w:space="8"/>
        </w:pBdr>
        <w:spacing w:after="60" w:line="268"/>
        <w:ind w:left="460"/>
      </w:pPr>
      <w:r>
        <w:rPr>
          <w:rFonts w:ascii="Calibri" w:cs="Calibri" w:eastAsia="Calibri" w:hAnsi="Calibri"/>
          <w:color w:val="333333"/>
          <w:sz w:val="19"/>
          <w:szCs w:val="19"/>
        </w:rPr>
        <w:t xml:space="preserve">Nadie entra por un puerto publicado: la gestión remota va por agente sobre HTTPS saliente o por la VPN, y la configuración es infraestructura como código con Terraform y Ansible, versionada y reproducible. Elegimos Compose sobre un orquestador completo por la misma razón que el monolito modular: cinco sitios pequeños y un equipo de cuatro personas.</w:t>
      </w:r>
    </w:p>
    <w:p>
      <w:pPr>
        <w:keepNext/>
        <w:spacing w:after="30" w:before="130" w:line="268"/>
        <w:ind w:left="460" w:hanging="460"/>
      </w:pPr>
      <w:r>
        <w:rPr>
          <w:rFonts w:ascii="Calibri" w:cs="Calibri" w:eastAsia="Calibri" w:hAnsi="Calibri"/>
          <w:b/>
          <w:bCs/>
          <w:color w:val="C62828"/>
          <w:sz w:val="15"/>
          <w:szCs w:val="15"/>
        </w:rPr>
        <w:t xml:space="preserve">HUECO  </w:t>
      </w:r>
      <w:r>
        <w:rPr>
          <w:rFonts w:ascii="Calibri" w:cs="Calibri" w:eastAsia="Calibri" w:hAnsi="Calibri"/>
          <w:b/>
          <w:bCs/>
          <w:i/>
          <w:iCs/>
          <w:color w:val="000000"/>
          <w:sz w:val="19"/>
          <w:szCs w:val="19"/>
        </w:rPr>
        <w:t xml:space="preserve">Nombran Zebra DNA para gestión de dispositivos. Eso es del mismo fabricante de los terminales. ¿Qué pasa si el terminal certificado para menos veintidós grados es de otra marca?</w:t>
      </w:r>
    </w:p>
    <w:p>
      <w:pPr>
        <w:pBdr>
          <w:left w:val="single" w:color="1F3864" w:sz="10" w:space="8"/>
        </w:pBdr>
        <w:spacing w:after="60" w:line="268"/>
        <w:ind w:left="460"/>
      </w:pPr>
      <w:r>
        <w:rPr>
          <w:rFonts w:ascii="Calibri" w:cs="Calibri" w:eastAsia="Calibri" w:hAnsi="Calibri"/>
          <w:color w:val="333333"/>
          <w:sz w:val="19"/>
          <w:szCs w:val="19"/>
        </w:rPr>
        <w:t xml:space="preserve">Entonces la gestión se hace con la plataforma de Android Enterprise, que es la base y es neutral respecto del fabricante; Zebra DNA es la capa específica si el parque es Zebra. La elección del terminal está abierta y declarada como investigación, así que la gestión se declaró de modo que no dependa de esa elección.</w:t>
      </w:r>
    </w:p>
    <w:p>
      <w:pPr>
        <w:pStyle w:val="Heading2"/>
        <w:keepNext/>
        <w:spacing w:after="20" w:before="340"/>
      </w:pPr>
      <w:r>
        <w:rPr>
          <w:rFonts w:ascii="Calibri" w:cs="Calibri" w:eastAsia="Calibri" w:hAnsi="Calibri"/>
          <w:b/>
          <w:bCs/>
          <w:color w:val="1F3864"/>
          <w:sz w:val="24"/>
          <w:szCs w:val="24"/>
        </w:rPr>
        <w:t xml:space="preserve">Diapositiva 29 · Beneficios</w:t>
      </w:r>
    </w:p>
    <w:p>
      <w:pPr>
        <w:keepNext/>
        <w:pBdr>
          <w:bottom w:val="single" w:color="BFBFBF" w:sz="6" w:space="2"/>
        </w:pBdr>
        <w:spacing w:after="60"/>
      </w:pPr>
      <w:r>
        <w:rPr>
          <w:rFonts w:ascii="Calibri" w:cs="Calibri" w:eastAsia="Calibri" w:hAnsi="Calibri"/>
          <w:color w:val="595959"/>
          <w:sz w:val="16"/>
          <w:szCs w:val="16"/>
        </w:rPr>
        <w:t xml:space="preserve">3 preguntas</w:t>
      </w:r>
    </w:p>
    <w:p>
      <w:pPr>
        <w:keepNext/>
        <w:spacing w:after="30" w:before="130" w:line="268"/>
        <w:ind w:left="460" w:hanging="460"/>
      </w:pPr>
      <w:r>
        <w:rPr>
          <w:rFonts w:ascii="Calibri" w:cs="Calibri" w:eastAsia="Calibri" w:hAnsi="Calibri"/>
          <w:b/>
          <w:bCs/>
          <w:color w:val="9C27B0"/>
          <w:sz w:val="15"/>
          <w:szCs w:val="15"/>
        </w:rPr>
        <w:t xml:space="preserve">TRAMPA  </w:t>
      </w:r>
      <w:r>
        <w:rPr>
          <w:rFonts w:ascii="Calibri" w:cs="Calibri" w:eastAsia="Calibri" w:hAnsi="Calibri"/>
          <w:b/>
          <w:bCs/>
          <w:i/>
          <w:iCs/>
          <w:color w:val="000000"/>
          <w:sz w:val="19"/>
          <w:szCs w:val="19"/>
        </w:rPr>
        <w:t xml:space="preserve">Todo lo que enumeran son beneficios para Puelche. ¿Qué gana el preventista, que va a quedar con cada visita registrada y medida?</w:t>
      </w:r>
    </w:p>
    <w:p>
      <w:pPr>
        <w:pBdr>
          <w:left w:val="single" w:color="1F3864" w:sz="10" w:space="8"/>
        </w:pBdr>
        <w:spacing w:after="60" w:line="268"/>
        <w:ind w:left="460"/>
      </w:pPr>
      <w:r>
        <w:rPr>
          <w:rFonts w:ascii="Calibri" w:cs="Calibri" w:eastAsia="Calibri" w:hAnsi="Calibri"/>
          <w:color w:val="333333"/>
          <w:sz w:val="19"/>
          <w:szCs w:val="19"/>
        </w:rPr>
        <w:t xml:space="preserve">Gana dejar de ser responsable de información que no tiene: hoy carga el crédito del cliente en un cuaderno y responde por quiebres que no pudo anticipar. También gana un canal para registrar lo que ve en la góndola, que hoy se pierde. Y sí, su trabajo queda más medido: eso es parte de la gestión del cambio, y por eso arranca el mes uno y no después del diseño.</w:t>
      </w:r>
    </w:p>
    <w:p>
      <w:pPr>
        <w:keepNext/>
        <w:spacing w:after="30" w:before="130" w:line="268"/>
        <w:ind w:left="460" w:hanging="460"/>
      </w:pPr>
      <w:r>
        <w:rPr>
          <w:rFonts w:ascii="Calibri" w:cs="Calibri" w:eastAsia="Calibri" w:hAnsi="Calibri"/>
          <w:b/>
          <w:bCs/>
          <w:color w:val="1F3864"/>
          <w:sz w:val="15"/>
          <w:szCs w:val="15"/>
        </w:rPr>
        <w:t xml:space="preserve">NORMATIVA  </w:t>
      </w:r>
      <w:r>
        <w:rPr>
          <w:rFonts w:ascii="Calibri" w:cs="Calibri" w:eastAsia="Calibri" w:hAnsi="Calibri"/>
          <w:b/>
          <w:bCs/>
          <w:i/>
          <w:iCs/>
          <w:color w:val="000000"/>
          <w:sz w:val="19"/>
          <w:szCs w:val="19"/>
        </w:rPr>
        <w:t xml:space="preserve">«Sin cambiar su forma de comprar» y a la vez ofrecen autoatención por WhatsApp. ¿En qué quedamos?</w:t>
      </w:r>
    </w:p>
    <w:p>
      <w:pPr>
        <w:pBdr>
          <w:left w:val="single" w:color="1F3864" w:sz="10" w:space="8"/>
        </w:pBdr>
        <w:spacing w:after="60" w:line="268"/>
        <w:ind w:left="460"/>
      </w:pPr>
      <w:r>
        <w:rPr>
          <w:rFonts w:ascii="Calibri" w:cs="Calibri" w:eastAsia="Calibri" w:hAnsi="Calibri"/>
          <w:color w:val="333333"/>
          <w:sz w:val="19"/>
          <w:szCs w:val="19"/>
        </w:rPr>
        <w:t xml:space="preserve">En que el canal nuevo es opcional y aditivo: el almacenero que quiere seguir comprando al preventista compra igual, y el que quiere consultar su saldo o su hora de entrega a las once de la noche puede hacerlo sin instalar nada. La meta declarada es sesenta por ciento de los puntos con al menos una consulta autónoma al mes veinticuatro de operación, no la migración del canal.</w:t>
      </w:r>
    </w:p>
    <w:p>
      <w:pPr>
        <w:keepNext/>
        <w:spacing w:after="30" w:before="130" w:line="268"/>
        <w:ind w:left="460" w:hanging="460"/>
      </w:pPr>
      <w:r>
        <w:rPr>
          <w:rFonts w:ascii="Calibri" w:cs="Calibri" w:eastAsia="Calibri" w:hAnsi="Calibri"/>
          <w:b/>
          <w:bCs/>
          <w:color w:val="00695C"/>
          <w:sz w:val="15"/>
          <w:szCs w:val="15"/>
        </w:rPr>
        <w:t xml:space="preserve">CIFRA  </w:t>
      </w:r>
      <w:r>
        <w:rPr>
          <w:rFonts w:ascii="Calibri" w:cs="Calibri" w:eastAsia="Calibri" w:hAnsi="Calibri"/>
          <w:b/>
          <w:bCs/>
          <w:i/>
          <w:iCs/>
          <w:color w:val="000000"/>
          <w:sz w:val="19"/>
          <w:szCs w:val="19"/>
        </w:rPr>
        <w:t xml:space="preserve">Prometen costo de servir por cliente. Con catorce mil doscientos clientes, ¿alguien va a mirar catorce mil doscientas cifras?</w:t>
      </w:r>
    </w:p>
    <w:p>
      <w:pPr>
        <w:pBdr>
          <w:left w:val="single" w:color="1F3864" w:sz="10" w:space="8"/>
        </w:pBdr>
        <w:spacing w:after="60" w:line="268"/>
        <w:ind w:left="460"/>
      </w:pPr>
      <w:r>
        <w:rPr>
          <w:rFonts w:ascii="Calibri" w:cs="Calibri" w:eastAsia="Calibri" w:hAnsi="Calibri"/>
          <w:color w:val="333333"/>
          <w:sz w:val="19"/>
          <w:szCs w:val="19"/>
        </w:rPr>
        <w:t xml:space="preserve">No: el uso previsto es la segmentación por rentabilidad neta y las excepciones. El valor no está en la cifra individual sino en poder responder si el almacén de Empedrado que compra cuarenta y cinco mil pesos quincenales se atiende con margen o con pérdida, y en ordenar la política comercial con ese dato en vez de con un prorrateo de 2016.</w:t>
      </w:r>
    </w:p>
    <w:p>
      <w:pPr>
        <w:pStyle w:val="Heading2"/>
        <w:keepNext/>
        <w:spacing w:after="20" w:before="340"/>
      </w:pPr>
      <w:r>
        <w:rPr>
          <w:rFonts w:ascii="Calibri" w:cs="Calibri" w:eastAsia="Calibri" w:hAnsi="Calibri"/>
          <w:b/>
          <w:bCs/>
          <w:color w:val="1F3864"/>
          <w:sz w:val="24"/>
          <w:szCs w:val="24"/>
        </w:rPr>
        <w:t xml:space="preserve">Diapositiva 30 · Cierre</w:t>
      </w:r>
    </w:p>
    <w:p>
      <w:pPr>
        <w:keepNext/>
        <w:pBdr>
          <w:bottom w:val="single" w:color="BFBFBF" w:sz="6" w:space="2"/>
        </w:pBdr>
        <w:spacing w:after="60"/>
      </w:pPr>
      <w:r>
        <w:rPr>
          <w:rFonts w:ascii="Calibri" w:cs="Calibri" w:eastAsia="Calibri" w:hAnsi="Calibri"/>
          <w:color w:val="595959"/>
          <w:sz w:val="16"/>
          <w:szCs w:val="16"/>
        </w:rPr>
        <w:t xml:space="preserve">3 preguntas</w:t>
      </w:r>
    </w:p>
    <w:p>
      <w:pPr>
        <w:keepNext/>
        <w:spacing w:after="30" w:before="130" w:line="268"/>
        <w:ind w:left="460" w:hanging="460"/>
      </w:pPr>
      <w:r>
        <w:rPr>
          <w:rFonts w:ascii="Calibri" w:cs="Calibri" w:eastAsia="Calibri" w:hAnsi="Calibri"/>
          <w:b/>
          <w:bCs/>
          <w:color w:val="BF6000"/>
          <w:sz w:val="15"/>
          <w:szCs w:val="15"/>
        </w:rPr>
        <w:t xml:space="preserve">ALCANCE  </w:t>
      </w:r>
      <w:r>
        <w:rPr>
          <w:rFonts w:ascii="Calibri" w:cs="Calibri" w:eastAsia="Calibri" w:hAnsi="Calibri"/>
          <w:b/>
          <w:bCs/>
          <w:i/>
          <w:iCs/>
          <w:color w:val="000000"/>
          <w:sz w:val="19"/>
          <w:szCs w:val="19"/>
        </w:rPr>
        <w:t xml:space="preserve">Si hoy les observamos algo que exige rehacer la arquitectura, ¿alcanzan para el Informe 2 del cinco de octubre?</w:t>
      </w:r>
    </w:p>
    <w:p>
      <w:pPr>
        <w:pBdr>
          <w:left w:val="single" w:color="1F3864" w:sz="10" w:space="8"/>
        </w:pBdr>
        <w:spacing w:after="60" w:line="268"/>
        <w:ind w:left="460"/>
      </w:pPr>
      <w:r>
        <w:rPr>
          <w:rFonts w:ascii="Calibri" w:cs="Calibri" w:eastAsia="Calibri" w:hAnsi="Calibri"/>
          <w:color w:val="333333"/>
          <w:sz w:val="19"/>
          <w:szCs w:val="19"/>
        </w:rPr>
        <w:t xml:space="preserve">Depende del alcance de la observación, y lo diremos con franqueza en la tabla: cada observación se registra con su respuesta y la sección modificada. Si una observación no alcanza a incorporarse, se declara con su plazo, en vez de dejarla sin fila. Un cambio sin registro se lee como observación no atendida.</w:t>
      </w:r>
    </w:p>
    <w:p>
      <w:pPr>
        <w:keepNext/>
        <w:spacing w:after="30" w:before="130" w:line="268"/>
        <w:ind w:left="460" w:hanging="460"/>
      </w:pPr>
      <w:r>
        <w:rPr>
          <w:rFonts w:ascii="Calibri" w:cs="Calibri" w:eastAsia="Calibri" w:hAnsi="Calibri"/>
          <w:b/>
          <w:bCs/>
          <w:color w:val="9C27B0"/>
          <w:sz w:val="15"/>
          <w:szCs w:val="15"/>
        </w:rPr>
        <w:t xml:space="preserve">TRAMPA  </w:t>
      </w:r>
      <w:r>
        <w:rPr>
          <w:rFonts w:ascii="Calibri" w:cs="Calibri" w:eastAsia="Calibri" w:hAnsi="Calibri"/>
          <w:b/>
          <w:bCs/>
          <w:i/>
          <w:iCs/>
          <w:color w:val="000000"/>
          <w:sz w:val="19"/>
          <w:szCs w:val="19"/>
        </w:rPr>
        <w:t xml:space="preserve">A lo largo de la presentación reconocieron varias inconsistencias de su propio informe. ¿Cuántas más hay que no nos dijeron?</w:t>
      </w:r>
    </w:p>
    <w:p>
      <w:pPr>
        <w:pBdr>
          <w:left w:val="single" w:color="1F3864" w:sz="10" w:space="8"/>
        </w:pBdr>
        <w:spacing w:after="60" w:line="268"/>
        <w:ind w:left="460"/>
      </w:pPr>
      <w:r>
        <w:rPr>
          <w:rFonts w:ascii="Calibri" w:cs="Calibri" w:eastAsia="Calibri" w:hAnsi="Calibri"/>
          <w:color w:val="333333"/>
          <w:sz w:val="19"/>
          <w:szCs w:val="19"/>
        </w:rPr>
        <w:t xml:space="preserve">Las que hemos detectado en nuestra propia auditoría de coherencia están registradas y las vamos a listar en la tabla de trazabilidad del Informe 2: la enumeración de ambientes, el objetivo de recuperación del perfil corporativo frente al contractual, el conteo de actores, la ventana del canal moderno, el volumen de mensajes por integración y la asimetría del detalle de módulos. Que las declaremos antes de que ustedes las encuentren es el mejor indicador de cómo vamos a manejar el contrato.</w:t>
      </w:r>
    </w:p>
    <w:p>
      <w:pPr>
        <w:keepNext/>
        <w:spacing w:after="30" w:before="130" w:line="268"/>
        <w:ind w:left="460" w:hanging="460"/>
      </w:pPr>
      <w:r>
        <w:rPr>
          <w:rFonts w:ascii="Calibri" w:cs="Calibri" w:eastAsia="Calibri" w:hAnsi="Calibri"/>
          <w:b/>
          <w:bCs/>
          <w:color w:val="1F3864"/>
          <w:sz w:val="15"/>
          <w:szCs w:val="15"/>
        </w:rPr>
        <w:t xml:space="preserve">NORMATIVA  </w:t>
      </w:r>
      <w:r>
        <w:rPr>
          <w:rFonts w:ascii="Calibri" w:cs="Calibri" w:eastAsia="Calibri" w:hAnsi="Calibri"/>
          <w:b/>
          <w:bCs/>
          <w:i/>
          <w:iCs/>
          <w:color w:val="000000"/>
          <w:sz w:val="19"/>
          <w:szCs w:val="19"/>
        </w:rPr>
        <w:t xml:space="preserve">¿Qué pasa si el Acta de Respuestas del mandante contradice algo de lo que presentaron hoy?</w:t>
      </w:r>
    </w:p>
    <w:p>
      <w:pPr>
        <w:pBdr>
          <w:left w:val="single" w:color="1F3864" w:sz="10" w:space="8"/>
        </w:pBdr>
        <w:spacing w:after="60" w:line="268"/>
        <w:ind w:left="460"/>
      </w:pPr>
      <w:r>
        <w:rPr>
          <w:rFonts w:ascii="Calibri" w:cs="Calibri" w:eastAsia="Calibri" w:hAnsi="Calibri"/>
          <w:color w:val="333333"/>
          <w:sz w:val="19"/>
          <w:szCs w:val="19"/>
        </w:rPr>
        <w:t xml:space="preserve">Manda el Acta, y la propuesta se ajusta con su fila de trazabilidad. Por eso los doce vacíos están registrados con su estado: los que están elevados a consulta esperan respuesta, y los que resolvimos por precedencia o por decisión fundada llevan su justificación explícita. Ninguno quedó resuelto por preferencia nuestra.</w:t>
      </w:r>
    </w:p>
    <w:p>
      <w:r>
        <w:br w:type="page"/>
      </w:r>
    </w:p>
    <w:p>
      <w:pPr>
        <w:pStyle w:val="Heading1"/>
        <w:spacing w:after="160"/>
      </w:pPr>
      <w:r>
        <w:rPr>
          <w:rFonts w:ascii="Calibri" w:cs="Calibri" w:eastAsia="Calibri" w:hAnsi="Calibri"/>
          <w:b/>
          <w:bCs/>
          <w:color w:val="1F3864"/>
          <w:sz w:val="28"/>
          <w:szCs w:val="28"/>
        </w:rPr>
        <w:t xml:space="preserve">Anexo I · Inconsistencias de nuestro propio informe</w:t>
      </w:r>
    </w:p>
    <w:p>
      <w:pPr>
        <w:spacing w:after="120" w:before="0" w:line="276"/>
      </w:pPr>
      <w:r>
        <w:rPr>
          <w:rFonts w:ascii="Calibri" w:cs="Calibri" w:eastAsia="Calibri" w:hAnsi="Calibri"/>
          <w:sz w:val="20"/>
          <w:szCs w:val="20"/>
        </w:rPr>
        <w:t xml:space="preserve">Aparecieron al contrastar los siete subdocumentos entre sí para construir este banco. Ninguna es un error de criterio: son de redacción o de conteo. Pero todas son atacables, y la posición del equipo debe ser la misma en las ocho bocas: se reconocen, se dice cuál prevalece y se comprometen al Informe 2 con su fila de trazabilidad.</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750"/>
        <w:gridCol w:w="3550"/>
        <w:gridCol w:w="3500"/>
      </w:tblGrid>
      <w:tr>
        <w:trPr>
          <w:tblHeader/>
        </w:trPr>
        <w:tc>
          <w:tcPr>
            <w:tcW w:type="dxa" w:w="1750"/>
            <w:shd w:fill="1F3864" w:color="auto" w:val="clear"/>
            <w:tcMar>
              <w:top w:type="dxa" w:w="60"/>
              <w:left w:type="dxa" w:w="90"/>
              <w:bottom w:type="dxa" w:w="60"/>
              <w:right w:type="dxa" w:w="90"/>
            </w:tcMar>
            <w:vAlign w:val="center"/>
          </w:tcPr>
          <w:p>
            <w:pPr>
              <w:spacing w:after="0" w:line="240"/>
            </w:pPr>
            <w:r>
              <w:rPr>
                <w:rFonts w:ascii="Calibri" w:cs="Calibri" w:eastAsia="Calibri" w:hAnsi="Calibri"/>
                <w:b/>
                <w:bCs/>
                <w:color w:val="FFFFFF"/>
                <w:sz w:val="17"/>
                <w:szCs w:val="17"/>
              </w:rPr>
              <w:t xml:space="preserve">Tema</w:t>
            </w:r>
          </w:p>
        </w:tc>
        <w:tc>
          <w:tcPr>
            <w:tcW w:type="dxa" w:w="3550"/>
            <w:shd w:fill="1F3864" w:color="auto" w:val="clear"/>
            <w:tcMar>
              <w:top w:type="dxa" w:w="60"/>
              <w:left w:type="dxa" w:w="90"/>
              <w:bottom w:type="dxa" w:w="60"/>
              <w:right w:type="dxa" w:w="90"/>
            </w:tcMar>
            <w:vAlign w:val="center"/>
          </w:tcPr>
          <w:p>
            <w:pPr>
              <w:spacing w:after="0" w:line="240"/>
            </w:pPr>
            <w:r>
              <w:rPr>
                <w:rFonts w:ascii="Calibri" w:cs="Calibri" w:eastAsia="Calibri" w:hAnsi="Calibri"/>
                <w:b/>
                <w:bCs/>
                <w:color w:val="FFFFFF"/>
                <w:sz w:val="17"/>
                <w:szCs w:val="17"/>
              </w:rPr>
              <w:t xml:space="preserve">La inconsistencia</w:t>
            </w:r>
          </w:p>
        </w:tc>
        <w:tc>
          <w:tcPr>
            <w:tcW w:type="dxa" w:w="3500"/>
            <w:shd w:fill="1F3864" w:color="auto" w:val="clear"/>
            <w:tcMar>
              <w:top w:type="dxa" w:w="60"/>
              <w:left w:type="dxa" w:w="90"/>
              <w:bottom w:type="dxa" w:w="60"/>
              <w:right w:type="dxa" w:w="90"/>
            </w:tcMar>
            <w:vAlign w:val="center"/>
          </w:tcPr>
          <w:p>
            <w:pPr>
              <w:spacing w:after="0" w:line="240"/>
            </w:pPr>
            <w:r>
              <w:rPr>
                <w:rFonts w:ascii="Calibri" w:cs="Calibri" w:eastAsia="Calibri" w:hAnsi="Calibri"/>
                <w:b/>
                <w:bCs/>
                <w:color w:val="FFFFFF"/>
                <w:sz w:val="17"/>
                <w:szCs w:val="17"/>
              </w:rPr>
              <w:t xml:space="preserve">Posición del equipo</w:t>
            </w:r>
          </w:p>
        </w:tc>
      </w:tr>
      <w:tr>
        <w:tc>
          <w:tcPr>
            <w:tcW w:type="dxa" w:w="1750"/>
            <w:tcMar>
              <w:top w:type="dxa" w:w="60"/>
              <w:left w:type="dxa" w:w="90"/>
              <w:bottom w:type="dxa" w:w="60"/>
              <w:right w:type="dxa" w:w="90"/>
            </w:tcMar>
            <w:vAlign w:val="center"/>
          </w:tcPr>
          <w:p>
            <w:pPr>
              <w:spacing w:after="0" w:line="240"/>
            </w:pPr>
            <w:r>
              <w:rPr>
                <w:rFonts w:ascii="Calibri" w:cs="Calibri" w:eastAsia="Calibri" w:hAnsi="Calibri"/>
                <w:b/>
                <w:bCs/>
                <w:color w:val="000000"/>
                <w:sz w:val="17"/>
                <w:szCs w:val="17"/>
              </w:rPr>
              <w:t xml:space="preserve">Ambientes</w:t>
            </w:r>
          </w:p>
        </w:tc>
        <w:tc>
          <w:tcPr>
            <w:tcW w:type="dxa" w:w="3550"/>
            <w:tcMar>
              <w:top w:type="dxa" w:w="60"/>
              <w:left w:type="dxa" w:w="90"/>
              <w:bottom w:type="dxa" w:w="60"/>
              <w:right w:type="dxa" w:w="90"/>
            </w:tcMar>
            <w:vAlign w:val="center"/>
          </w:tcPr>
          <w:p>
            <w:pPr>
              <w:spacing w:after="0" w:line="240"/>
            </w:pPr>
            <w:r>
              <w:rPr>
                <w:rFonts w:ascii="Calibri" w:cs="Calibri" w:eastAsia="Calibri" w:hAnsi="Calibri"/>
                <w:color w:val="000000"/>
                <w:sz w:val="17"/>
                <w:szCs w:val="17"/>
              </w:rPr>
              <w:t xml:space="preserve">El Subdoc. 1 enumera DEV, QA, STG, PROD y PREPROD/TRAINING más DR (5+1). El Subdoc. 3 enumera DEV, QA, PREPROD, PROD y DR, contando el DR entre los cinco.</w:t>
            </w:r>
          </w:p>
        </w:tc>
        <w:tc>
          <w:tcPr>
            <w:tcW w:type="dxa" w:w="3500"/>
            <w:tcMar>
              <w:top w:type="dxa" w:w="60"/>
              <w:left w:type="dxa" w:w="90"/>
              <w:bottom w:type="dxa" w:w="60"/>
              <w:right w:type="dxa" w:w="90"/>
            </w:tcMar>
            <w:vAlign w:val="center"/>
          </w:tcPr>
          <w:p>
            <w:pPr>
              <w:spacing w:after="0" w:line="240"/>
            </w:pPr>
            <w:r>
              <w:rPr>
                <w:rFonts w:ascii="Calibri" w:cs="Calibri" w:eastAsia="Calibri" w:hAnsi="Calibri"/>
                <w:color w:val="000000"/>
                <w:sz w:val="17"/>
                <w:szCs w:val="17"/>
              </w:rPr>
              <w:t xml:space="preserve">Prevalece 5 ambientes + DR, por RT-04.01. La enumeración del Subdoc. 3 está mal contada. Corrección en el Informe 2.</w:t>
            </w:r>
          </w:p>
        </w:tc>
      </w:tr>
      <w:tr>
        <w:tc>
          <w:tcPr>
            <w:tcW w:type="dxa" w:w="1750"/>
            <w:shd w:fill="F2F2F2" w:color="auto" w:val="clear"/>
            <w:tcMar>
              <w:top w:type="dxa" w:w="60"/>
              <w:left w:type="dxa" w:w="90"/>
              <w:bottom w:type="dxa" w:w="60"/>
              <w:right w:type="dxa" w:w="90"/>
            </w:tcMar>
            <w:vAlign w:val="center"/>
          </w:tcPr>
          <w:p>
            <w:pPr>
              <w:spacing w:after="0" w:line="240"/>
            </w:pPr>
            <w:r>
              <w:rPr>
                <w:rFonts w:ascii="Calibri" w:cs="Calibri" w:eastAsia="Calibri" w:hAnsi="Calibri"/>
                <w:b/>
                <w:bCs/>
                <w:color w:val="000000"/>
                <w:sz w:val="17"/>
                <w:szCs w:val="17"/>
              </w:rPr>
              <w:t xml:space="preserve">RTO / RPO</w:t>
            </w:r>
          </w:p>
        </w:tc>
        <w:tc>
          <w:tcPr>
            <w:tcW w:type="dxa" w:w="3550"/>
            <w:shd w:fill="F2F2F2" w:color="auto" w:val="clear"/>
            <w:tcMar>
              <w:top w:type="dxa" w:w="60"/>
              <w:left w:type="dxa" w:w="90"/>
              <w:bottom w:type="dxa" w:w="60"/>
              <w:right w:type="dxa" w:w="90"/>
            </w:tcMar>
            <w:vAlign w:val="center"/>
          </w:tcPr>
          <w:p>
            <w:pPr>
              <w:spacing w:after="0" w:line="240"/>
            </w:pPr>
            <w:r>
              <w:rPr>
                <w:rFonts w:ascii="Calibri" w:cs="Calibri" w:eastAsia="Calibri" w:hAnsi="Calibri"/>
                <w:color w:val="000000"/>
                <w:sz w:val="17"/>
                <w:szCs w:val="17"/>
              </w:rPr>
              <w:t xml:space="preserve">El Subdoc. 1 declara RTO 30 min y RPO 5 min como capacidad del NOC. El contrato compromete RTO ≤ 4 h y RPO ≤ 15 min (RT-07.04).</w:t>
            </w:r>
          </w:p>
        </w:tc>
        <w:tc>
          <w:tcPr>
            <w:tcW w:type="dxa" w:w="3500"/>
            <w:shd w:fill="F2F2F2" w:color="auto" w:val="clear"/>
            <w:tcMar>
              <w:top w:type="dxa" w:w="60"/>
              <w:left w:type="dxa" w:w="90"/>
              <w:bottom w:type="dxa" w:w="60"/>
              <w:right w:type="dxa" w:w="90"/>
            </w:tcMar>
            <w:vAlign w:val="center"/>
          </w:tcPr>
          <w:p>
            <w:pPr>
              <w:spacing w:after="0" w:line="240"/>
            </w:pPr>
            <w:r>
              <w:rPr>
                <w:rFonts w:ascii="Calibri" w:cs="Calibri" w:eastAsia="Calibri" w:hAnsi="Calibri"/>
                <w:color w:val="000000"/>
                <w:sz w:val="17"/>
                <w:szCs w:val="17"/>
              </w:rPr>
              <w:t xml:space="preserve">Son objetos distintos: capacidad instalada del proponente frente a compromiso contractual del proyecto. Hay que decirlo separado, nunca dejar las dos cifras sueltas.</w:t>
            </w:r>
          </w:p>
        </w:tc>
      </w:tr>
      <w:tr>
        <w:tc>
          <w:tcPr>
            <w:tcW w:type="dxa" w:w="1750"/>
            <w:tcMar>
              <w:top w:type="dxa" w:w="60"/>
              <w:left w:type="dxa" w:w="90"/>
              <w:bottom w:type="dxa" w:w="60"/>
              <w:right w:type="dxa" w:w="90"/>
            </w:tcMar>
            <w:vAlign w:val="center"/>
          </w:tcPr>
          <w:p>
            <w:pPr>
              <w:spacing w:after="0" w:line="240"/>
            </w:pPr>
            <w:r>
              <w:rPr>
                <w:rFonts w:ascii="Calibri" w:cs="Calibri" w:eastAsia="Calibri" w:hAnsi="Calibri"/>
                <w:b/>
                <w:bCs/>
                <w:color w:val="000000"/>
                <w:sz w:val="17"/>
                <w:szCs w:val="17"/>
              </w:rPr>
              <w:t xml:space="preserve">Actores</w:t>
            </w:r>
          </w:p>
        </w:tc>
        <w:tc>
          <w:tcPr>
            <w:tcW w:type="dxa" w:w="3550"/>
            <w:tcMar>
              <w:top w:type="dxa" w:w="60"/>
              <w:left w:type="dxa" w:w="90"/>
              <w:bottom w:type="dxa" w:w="60"/>
              <w:right w:type="dxa" w:w="90"/>
            </w:tcMar>
            <w:vAlign w:val="center"/>
          </w:tcPr>
          <w:p>
            <w:pPr>
              <w:spacing w:after="0" w:line="240"/>
            </w:pPr>
            <w:r>
              <w:rPr>
                <w:rFonts w:ascii="Calibri" w:cs="Calibri" w:eastAsia="Calibri" w:hAnsi="Calibri"/>
                <w:color w:val="000000"/>
                <w:sz w:val="17"/>
                <w:szCs w:val="17"/>
              </w:rPr>
              <w:t xml:space="preserve">El Subdoc. 2 lista 11 actores afectados. La arquitectura lógica desarrolla 13 vistas de actor, incluidos transportista y proveedor, y llama «canónicos» a 11.</w:t>
            </w:r>
          </w:p>
        </w:tc>
        <w:tc>
          <w:tcPr>
            <w:tcW w:type="dxa" w:w="3500"/>
            <w:tcMar>
              <w:top w:type="dxa" w:w="60"/>
              <w:left w:type="dxa" w:w="90"/>
              <w:bottom w:type="dxa" w:w="60"/>
              <w:right w:type="dxa" w:w="90"/>
            </w:tcMar>
            <w:vAlign w:val="center"/>
          </w:tcPr>
          <w:p>
            <w:pPr>
              <w:spacing w:after="0" w:line="240"/>
            </w:pPr>
            <w:r>
              <w:rPr>
                <w:rFonts w:ascii="Calibri" w:cs="Calibri" w:eastAsia="Calibri" w:hAnsi="Calibri"/>
                <w:color w:val="000000"/>
                <w:sz w:val="17"/>
                <w:szCs w:val="17"/>
              </w:rPr>
              <w:t xml:space="preserve">Los 11 son actores afectados; los 13 son actores del sistema. Unificar la nomenclatura y declarar cuál conjunto usa cada documento.</w:t>
            </w:r>
          </w:p>
        </w:tc>
      </w:tr>
      <w:tr>
        <w:tc>
          <w:tcPr>
            <w:tcW w:type="dxa" w:w="1750"/>
            <w:shd w:fill="F2F2F2" w:color="auto" w:val="clear"/>
            <w:tcMar>
              <w:top w:type="dxa" w:w="60"/>
              <w:left w:type="dxa" w:w="90"/>
              <w:bottom w:type="dxa" w:w="60"/>
              <w:right w:type="dxa" w:w="90"/>
            </w:tcMar>
            <w:vAlign w:val="center"/>
          </w:tcPr>
          <w:p>
            <w:pPr>
              <w:spacing w:after="0" w:line="240"/>
            </w:pPr>
            <w:r>
              <w:rPr>
                <w:rFonts w:ascii="Calibri" w:cs="Calibri" w:eastAsia="Calibri" w:hAnsi="Calibri"/>
                <w:b/>
                <w:bCs/>
                <w:color w:val="000000"/>
                <w:sz w:val="17"/>
                <w:szCs w:val="17"/>
              </w:rPr>
              <w:t xml:space="preserve">Ventana del canal moderno</w:t>
            </w:r>
          </w:p>
        </w:tc>
        <w:tc>
          <w:tcPr>
            <w:tcW w:type="dxa" w:w="3550"/>
            <w:shd w:fill="F2F2F2" w:color="auto" w:val="clear"/>
            <w:tcMar>
              <w:top w:type="dxa" w:w="60"/>
              <w:left w:type="dxa" w:w="90"/>
              <w:bottom w:type="dxa" w:w="60"/>
              <w:right w:type="dxa" w:w="90"/>
            </w:tcMar>
            <w:vAlign w:val="center"/>
          </w:tcPr>
          <w:p>
            <w:pPr>
              <w:spacing w:after="0" w:line="240"/>
            </w:pPr>
            <w:r>
              <w:rPr>
                <w:rFonts w:ascii="Calibri" w:cs="Calibri" w:eastAsia="Calibri" w:hAnsi="Calibri"/>
                <w:color w:val="000000"/>
                <w:sz w:val="17"/>
                <w:szCs w:val="17"/>
              </w:rPr>
              <w:t xml:space="preserve">El Subdoc. 3 menciona «ventana de 320 minutos». La exigencia de la cadena y el criterio del Cap. 18 son 30 minutos.</w:t>
            </w:r>
          </w:p>
        </w:tc>
        <w:tc>
          <w:tcPr>
            <w:tcW w:type="dxa" w:w="3500"/>
            <w:shd w:fill="F2F2F2" w:color="auto" w:val="clear"/>
            <w:tcMar>
              <w:top w:type="dxa" w:w="60"/>
              <w:left w:type="dxa" w:w="90"/>
              <w:bottom w:type="dxa" w:w="60"/>
              <w:right w:type="dxa" w:w="90"/>
            </w:tcMar>
            <w:vAlign w:val="center"/>
          </w:tcPr>
          <w:p>
            <w:pPr>
              <w:spacing w:after="0" w:line="240"/>
            </w:pPr>
            <w:r>
              <w:rPr>
                <w:rFonts w:ascii="Calibri" w:cs="Calibri" w:eastAsia="Calibri" w:hAnsi="Calibri"/>
                <w:color w:val="000000"/>
                <w:sz w:val="17"/>
                <w:szCs w:val="17"/>
              </w:rPr>
              <w:t xml:space="preserve">El compromiso es la ventana de 30 minutos; las 24 horas son el plazo de entrega. La cifra de 320 minutos se corrige.</w:t>
            </w:r>
          </w:p>
        </w:tc>
      </w:tr>
      <w:tr>
        <w:tc>
          <w:tcPr>
            <w:tcW w:type="dxa" w:w="1750"/>
            <w:tcMar>
              <w:top w:type="dxa" w:w="60"/>
              <w:left w:type="dxa" w:w="90"/>
              <w:bottom w:type="dxa" w:w="60"/>
              <w:right w:type="dxa" w:w="90"/>
            </w:tcMar>
            <w:vAlign w:val="center"/>
          </w:tcPr>
          <w:p>
            <w:pPr>
              <w:spacing w:after="0" w:line="240"/>
            </w:pPr>
            <w:r>
              <w:rPr>
                <w:rFonts w:ascii="Calibri" w:cs="Calibri" w:eastAsia="Calibri" w:hAnsi="Calibri"/>
                <w:b/>
                <w:bCs/>
                <w:color w:val="000000"/>
                <w:sz w:val="17"/>
                <w:szCs w:val="17"/>
              </w:rPr>
              <w:t xml:space="preserve">Volumen de mensajes</w:t>
            </w:r>
          </w:p>
        </w:tc>
        <w:tc>
          <w:tcPr>
            <w:tcW w:type="dxa" w:w="3550"/>
            <w:tcMar>
              <w:top w:type="dxa" w:w="60"/>
              <w:left w:type="dxa" w:w="90"/>
              <w:bottom w:type="dxa" w:w="60"/>
              <w:right w:type="dxa" w:w="90"/>
            </w:tcMar>
            <w:vAlign w:val="center"/>
          </w:tcPr>
          <w:p>
            <w:pPr>
              <w:spacing w:after="0" w:line="240"/>
            </w:pPr>
            <w:r>
              <w:rPr>
                <w:rFonts w:ascii="Calibri" w:cs="Calibri" w:eastAsia="Calibri" w:hAnsi="Calibri"/>
                <w:color w:val="000000"/>
                <w:sz w:val="17"/>
                <w:szCs w:val="17"/>
              </w:rPr>
              <w:t xml:space="preserve">El numeral 14.2 del caso exige declarar el volumen de mensajes por integración. El Subdoc. 4.2 registra que esa celda está abierta.</w:t>
            </w:r>
          </w:p>
        </w:tc>
        <w:tc>
          <w:tcPr>
            <w:tcW w:type="dxa" w:w="3500"/>
            <w:tcMar>
              <w:top w:type="dxa" w:w="60"/>
              <w:left w:type="dxa" w:w="90"/>
              <w:bottom w:type="dxa" w:w="60"/>
              <w:right w:type="dxa" w:w="90"/>
            </w:tcMar>
            <w:vAlign w:val="center"/>
          </w:tcPr>
          <w:p>
            <w:pPr>
              <w:spacing w:after="0" w:line="240"/>
            </w:pPr>
            <w:r>
              <w:rPr>
                <w:rFonts w:ascii="Calibri" w:cs="Calibri" w:eastAsia="Calibri" w:hAnsi="Calibri"/>
                <w:color w:val="000000"/>
                <w:sz w:val="17"/>
                <w:szCs w:val="17"/>
              </w:rPr>
              <w:t xml:space="preserve">Está declarada como hallazgo propio y se cierra antes del Formulario T-12. Celda vacía sin declarar es bloqueante G7; declarada, es tratamiento.</w:t>
            </w:r>
          </w:p>
        </w:tc>
      </w:tr>
      <w:tr>
        <w:tc>
          <w:tcPr>
            <w:tcW w:type="dxa" w:w="1750"/>
            <w:shd w:fill="F2F2F2" w:color="auto" w:val="clear"/>
            <w:tcMar>
              <w:top w:type="dxa" w:w="60"/>
              <w:left w:type="dxa" w:w="90"/>
              <w:bottom w:type="dxa" w:w="60"/>
              <w:right w:type="dxa" w:w="90"/>
            </w:tcMar>
            <w:vAlign w:val="center"/>
          </w:tcPr>
          <w:p>
            <w:pPr>
              <w:spacing w:after="0" w:line="240"/>
            </w:pPr>
            <w:r>
              <w:rPr>
                <w:rFonts w:ascii="Calibri" w:cs="Calibri" w:eastAsia="Calibri" w:hAnsi="Calibri"/>
                <w:b/>
                <w:bCs/>
                <w:color w:val="000000"/>
                <w:sz w:val="17"/>
                <w:szCs w:val="17"/>
              </w:rPr>
              <w:t xml:space="preserve">Gestor de secretos</w:t>
            </w:r>
          </w:p>
        </w:tc>
        <w:tc>
          <w:tcPr>
            <w:tcW w:type="dxa" w:w="3550"/>
            <w:shd w:fill="F2F2F2" w:color="auto" w:val="clear"/>
            <w:tcMar>
              <w:top w:type="dxa" w:w="60"/>
              <w:left w:type="dxa" w:w="90"/>
              <w:bottom w:type="dxa" w:w="60"/>
              <w:right w:type="dxa" w:w="90"/>
            </w:tcMar>
            <w:vAlign w:val="center"/>
          </w:tcPr>
          <w:p>
            <w:pPr>
              <w:spacing w:after="0" w:line="240"/>
            </w:pPr>
            <w:r>
              <w:rPr>
                <w:rFonts w:ascii="Calibri" w:cs="Calibri" w:eastAsia="Calibri" w:hAnsi="Calibri"/>
                <w:color w:val="000000"/>
                <w:sz w:val="17"/>
                <w:szCs w:val="17"/>
              </w:rPr>
              <w:t xml:space="preserve">La arquitectura lógica declaraba Vault on-premise; no tiene emplazamiento en la física ni en el dimensionamiento.</w:t>
            </w:r>
          </w:p>
        </w:tc>
        <w:tc>
          <w:tcPr>
            <w:tcW w:type="dxa" w:w="3500"/>
            <w:shd w:fill="F2F2F2" w:color="auto" w:val="clear"/>
            <w:tcMar>
              <w:top w:type="dxa" w:w="60"/>
              <w:left w:type="dxa" w:w="90"/>
              <w:bottom w:type="dxa" w:w="60"/>
              <w:right w:type="dxa" w:w="90"/>
            </w:tcMar>
            <w:vAlign w:val="center"/>
          </w:tcPr>
          <w:p>
            <w:pPr>
              <w:spacing w:after="0" w:line="240"/>
            </w:pPr>
            <w:r>
              <w:rPr>
                <w:rFonts w:ascii="Calibri" w:cs="Calibri" w:eastAsia="Calibri" w:hAnsi="Calibri"/>
                <w:color w:val="000000"/>
                <w:sz w:val="17"/>
                <w:szCs w:val="17"/>
              </w:rPr>
              <w:t xml:space="preserve">Resuelto: Secrets Manager + SSM por ADR-15, consumo saliente. Ya está aplicado; lo que hay que saber es contar la decisión, no negar el cambio.</w:t>
            </w:r>
          </w:p>
        </w:tc>
      </w:tr>
      <w:tr>
        <w:tc>
          <w:tcPr>
            <w:tcW w:type="dxa" w:w="1750"/>
            <w:tcMar>
              <w:top w:type="dxa" w:w="60"/>
              <w:left w:type="dxa" w:w="90"/>
              <w:bottom w:type="dxa" w:w="60"/>
              <w:right w:type="dxa" w:w="90"/>
            </w:tcMar>
            <w:vAlign w:val="center"/>
          </w:tcPr>
          <w:p>
            <w:pPr>
              <w:spacing w:after="0" w:line="240"/>
            </w:pPr>
            <w:r>
              <w:rPr>
                <w:rFonts w:ascii="Calibri" w:cs="Calibri" w:eastAsia="Calibri" w:hAnsi="Calibri"/>
                <w:b/>
                <w:bCs/>
                <w:color w:val="000000"/>
                <w:sz w:val="17"/>
                <w:szCs w:val="17"/>
              </w:rPr>
              <w:t xml:space="preserve">Detalle de módulos</w:t>
            </w:r>
          </w:p>
        </w:tc>
        <w:tc>
          <w:tcPr>
            <w:tcW w:type="dxa" w:w="3550"/>
            <w:tcMar>
              <w:top w:type="dxa" w:w="60"/>
              <w:left w:type="dxa" w:w="90"/>
              <w:bottom w:type="dxa" w:w="60"/>
              <w:right w:type="dxa" w:w="90"/>
            </w:tcMar>
            <w:vAlign w:val="center"/>
          </w:tcPr>
          <w:p>
            <w:pPr>
              <w:spacing w:after="0" w:line="240"/>
            </w:pPr>
            <w:r>
              <w:rPr>
                <w:rFonts w:ascii="Calibri" w:cs="Calibri" w:eastAsia="Calibri" w:hAnsi="Calibri"/>
                <w:color w:val="000000"/>
                <w:sz w:val="17"/>
                <w:szCs w:val="17"/>
              </w:rPr>
              <w:t xml:space="preserve">La capa de lógica declara 12 módulos; el Subdoc. 4.1 desarrolla 6 en detalle narrativo.</w:t>
            </w:r>
          </w:p>
        </w:tc>
        <w:tc>
          <w:tcPr>
            <w:tcW w:type="dxa" w:w="3500"/>
            <w:tcMar>
              <w:top w:type="dxa" w:w="60"/>
              <w:left w:type="dxa" w:w="90"/>
              <w:bottom w:type="dxa" w:w="60"/>
              <w:right w:type="dxa" w:w="90"/>
            </w:tcMar>
            <w:vAlign w:val="center"/>
          </w:tcPr>
          <w:p>
            <w:pPr>
              <w:spacing w:after="0" w:line="240"/>
            </w:pPr>
            <w:r>
              <w:rPr>
                <w:rFonts w:ascii="Calibri" w:cs="Calibri" w:eastAsia="Calibri" w:hAnsi="Calibri"/>
                <w:color w:val="000000"/>
                <w:sz w:val="17"/>
                <w:szCs w:val="17"/>
              </w:rPr>
              <w:t xml:space="preserve">Los 12 están en el catálogo funcional con sus requerimientos. Es asimetría de documento, no de diseño; se empareja en el Informe 2.</w:t>
            </w:r>
          </w:p>
        </w:tc>
      </w:tr>
      <w:tr>
        <w:tc>
          <w:tcPr>
            <w:tcW w:type="dxa" w:w="1750"/>
            <w:shd w:fill="F2F2F2" w:color="auto" w:val="clear"/>
            <w:tcMar>
              <w:top w:type="dxa" w:w="60"/>
              <w:left w:type="dxa" w:w="90"/>
              <w:bottom w:type="dxa" w:w="60"/>
              <w:right w:type="dxa" w:w="90"/>
            </w:tcMar>
            <w:vAlign w:val="center"/>
          </w:tcPr>
          <w:p>
            <w:pPr>
              <w:spacing w:after="0" w:line="240"/>
            </w:pPr>
            <w:r>
              <w:rPr>
                <w:rFonts w:ascii="Calibri" w:cs="Calibri" w:eastAsia="Calibri" w:hAnsi="Calibri"/>
                <w:b/>
                <w:bCs/>
                <w:color w:val="000000"/>
                <w:sz w:val="17"/>
                <w:szCs w:val="17"/>
              </w:rPr>
              <w:t xml:space="preserve">Certificaciones</w:t>
            </w:r>
          </w:p>
        </w:tc>
        <w:tc>
          <w:tcPr>
            <w:tcW w:type="dxa" w:w="3550"/>
            <w:shd w:fill="F2F2F2" w:color="auto" w:val="clear"/>
            <w:tcMar>
              <w:top w:type="dxa" w:w="60"/>
              <w:left w:type="dxa" w:w="90"/>
              <w:bottom w:type="dxa" w:w="60"/>
              <w:right w:type="dxa" w:w="90"/>
            </w:tcMar>
            <w:vAlign w:val="center"/>
          </w:tcPr>
          <w:p>
            <w:pPr>
              <w:spacing w:after="0" w:line="240"/>
            </w:pPr>
            <w:r>
              <w:rPr>
                <w:rFonts w:ascii="Calibri" w:cs="Calibri" w:eastAsia="Calibri" w:hAnsi="Calibri"/>
                <w:color w:val="000000"/>
                <w:sz w:val="17"/>
                <w:szCs w:val="17"/>
              </w:rPr>
              <w:t xml:space="preserve">El Subdoc. 1 mezcla «certificado» (ISO 9001) con «alineado» (CMMI-DEV 3, ISO 27001, ISO 20000-1) en una misma enumeración.</w:t>
            </w:r>
          </w:p>
        </w:tc>
        <w:tc>
          <w:tcPr>
            <w:tcW w:type="dxa" w:w="3500"/>
            <w:shd w:fill="F2F2F2" w:color="auto" w:val="clear"/>
            <w:tcMar>
              <w:top w:type="dxa" w:w="60"/>
              <w:left w:type="dxa" w:w="90"/>
              <w:bottom w:type="dxa" w:w="60"/>
              <w:right w:type="dxa" w:w="90"/>
            </w:tcMar>
            <w:vAlign w:val="center"/>
          </w:tcPr>
          <w:p>
            <w:pPr>
              <w:spacing w:after="0" w:line="240"/>
            </w:pPr>
            <w:r>
              <w:rPr>
                <w:rFonts w:ascii="Calibri" w:cs="Calibri" w:eastAsia="Calibri" w:hAnsi="Calibri"/>
                <w:color w:val="000000"/>
                <w:sz w:val="17"/>
                <w:szCs w:val="17"/>
              </w:rPr>
              <w:t xml:space="preserve">Decir siempre cuál es certificación y cuál es alineación. Dar por certificado lo que no lo está es el peor error posible ante esta Comisión.</w:t>
            </w:r>
          </w:p>
        </w:tc>
      </w:tr>
    </w:tbl>
    <w:p>
      <w:pPr>
        <w:pStyle w:val="Heading1"/>
        <w:spacing w:after="160" w:before="400"/>
      </w:pPr>
      <w:r>
        <w:rPr>
          <w:rFonts w:ascii="Calibri" w:cs="Calibri" w:eastAsia="Calibri" w:hAnsi="Calibri"/>
          <w:b/>
          <w:bCs/>
          <w:color w:val="1F3864"/>
          <w:sz w:val="28"/>
          <w:szCs w:val="28"/>
        </w:rPr>
        <w:t xml:space="preserve">Anexo II · Fórmulas de salvataje</w:t>
      </w:r>
    </w:p>
    <w:p>
      <w:pPr>
        <w:spacing w:after="120" w:before="0" w:line="276"/>
      </w:pPr>
      <w:r>
        <w:rPr>
          <w:rFonts w:ascii="Calibri" w:cs="Calibri" w:eastAsia="Calibri" w:hAnsi="Calibri"/>
          <w:sz w:val="20"/>
          <w:szCs w:val="20"/>
        </w:rPr>
        <w:t xml:space="preserve">Seis maneras de salir bien de una pregunta que no se puede responder. Todas son honestas y ninguna improvisa una cifra. Memorizar la estructura, no la frase.</w:t>
      </w:r>
    </w:p>
    <w:p>
      <w:pPr>
        <w:keepNext/>
        <w:spacing w:after="30" w:before="140"/>
      </w:pPr>
      <w:r>
        <w:rPr>
          <w:rFonts w:ascii="Calibri" w:cs="Calibri" w:eastAsia="Calibri" w:hAnsi="Calibri"/>
          <w:b/>
          <w:bCs/>
          <w:color w:val="1F3864"/>
          <w:sz w:val="19"/>
          <w:szCs w:val="19"/>
        </w:rPr>
        <w:t xml:space="preserve">El dato no existe en el Informe 1</w:t>
      </w:r>
    </w:p>
    <w:p>
      <w:pPr>
        <w:pBdr>
          <w:left w:val="single" w:color="BFBFBF" w:sz="10" w:space="8"/>
        </w:pBdr>
        <w:spacing w:after="60" w:line="268"/>
        <w:ind w:left="431"/>
      </w:pPr>
      <w:r>
        <w:rPr>
          <w:rFonts w:ascii="Calibri" w:cs="Calibri" w:eastAsia="Calibri" w:hAnsi="Calibri"/>
          <w:i/>
          <w:iCs/>
          <w:color w:val="333333"/>
          <w:sz w:val="19"/>
          <w:szCs w:val="19"/>
        </w:rPr>
        <w:t xml:space="preserve">«Eso no está en el Informe 1 y no lo voy a aproximar aquí. Corresponde al [Informe 2 / la oferta económica / el levantamiento de la Etapa 1], y ahí va con su método y sus supuestos declarados.»</w:t>
      </w:r>
    </w:p>
    <w:p>
      <w:pPr>
        <w:keepNext/>
        <w:spacing w:after="30" w:before="140"/>
      </w:pPr>
      <w:r>
        <w:rPr>
          <w:rFonts w:ascii="Calibri" w:cs="Calibri" w:eastAsia="Calibri" w:hAnsi="Calibri"/>
          <w:b/>
          <w:bCs/>
          <w:color w:val="1F3864"/>
          <w:sz w:val="19"/>
          <w:szCs w:val="19"/>
        </w:rPr>
        <w:t xml:space="preserve">La pregunta toca un vacío registrado</w:t>
      </w:r>
    </w:p>
    <w:p>
      <w:pPr>
        <w:pBdr>
          <w:left w:val="single" w:color="BFBFBF" w:sz="10" w:space="8"/>
        </w:pBdr>
        <w:spacing w:after="60" w:line="268"/>
        <w:ind w:left="431"/>
      </w:pPr>
      <w:r>
        <w:rPr>
          <w:rFonts w:ascii="Calibri" w:cs="Calibri" w:eastAsia="Calibri" w:hAnsi="Calibri"/>
          <w:i/>
          <w:iCs/>
          <w:color w:val="333333"/>
          <w:sz w:val="19"/>
          <w:szCs w:val="19"/>
        </w:rPr>
        <w:t xml:space="preserve">«Está registrado como vacío V-0X, con su impacto y su tratamiento: [elevado a consulta conforme al Art. 43.3 / resuelto por precedencia / resuelto por decisión fundada]. La posición que adoptamos mientras tanto es [X].»</w:t>
      </w:r>
    </w:p>
    <w:p>
      <w:pPr>
        <w:keepNext/>
        <w:spacing w:after="30" w:before="140"/>
      </w:pPr>
      <w:r>
        <w:rPr>
          <w:rFonts w:ascii="Calibri" w:cs="Calibri" w:eastAsia="Calibri" w:hAnsi="Calibri"/>
          <w:b/>
          <w:bCs/>
          <w:color w:val="1F3864"/>
          <w:sz w:val="19"/>
          <w:szCs w:val="19"/>
        </w:rPr>
        <w:t xml:space="preserve">La pregunta señala una imprecisión real</w:t>
      </w:r>
    </w:p>
    <w:p>
      <w:pPr>
        <w:pBdr>
          <w:left w:val="single" w:color="BFBFBF" w:sz="10" w:space="8"/>
        </w:pBdr>
        <w:spacing w:after="60" w:line="268"/>
        <w:ind w:left="431"/>
      </w:pPr>
      <w:r>
        <w:rPr>
          <w:rFonts w:ascii="Calibri" w:cs="Calibri" w:eastAsia="Calibri" w:hAnsi="Calibri"/>
          <w:i/>
          <w:iCs/>
          <w:color w:val="333333"/>
          <w:sz w:val="19"/>
          <w:szCs w:val="19"/>
        </w:rPr>
        <w:t xml:space="preserve">«Tiene razón. Lo que prevalece es [X], por [fundamento]. La redacción de [documento] es imprecisa y lo corregimos en el Informe 2, con su fila en la tabla de trazabilidad.»</w:t>
      </w:r>
    </w:p>
    <w:p>
      <w:pPr>
        <w:keepNext/>
        <w:spacing w:after="30" w:before="140"/>
      </w:pPr>
      <w:r>
        <w:rPr>
          <w:rFonts w:ascii="Calibri" w:cs="Calibri" w:eastAsia="Calibri" w:hAnsi="Calibri"/>
          <w:b/>
          <w:bCs/>
          <w:color w:val="1F3864"/>
          <w:sz w:val="19"/>
          <w:szCs w:val="19"/>
        </w:rPr>
        <w:t xml:space="preserve">La decisión es del CLIENTE, no nuestra</w:t>
      </w:r>
    </w:p>
    <w:p>
      <w:pPr>
        <w:pBdr>
          <w:left w:val="single" w:color="BFBFBF" w:sz="10" w:space="8"/>
        </w:pBdr>
        <w:spacing w:after="60" w:line="268"/>
        <w:ind w:left="431"/>
      </w:pPr>
      <w:r>
        <w:rPr>
          <w:rFonts w:ascii="Calibri" w:cs="Calibri" w:eastAsia="Calibri" w:hAnsi="Calibri"/>
          <w:i/>
          <w:iCs/>
          <w:color w:val="333333"/>
          <w:sz w:val="19"/>
          <w:szCs w:val="19"/>
        </w:rPr>
        <w:t xml:space="preserve">«Es una decisión del mandante y no la tomamos unilateralmente. Lo que la plataforma aporta es [capacidad], parametrizable; el umbral y la política los fija el CLIENTE. Está declarado como decisión 16.1 número [X].»</w:t>
      </w:r>
    </w:p>
    <w:p>
      <w:pPr>
        <w:keepNext/>
        <w:spacing w:after="30" w:before="140"/>
      </w:pPr>
      <w:r>
        <w:rPr>
          <w:rFonts w:ascii="Calibri" w:cs="Calibri" w:eastAsia="Calibri" w:hAnsi="Calibri"/>
          <w:b/>
          <w:bCs/>
          <w:color w:val="1F3864"/>
          <w:sz w:val="19"/>
          <w:szCs w:val="19"/>
        </w:rPr>
        <w:t xml:space="preserve">La premisa de la pregunta es incorrecta</w:t>
      </w:r>
    </w:p>
    <w:p>
      <w:pPr>
        <w:pBdr>
          <w:left w:val="single" w:color="BFBFBF" w:sz="10" w:space="8"/>
        </w:pBdr>
        <w:spacing w:after="60" w:line="268"/>
        <w:ind w:left="431"/>
      </w:pPr>
      <w:r>
        <w:rPr>
          <w:rFonts w:ascii="Calibri" w:cs="Calibri" w:eastAsia="Calibri" w:hAnsi="Calibri"/>
          <w:i/>
          <w:iCs/>
          <w:color w:val="333333"/>
          <w:sz w:val="19"/>
          <w:szCs w:val="19"/>
        </w:rPr>
        <w:t xml:space="preserve">«Ahí hay que separar dos cosas: [A] es [definición] y [B] es [definición]. Sobre [A] la respuesta es [X]; sobre [B], [Y].» — Desarmar primero, responder después. Nunca aceptar una premisa falsa por cortesía.</w:t>
      </w:r>
    </w:p>
    <w:p>
      <w:pPr>
        <w:keepNext/>
        <w:spacing w:after="30" w:before="140"/>
      </w:pPr>
      <w:r>
        <w:rPr>
          <w:rFonts w:ascii="Calibri" w:cs="Calibri" w:eastAsia="Calibri" w:hAnsi="Calibri"/>
          <w:b/>
          <w:bCs/>
          <w:color w:val="1F3864"/>
          <w:sz w:val="19"/>
          <w:szCs w:val="19"/>
        </w:rPr>
        <w:t xml:space="preserve">No se sabe, y punto</w:t>
      </w:r>
    </w:p>
    <w:p>
      <w:pPr>
        <w:pBdr>
          <w:left w:val="single" w:color="BFBFBF" w:sz="10" w:space="8"/>
        </w:pBdr>
        <w:spacing w:after="60" w:line="268"/>
        <w:ind w:left="431"/>
      </w:pPr>
      <w:r>
        <w:rPr>
          <w:rFonts w:ascii="Calibri" w:cs="Calibri" w:eastAsia="Calibri" w:hAnsi="Calibri"/>
          <w:i/>
          <w:iCs/>
          <w:color w:val="333333"/>
          <w:sz w:val="19"/>
          <w:szCs w:val="19"/>
        </w:rPr>
        <w:t xml:space="preserve">«No lo sé con la precisión que la pregunta merece. Lo levanto como observación, queda en el acta y lo respondemos en el Informe 2.» — Es una respuesta aceptable. Inventar no lo es.</w:t>
      </w:r>
    </w:p>
    <w:p>
      <w:pPr>
        <w:spacing w:after="120" w:before="300" w:line="276"/>
      </w:pPr>
      <w:r>
        <w:rPr>
          <w:rFonts w:ascii="Calibri" w:cs="Calibri" w:eastAsia="Calibri" w:hAnsi="Calibri"/>
          <w:i/>
          <w:iCs/>
          <w:color w:val="C00000"/>
          <w:sz w:val="20"/>
          <w:szCs w:val="20"/>
        </w:rPr>
        <w:t xml:space="preserve">Y una regla que no admite excepción: si dos personas del equipo responden distinto a la misma pregunta, el daño es mayor que el de no saber. Ante la duda, la toma el Jefe de Proyecto.</w:t>
      </w:r>
    </w:p>
    <w:sectPr>
      <w:footerReference w:type="default" r:id="rId7"/>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6"/>
        <w:szCs w:val="16"/>
      </w:rPr>
      <w:t xml:space="preserve">LafroX · Banco de preguntas difíciles · TFEP-01/2026 · pág.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Banco de preguntas difíciles — Presentación Preparatoria 1 · TFEP-01/2026</dc:title>
  <dc:creator>LafroX</dc:creator>
  <dc:description>Banco adversarial de 109 preguntas por diapositiva para la ronda de preguntas de la Presentación Preparatoria 1</dc:description>
  <cp:lastModifiedBy>Un-named</cp:lastModifiedBy>
  <cp:revision>1</cp:revision>
  <dcterms:created xsi:type="dcterms:W3CDTF">2026-09-13T00:27:17.706Z</dcterms:created>
  <dcterms:modified xsi:type="dcterms:W3CDTF">2026-09-13T00:27:17.710Z</dcterms:modified>
</cp:coreProperties>
</file>

<file path=docProps/custom.xml><?xml version="1.0" encoding="utf-8"?>
<Properties xmlns="http://schemas.openxmlformats.org/officeDocument/2006/custom-properties" xmlns:vt="http://schemas.openxmlformats.org/officeDocument/2006/docPropsVTypes"/>
</file>